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360" w:lineRule="auto"/>
        <w:jc w:val="center"/>
        <w:rPr>
          <w:rFonts w:hint="default" w:ascii="Times New Roman" w:hAnsi="Times New Roman" w:eastAsia="宋体" w:cs="Times New Roman"/>
          <w:b/>
          <w:bCs/>
          <w:color w:val="000000"/>
          <w:kern w:val="0"/>
          <w:sz w:val="43"/>
          <w:szCs w:val="43"/>
          <w:lang w:val="en-US" w:eastAsia="zh-CN" w:bidi="ar"/>
        </w:rPr>
      </w:pPr>
    </w:p>
    <w:p>
      <w:pPr>
        <w:keepNext w:val="0"/>
        <w:keepLines w:val="0"/>
        <w:widowControl/>
        <w:suppressLineNumbers w:val="0"/>
        <w:spacing w:line="360" w:lineRule="auto"/>
        <w:jc w:val="center"/>
        <w:rPr>
          <w:rFonts w:hint="default" w:ascii="Times New Roman" w:hAnsi="Times New Roman" w:eastAsia="宋体" w:cs="Times New Roman"/>
          <w:b/>
          <w:bCs/>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000000"/>
          <w:kern w:val="0"/>
          <w:sz w:val="43"/>
          <w:szCs w:val="43"/>
          <w:lang w:val="en-US" w:eastAsia="zh-CN" w:bidi="ar"/>
        </w:rPr>
      </w:pPr>
      <w:r>
        <w:rPr>
          <w:rFonts w:hint="eastAsia" w:ascii="宋体" w:hAnsi="宋体" w:eastAsia="宋体" w:cs="宋体"/>
          <w:b/>
          <w:bCs/>
          <w:color w:val="000000"/>
          <w:kern w:val="0"/>
          <w:sz w:val="43"/>
          <w:szCs w:val="43"/>
          <w:lang w:val="en-US" w:eastAsia="zh-CN" w:bidi="ar"/>
        </w:rPr>
        <w:t>《固定源二氧化碳排放连续监测系统</w:t>
      </w:r>
    </w:p>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360" w:lineRule="auto"/>
        <w:jc w:val="center"/>
        <w:textAlignment w:val="auto"/>
        <w:rPr>
          <w:b/>
          <w:bCs/>
        </w:rPr>
      </w:pPr>
      <w:r>
        <w:rPr>
          <w:rFonts w:hint="eastAsia" w:ascii="宋体" w:hAnsi="宋体" w:eastAsia="宋体" w:cs="宋体"/>
          <w:b/>
          <w:bCs/>
          <w:color w:val="000000"/>
          <w:kern w:val="0"/>
          <w:sz w:val="43"/>
          <w:szCs w:val="43"/>
          <w:lang w:val="en-US" w:eastAsia="zh-CN" w:bidi="ar"/>
        </w:rPr>
        <w:t>计量技术规范》</w:t>
      </w: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编</w:t>
      </w:r>
    </w:p>
    <w:p>
      <w:pPr>
        <w:keepNext w:val="0"/>
        <w:keepLines w:val="0"/>
        <w:widowControl/>
        <w:suppressLineNumbers w:val="0"/>
        <w:spacing w:line="360" w:lineRule="auto"/>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制</w:t>
      </w:r>
    </w:p>
    <w:p>
      <w:pPr>
        <w:keepNext w:val="0"/>
        <w:keepLines w:val="0"/>
        <w:widowControl/>
        <w:suppressLineNumbers w:val="0"/>
        <w:spacing w:line="360" w:lineRule="auto"/>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说</w:t>
      </w:r>
    </w:p>
    <w:p>
      <w:pPr>
        <w:keepNext w:val="0"/>
        <w:keepLines w:val="0"/>
        <w:widowControl/>
        <w:suppressLineNumbers w:val="0"/>
        <w:spacing w:line="360" w:lineRule="auto"/>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明</w:t>
      </w: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rPr>
          <w:rFonts w:hint="eastAsia" w:ascii="黑体" w:hAnsi="宋体" w:eastAsia="黑体" w:cs="黑体"/>
          <w:color w:val="000000"/>
          <w:kern w:val="0"/>
          <w:sz w:val="43"/>
          <w:szCs w:val="43"/>
          <w:lang w:val="en-US" w:eastAsia="zh-CN" w:bidi="ar"/>
        </w:rPr>
      </w:pPr>
    </w:p>
    <w:p>
      <w:pPr>
        <w:keepNext w:val="0"/>
        <w:keepLines w:val="0"/>
        <w:widowControl/>
        <w:suppressLineNumbers w:val="0"/>
        <w:spacing w:line="360" w:lineRule="auto"/>
        <w:jc w:val="center"/>
      </w:pPr>
      <w:r>
        <w:rPr>
          <w:rFonts w:hint="eastAsia" w:ascii="宋体" w:hAnsi="宋体" w:eastAsia="宋体" w:cs="宋体"/>
          <w:b/>
          <w:bCs/>
          <w:color w:val="000000"/>
          <w:kern w:val="0"/>
          <w:sz w:val="31"/>
          <w:szCs w:val="31"/>
          <w:lang w:val="en-US" w:eastAsia="zh-CN" w:bidi="ar"/>
        </w:rPr>
        <w:t>规范起草组</w:t>
      </w:r>
    </w:p>
    <w:p>
      <w:pPr>
        <w:keepNext w:val="0"/>
        <w:keepLines w:val="0"/>
        <w:widowControl/>
        <w:suppressLineNumbers w:val="0"/>
        <w:spacing w:line="360" w:lineRule="auto"/>
        <w:jc w:val="center"/>
      </w:pPr>
      <w:r>
        <w:rPr>
          <w:rFonts w:hint="default" w:ascii="Times New Roman" w:hAnsi="Times New Roman" w:eastAsia="宋体" w:cs="Times New Roman"/>
          <w:b/>
          <w:bCs/>
          <w:color w:val="000000"/>
          <w:kern w:val="0"/>
          <w:sz w:val="31"/>
          <w:szCs w:val="31"/>
          <w:lang w:val="en-US" w:eastAsia="zh-CN" w:bidi="ar"/>
        </w:rPr>
        <w:t>202</w:t>
      </w:r>
      <w:r>
        <w:rPr>
          <w:rFonts w:hint="default" w:ascii="Times New Roman" w:hAnsi="Times New Roman" w:cs="Times New Roman"/>
          <w:b/>
          <w:bCs/>
          <w:color w:val="000000"/>
          <w:kern w:val="0"/>
          <w:sz w:val="31"/>
          <w:szCs w:val="31"/>
          <w:lang w:val="en-US" w:eastAsia="zh-CN" w:bidi="ar"/>
        </w:rPr>
        <w:t>4</w:t>
      </w:r>
      <w:r>
        <w:rPr>
          <w:rFonts w:hint="default" w:ascii="Times New Roman" w:hAnsi="Times New Roman" w:eastAsia="宋体" w:cs="Times New Roman"/>
          <w:b/>
          <w:bCs/>
          <w:color w:val="000000"/>
          <w:kern w:val="0"/>
          <w:sz w:val="31"/>
          <w:szCs w:val="31"/>
          <w:lang w:val="en-US" w:eastAsia="zh-CN" w:bidi="ar"/>
        </w:rPr>
        <w:t xml:space="preserve"> 年</w:t>
      </w:r>
      <w:r>
        <w:rPr>
          <w:rFonts w:hint="eastAsia" w:cs="Times New Roman"/>
          <w:b/>
          <w:bCs/>
          <w:color w:val="000000"/>
          <w:kern w:val="0"/>
          <w:sz w:val="31"/>
          <w:szCs w:val="31"/>
          <w:lang w:val="en-US" w:eastAsia="zh-CN" w:bidi="ar"/>
        </w:rPr>
        <w:t>10</w:t>
      </w:r>
      <w:r>
        <w:rPr>
          <w:rFonts w:hint="default" w:ascii="Times New Roman" w:hAnsi="Times New Roman" w:eastAsia="宋体" w:cs="Times New Roman"/>
          <w:b/>
          <w:bCs/>
          <w:color w:val="000000"/>
          <w:kern w:val="0"/>
          <w:sz w:val="31"/>
          <w:szCs w:val="31"/>
          <w:lang w:val="en-US" w:eastAsia="zh-CN" w:bidi="ar"/>
        </w:rPr>
        <w:t>月</w:t>
      </w:r>
    </w:p>
    <w:p>
      <w:pPr>
        <w:jc w:val="both"/>
        <w:rPr>
          <w:rFonts w:hint="eastAsia" w:ascii="仿宋_GB2312" w:eastAsia="仿宋_GB2312"/>
          <w:b/>
          <w:bCs/>
          <w:sz w:val="44"/>
          <w:szCs w:val="44"/>
        </w:rPr>
      </w:pPr>
    </w:p>
    <w:p>
      <w:pPr>
        <w:jc w:val="both"/>
        <w:rPr>
          <w:rFonts w:hint="eastAsia" w:ascii="仿宋_GB2312" w:eastAsia="仿宋_GB2312"/>
          <w:b/>
          <w:bCs/>
          <w:sz w:val="44"/>
          <w:szCs w:val="44"/>
        </w:rPr>
        <w:sectPr>
          <w:pgSz w:w="11906" w:h="16838"/>
          <w:pgMar w:top="1440" w:right="1800" w:bottom="1440" w:left="1800" w:header="851" w:footer="992" w:gutter="0"/>
          <w:pgNumType w:fmt="decimal"/>
          <w:cols w:space="425" w:num="1"/>
          <w:docGrid w:type="lines" w:linePitch="312" w:charSpace="0"/>
        </w:sectPr>
      </w:pPr>
    </w:p>
    <w:p>
      <w:pPr>
        <w:keepNext w:val="0"/>
        <w:keepLines w:val="0"/>
        <w:widowControl/>
        <w:suppressLineNumbers w:val="0"/>
        <w:spacing w:line="360" w:lineRule="auto"/>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《固定源二氧化碳排放连续监测系统计量技术规范》</w:t>
      </w:r>
    </w:p>
    <w:p>
      <w:pPr>
        <w:keepNext w:val="0"/>
        <w:keepLines w:val="0"/>
        <w:widowControl/>
        <w:suppressLineNumbers w:val="0"/>
        <w:spacing w:line="360" w:lineRule="auto"/>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编制说明</w:t>
      </w:r>
    </w:p>
    <w:p>
      <w:pPr>
        <w:keepNext w:val="0"/>
        <w:keepLines w:val="0"/>
        <w:pageBreakBefore w:val="0"/>
        <w:widowControl w:val="0"/>
        <w:kinsoku/>
        <w:wordWrap/>
        <w:overflowPunct/>
        <w:topLinePunct w:val="0"/>
        <w:autoSpaceDE/>
        <w:autoSpaceDN/>
        <w:bidi w:val="0"/>
        <w:adjustRightInd/>
        <w:snapToGrid/>
        <w:spacing w:beforeLines="50" w:after="157" w:afterLines="50" w:line="360" w:lineRule="auto"/>
        <w:ind w:firstLine="562" w:firstLineChars="200"/>
        <w:textAlignment w:val="auto"/>
        <w:rPr>
          <w:rFonts w:hint="default" w:ascii="Times New Roman" w:hAnsi="Times New Roman" w:eastAsia="仿宋_GB2312" w:cs="Times New Roman"/>
          <w:b/>
          <w:color w:val="000000"/>
          <w:kern w:val="0"/>
          <w:sz w:val="28"/>
          <w:szCs w:val="28"/>
        </w:rPr>
      </w:pPr>
      <w:r>
        <w:rPr>
          <w:rFonts w:hint="default" w:ascii="Times New Roman" w:hAnsi="Times New Roman" w:eastAsia="仿宋_GB2312" w:cs="Times New Roman"/>
          <w:b/>
          <w:color w:val="000000"/>
          <w:kern w:val="0"/>
          <w:sz w:val="28"/>
          <w:szCs w:val="28"/>
        </w:rPr>
        <w:t>一、任务来源</w:t>
      </w:r>
    </w:p>
    <w:p>
      <w:pPr>
        <w:pStyle w:val="18"/>
        <w:keepNext w:val="0"/>
        <w:keepLines w:val="0"/>
        <w:pageBreakBefore w:val="0"/>
        <w:widowControl w:val="0"/>
        <w:kinsoku/>
        <w:wordWrap/>
        <w:overflowPunct/>
        <w:topLinePunct w:val="0"/>
        <w:bidi w:val="0"/>
        <w:adjustRightInd w:val="0"/>
        <w:spacing w:line="360" w:lineRule="auto"/>
        <w:ind w:firstLine="560" w:firstLineChars="200"/>
        <w:textAlignment w:val="auto"/>
        <w:rPr>
          <w:rFonts w:hint="default" w:ascii="Times New Roman" w:hAnsi="Times New Roman" w:eastAsia="仿宋_GB2312" w:cs="Times New Roman"/>
          <w:sz w:val="28"/>
          <w:szCs w:val="28"/>
        </w:rPr>
      </w:pPr>
      <w:r>
        <w:rPr>
          <w:rFonts w:hint="eastAsia" w:ascii="仿宋_GB2312" w:hAnsi="仿宋_GB2312" w:eastAsia="仿宋_GB2312" w:cs="仿宋_GB2312"/>
          <w:sz w:val="28"/>
          <w:szCs w:val="28"/>
        </w:rPr>
        <w:t>2024年6月，广东省市场监督管理局印发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广东省市场监督管理局关于下达2024年广东省地方计量技术规范制修订计划项目的通知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粤</w:t>
      </w:r>
      <w:r>
        <w:rPr>
          <w:rFonts w:hint="eastAsia" w:ascii="仿宋_GB2312" w:hAnsi="仿宋_GB2312" w:eastAsia="仿宋_GB2312" w:cs="仿宋_GB2312"/>
          <w:sz w:val="28"/>
          <w:szCs w:val="28"/>
        </w:rPr>
        <w:t>市监量〔202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300</w:t>
      </w:r>
      <w:r>
        <w:rPr>
          <w:rFonts w:hint="eastAsia" w:ascii="仿宋_GB2312" w:hAnsi="仿宋_GB2312" w:eastAsia="仿宋_GB2312" w:cs="仿宋_GB2312"/>
          <w:sz w:val="28"/>
          <w:szCs w:val="28"/>
        </w:rPr>
        <w:t>号），</w:t>
      </w:r>
      <w:r>
        <w:rPr>
          <w:rFonts w:hint="default" w:ascii="Times New Roman" w:hAnsi="Times New Roman" w:eastAsia="仿宋_GB2312" w:cs="Times New Roman"/>
          <w:sz w:val="28"/>
          <w:szCs w:val="28"/>
        </w:rPr>
        <w:t>对主要起草单位广东省计量科学研究院下达了起草任务，《固定源二氧化碳排放连续监测系统计量技术规范》正式批准立项</w:t>
      </w:r>
      <w:r>
        <w:rPr>
          <w:rFonts w:hint="eastAsia" w:ascii="Times New Roman" w:eastAsia="仿宋_GB2312" w:cs="Times New Roman"/>
          <w:sz w:val="28"/>
          <w:szCs w:val="28"/>
          <w:lang w:eastAsia="zh-CN"/>
        </w:rPr>
        <w:t>，</w:t>
      </w:r>
      <w:r>
        <w:rPr>
          <w:rFonts w:hint="default" w:ascii="Times New Roman" w:hAnsi="Times New Roman" w:eastAsia="仿宋_GB2312" w:cs="Times New Roman"/>
          <w:sz w:val="28"/>
          <w:szCs w:val="28"/>
        </w:rPr>
        <w:t>任务归口广东省碳达峰碳中和计量技术委员会管理。</w:t>
      </w:r>
    </w:p>
    <w:p>
      <w:pPr>
        <w:keepNext w:val="0"/>
        <w:keepLines w:val="0"/>
        <w:pageBreakBefore w:val="0"/>
        <w:widowControl w:val="0"/>
        <w:kinsoku/>
        <w:wordWrap/>
        <w:overflowPunct/>
        <w:topLinePunct w:val="0"/>
        <w:autoSpaceDE/>
        <w:autoSpaceDN/>
        <w:bidi w:val="0"/>
        <w:adjustRightInd/>
        <w:snapToGrid/>
        <w:spacing w:beforeLines="50" w:after="157" w:afterLines="50" w:line="360" w:lineRule="auto"/>
        <w:ind w:firstLine="562" w:firstLineChars="200"/>
        <w:textAlignment w:val="auto"/>
        <w:rPr>
          <w:rFonts w:hint="default" w:ascii="Times New Roman" w:hAnsi="Times New Roman" w:eastAsia="仿宋_GB2312" w:cs="Times New Roman"/>
          <w:b/>
          <w:color w:val="000000"/>
          <w:kern w:val="0"/>
          <w:sz w:val="28"/>
          <w:szCs w:val="28"/>
        </w:rPr>
      </w:pPr>
      <w:r>
        <w:rPr>
          <w:rFonts w:hint="default" w:ascii="Times New Roman" w:hAnsi="Times New Roman" w:eastAsia="仿宋_GB2312" w:cs="Times New Roman"/>
          <w:b/>
          <w:color w:val="000000"/>
          <w:kern w:val="0"/>
          <w:sz w:val="28"/>
          <w:szCs w:val="28"/>
        </w:rPr>
        <w:t>二、</w:t>
      </w:r>
      <w:r>
        <w:rPr>
          <w:rFonts w:hint="default" w:ascii="Times New Roman" w:hAnsi="Times New Roman" w:eastAsia="仿宋_GB2312" w:cs="Times New Roman"/>
          <w:b/>
          <w:color w:val="000000"/>
          <w:kern w:val="0"/>
          <w:sz w:val="28"/>
          <w:szCs w:val="28"/>
          <w:lang w:val="en-US" w:eastAsia="zh-CN"/>
        </w:rPr>
        <w:t>编制</w:t>
      </w:r>
      <w:r>
        <w:rPr>
          <w:rFonts w:hint="default" w:ascii="Times New Roman" w:hAnsi="Times New Roman" w:eastAsia="仿宋_GB2312" w:cs="Times New Roman"/>
          <w:b/>
          <w:color w:val="000000"/>
          <w:kern w:val="0"/>
          <w:sz w:val="28"/>
          <w:szCs w:val="28"/>
        </w:rPr>
        <w:t>背景</w:t>
      </w:r>
    </w:p>
    <w:p>
      <w:pPr>
        <w:spacing w:before="50" w:line="360" w:lineRule="auto"/>
        <w:ind w:firstLine="573"/>
        <w:rPr>
          <w:rFonts w:hint="default" w:ascii="Times New Roman" w:hAnsi="Times New Roman" w:eastAsia="仿宋_GB2312" w:cs="Times New Roman"/>
          <w:i w:val="0"/>
          <w:iCs w:val="0"/>
          <w:caps w:val="0"/>
          <w:color w:val="000000"/>
          <w:spacing w:val="0"/>
          <w:kern w:val="0"/>
          <w:sz w:val="28"/>
          <w:szCs w:val="28"/>
          <w:shd w:val="clear"/>
        </w:rPr>
      </w:pPr>
      <w:r>
        <w:rPr>
          <w:rFonts w:hint="default" w:ascii="Times New Roman" w:hAnsi="Times New Roman" w:eastAsia="仿宋_GB2312" w:cs="Times New Roman"/>
          <w:i w:val="0"/>
          <w:iCs w:val="0"/>
          <w:caps w:val="0"/>
          <w:color w:val="000000"/>
          <w:spacing w:val="0"/>
          <w:kern w:val="0"/>
          <w:sz w:val="28"/>
          <w:szCs w:val="28"/>
          <w:shd w:val="clear"/>
        </w:rPr>
        <w:t>实现碳达峰、碳中和，是党中央统筹国内国际两个大局作出的重大战略决策。2022年10月18日，市场监管总局等九部门联合印发《建立健全碳达峰碳中和标准计量体系实施方案》，方案中明确提到，要开展系统碳排放计量测试方法研究和碳排放连续在线监测计量技术研究，提升碳排放和碳监测数据准确性和一致性。2023年4月22日，国家标准委、国家发展改革委、工业和信息化部等11个部门发布《碳达峰碳中和标准体系建设指南》，其中，“碳监测核算核查标准规范”提出“重点制修订二氧化碳、甲烷等温室气体监测方法、监测设备、在线监测系统和碳管控平台建设等标准”。随着碳排放权交易市场的逐步建设，越来越多的企业开始纳入碳排放权配额制管理，碳排放数据质量要求也日益提升。而固定源的二氧化碳排放监测是碳排放直接测量法的重要技术之一。</w:t>
      </w:r>
    </w:p>
    <w:p>
      <w:pPr>
        <w:keepNext w:val="0"/>
        <w:keepLines w:val="0"/>
        <w:pageBreakBefore w:val="0"/>
        <w:widowControl w:val="0"/>
        <w:kinsoku/>
        <w:wordWrap/>
        <w:overflowPunct/>
        <w:topLinePunct w:val="0"/>
        <w:autoSpaceDE/>
        <w:autoSpaceDN/>
        <w:bidi w:val="0"/>
        <w:adjustRightInd/>
        <w:snapToGrid/>
        <w:spacing w:beforeLines="50" w:after="157" w:afterLines="50" w:line="360" w:lineRule="auto"/>
        <w:ind w:firstLine="562" w:firstLineChars="200"/>
        <w:textAlignment w:val="auto"/>
        <w:rPr>
          <w:rFonts w:hint="default" w:ascii="Times New Roman" w:hAnsi="Times New Roman" w:eastAsia="仿宋_GB2312" w:cs="Times New Roman"/>
          <w:b/>
          <w:color w:val="000000"/>
          <w:kern w:val="0"/>
          <w:sz w:val="28"/>
          <w:szCs w:val="28"/>
          <w:lang w:val="en-US" w:eastAsia="zh-CN"/>
        </w:rPr>
      </w:pPr>
      <w:r>
        <w:rPr>
          <w:rFonts w:hint="default" w:ascii="Times New Roman" w:hAnsi="Times New Roman" w:eastAsia="仿宋_GB2312" w:cs="Times New Roman"/>
          <w:b/>
          <w:color w:val="000000"/>
          <w:kern w:val="0"/>
          <w:sz w:val="28"/>
          <w:szCs w:val="28"/>
        </w:rPr>
        <w:t>三、编制</w:t>
      </w:r>
      <w:r>
        <w:rPr>
          <w:rFonts w:hint="default" w:ascii="Times New Roman" w:hAnsi="Times New Roman" w:eastAsia="仿宋_GB2312" w:cs="Times New Roman"/>
          <w:b/>
          <w:color w:val="000000"/>
          <w:kern w:val="0"/>
          <w:sz w:val="28"/>
          <w:szCs w:val="28"/>
          <w:lang w:val="en-US" w:eastAsia="zh-CN"/>
        </w:rPr>
        <w:t>意义</w:t>
      </w:r>
    </w:p>
    <w:p>
      <w:pPr>
        <w:spacing w:line="360" w:lineRule="auto"/>
        <w:ind w:firstLine="480"/>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i w:val="0"/>
          <w:iCs w:val="0"/>
          <w:caps w:val="0"/>
          <w:color w:val="000000"/>
          <w:spacing w:val="0"/>
          <w:kern w:val="0"/>
          <w:sz w:val="28"/>
          <w:szCs w:val="28"/>
          <w:shd w:val="clear"/>
        </w:rPr>
        <w:t>为落实减污降碳总要求，支撑应对气候变化工作成效评估，生态环境部在国内组织开展了碳监测评估试点，确定在火电、钢铁、废弃物处理等重点行业开展碳源排放监测，在方案中均要求企业在固定源安装二氧化碳排放监测设备，通过直接测量所排放的二氧化碳量来对碳排放量的核算提供支撑，因而确保固定源二氧化碳连续监测数据的准确性与可比性至关重要。</w:t>
      </w:r>
    </w:p>
    <w:p>
      <w:pPr>
        <w:spacing w:line="360" w:lineRule="auto"/>
        <w:ind w:firstLine="480"/>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目前国内还没有发布实施的针对固定源二氧化碳排放连续监测系统的国家规范，当前相关的国家计量技术规范有JJF 1585《固定污染源烟气排放连续监测系统校准规范》、JJG 635《一氧化碳、二氧化碳红外气体分析器》检定规程等，其中JJF 1585未涉及烟气中二氧化碳组分，而JJG 635则不适用于固定源连续排放监测系统。为了确保固定源二氧化碳监测数据的准确可靠，为碳排放数据提供有力支撑，有必要制定固定源二氧化碳连续监测系统的计量技术规范。</w:t>
      </w:r>
    </w:p>
    <w:p>
      <w:pPr>
        <w:keepNext w:val="0"/>
        <w:keepLines w:val="0"/>
        <w:pageBreakBefore w:val="0"/>
        <w:widowControl w:val="0"/>
        <w:kinsoku/>
        <w:wordWrap/>
        <w:overflowPunct/>
        <w:topLinePunct w:val="0"/>
        <w:autoSpaceDE/>
        <w:autoSpaceDN/>
        <w:bidi w:val="0"/>
        <w:adjustRightInd/>
        <w:snapToGrid/>
        <w:spacing w:beforeLines="50" w:after="157" w:afterLines="50" w:line="360" w:lineRule="auto"/>
        <w:ind w:firstLine="562" w:firstLineChars="200"/>
        <w:textAlignment w:val="auto"/>
        <w:rPr>
          <w:rFonts w:hint="eastAsia" w:ascii="Times New Roman" w:hAnsi="Times New Roman" w:eastAsia="仿宋_GB2312" w:cs="Times New Roman"/>
          <w:b/>
          <w:color w:val="000000"/>
          <w:kern w:val="0"/>
          <w:sz w:val="28"/>
          <w:szCs w:val="28"/>
          <w:lang w:val="en-US" w:eastAsia="zh-CN"/>
        </w:rPr>
      </w:pPr>
      <w:r>
        <w:rPr>
          <w:rFonts w:hint="default" w:ascii="Times New Roman" w:hAnsi="Times New Roman" w:eastAsia="仿宋_GB2312" w:cs="Times New Roman"/>
          <w:b/>
          <w:color w:val="000000"/>
          <w:kern w:val="0"/>
          <w:sz w:val="28"/>
          <w:szCs w:val="28"/>
        </w:rPr>
        <w:t>四、</w:t>
      </w:r>
      <w:r>
        <w:rPr>
          <w:rFonts w:hint="eastAsia" w:eastAsia="仿宋_GB2312" w:cs="Times New Roman"/>
          <w:b/>
          <w:color w:val="000000"/>
          <w:kern w:val="0"/>
          <w:sz w:val="28"/>
          <w:szCs w:val="28"/>
          <w:lang w:val="en-US" w:eastAsia="zh-CN"/>
        </w:rPr>
        <w:t>编制依据</w:t>
      </w:r>
    </w:p>
    <w:p>
      <w:pPr>
        <w:keepNext w:val="0"/>
        <w:keepLines w:val="0"/>
        <w:pageBreakBefore w:val="0"/>
        <w:widowControl w:val="0"/>
        <w:kinsoku/>
        <w:wordWrap/>
        <w:overflowPunct/>
        <w:topLinePunct w:val="0"/>
        <w:autoSpaceDE/>
        <w:autoSpaceDN/>
        <w:bidi w:val="0"/>
        <w:adjustRightInd/>
        <w:snapToGrid/>
        <w:spacing w:beforeLines="50" w:line="360" w:lineRule="auto"/>
        <w:ind w:firstLine="560" w:firstLineChars="200"/>
        <w:textAlignment w:val="auto"/>
        <w:rPr>
          <w:rFonts w:hint="eastAsia" w:eastAsia="仿宋_GB2312" w:cs="Times New Roman"/>
          <w:color w:val="000000"/>
          <w:kern w:val="0"/>
          <w:sz w:val="28"/>
          <w:szCs w:val="28"/>
          <w:highlight w:val="none"/>
          <w:lang w:val="en-US" w:eastAsia="zh-CN"/>
        </w:rPr>
      </w:pPr>
      <w:r>
        <w:rPr>
          <w:rFonts w:hint="eastAsia" w:eastAsia="仿宋_GB2312" w:cs="Times New Roman"/>
          <w:color w:val="000000"/>
          <w:kern w:val="0"/>
          <w:sz w:val="28"/>
          <w:szCs w:val="28"/>
          <w:highlight w:val="none"/>
          <w:lang w:val="en-US" w:eastAsia="zh-CN"/>
        </w:rPr>
        <w:t>JJF 1071-2010《国家计量校准规范编写规则》、JJF 1001-2011《通用计量术语及定义》、JJF 1005-2016《标准物质通用术语和定义》、JJF 1059.1-2012《测量不确定度评估与表示》、JJF 1094-2002《测量仪器特性评估》，共同构成支撑本规范制订工作的基础性系列规范。</w:t>
      </w:r>
    </w:p>
    <w:p>
      <w:pPr>
        <w:keepNext w:val="0"/>
        <w:keepLines w:val="0"/>
        <w:pageBreakBefore w:val="0"/>
        <w:widowControl w:val="0"/>
        <w:kinsoku/>
        <w:wordWrap/>
        <w:overflowPunct/>
        <w:topLinePunct w:val="0"/>
        <w:autoSpaceDE/>
        <w:autoSpaceDN/>
        <w:bidi w:val="0"/>
        <w:adjustRightInd/>
        <w:snapToGrid/>
        <w:spacing w:beforeLines="50" w:line="360" w:lineRule="auto"/>
        <w:ind w:firstLine="560" w:firstLineChars="200"/>
        <w:textAlignment w:val="auto"/>
        <w:rPr>
          <w:rFonts w:hint="default" w:ascii="Times New Roman" w:hAnsi="Times New Roman" w:eastAsia="仿宋_GB2312" w:cs="Times New Roman"/>
          <w:color w:val="000000"/>
          <w:kern w:val="0"/>
          <w:sz w:val="28"/>
          <w:szCs w:val="28"/>
        </w:rPr>
      </w:pPr>
      <w:r>
        <w:rPr>
          <w:rFonts w:hint="eastAsia" w:eastAsia="仿宋_GB2312" w:cs="Times New Roman"/>
          <w:color w:val="000000"/>
          <w:kern w:val="0"/>
          <w:sz w:val="28"/>
          <w:szCs w:val="28"/>
          <w:highlight w:val="none"/>
          <w:lang w:val="en-US" w:eastAsia="zh-CN"/>
        </w:rPr>
        <w:t>本规范在编制中充分考虑了JJF1585-2016《固定污染源烟气排放连续监测系统校准规范》、JJG 635-2011《一氧化碳、二氧化碳红外气体分析器》检定规程的部分技术指标。</w:t>
      </w:r>
    </w:p>
    <w:p>
      <w:pPr>
        <w:pStyle w:val="22"/>
        <w:bidi w:val="0"/>
        <w:rPr>
          <w:sz w:val="28"/>
          <w:szCs w:val="28"/>
        </w:rPr>
      </w:pPr>
      <w:r>
        <w:rPr>
          <w:rFonts w:hint="eastAsia"/>
          <w:sz w:val="28"/>
          <w:szCs w:val="28"/>
          <w:lang w:val="en-US" w:eastAsia="zh-CN"/>
        </w:rPr>
        <w:t>此外，</w:t>
      </w:r>
      <w:r>
        <w:rPr>
          <w:sz w:val="28"/>
          <w:szCs w:val="28"/>
        </w:rPr>
        <w:t>规范编制过程中</w:t>
      </w:r>
      <w:r>
        <w:rPr>
          <w:rFonts w:hint="eastAsia"/>
          <w:sz w:val="28"/>
          <w:szCs w:val="28"/>
          <w:lang w:val="en-US" w:eastAsia="zh-CN"/>
        </w:rPr>
        <w:t>还</w:t>
      </w:r>
      <w:r>
        <w:rPr>
          <w:sz w:val="28"/>
          <w:szCs w:val="28"/>
        </w:rPr>
        <w:t>重点参考了以下规范、规程、标准：</w:t>
      </w:r>
    </w:p>
    <w:p>
      <w:pPr>
        <w:pStyle w:val="22"/>
        <w:bidi w:val="0"/>
        <w:rPr>
          <w:sz w:val="28"/>
          <w:szCs w:val="28"/>
        </w:rPr>
      </w:pPr>
      <w:r>
        <w:rPr>
          <w:rFonts w:hint="eastAsia"/>
          <w:sz w:val="28"/>
          <w:szCs w:val="28"/>
        </w:rPr>
        <w:t>GB/T 16157-1996 固定污染源排气中颗粒物测定与气态污染物采样方法</w:t>
      </w:r>
    </w:p>
    <w:p>
      <w:pPr>
        <w:pStyle w:val="22"/>
        <w:bidi w:val="0"/>
        <w:rPr>
          <w:sz w:val="28"/>
          <w:szCs w:val="28"/>
        </w:rPr>
      </w:pPr>
      <w:r>
        <w:rPr>
          <w:rFonts w:hint="eastAsia"/>
          <w:sz w:val="28"/>
          <w:szCs w:val="28"/>
          <w:lang w:val="en-US" w:eastAsia="zh-CN"/>
        </w:rPr>
        <w:t>DL/T 2376-2021 火电厂烟气二氧化碳排放连续监测技术规范</w:t>
      </w:r>
    </w:p>
    <w:p>
      <w:pPr>
        <w:pStyle w:val="22"/>
        <w:bidi w:val="0"/>
        <w:rPr>
          <w:sz w:val="28"/>
          <w:szCs w:val="28"/>
        </w:rPr>
      </w:pPr>
      <w:r>
        <w:rPr>
          <w:rFonts w:hint="eastAsia"/>
          <w:sz w:val="28"/>
          <w:szCs w:val="28"/>
          <w:lang w:val="en-US" w:eastAsia="zh-CN"/>
        </w:rPr>
        <w:t>HJ 75-2017 固定污染源烟气（SO</w:t>
      </w:r>
      <w:r>
        <w:rPr>
          <w:rFonts w:hint="eastAsia"/>
          <w:sz w:val="28"/>
          <w:szCs w:val="28"/>
          <w:vertAlign w:val="subscript"/>
          <w:lang w:val="en-US" w:eastAsia="zh-CN"/>
        </w:rPr>
        <w:t>2</w:t>
      </w:r>
      <w:r>
        <w:rPr>
          <w:rFonts w:hint="eastAsia"/>
          <w:sz w:val="28"/>
          <w:szCs w:val="28"/>
          <w:lang w:val="en-US" w:eastAsia="zh-CN"/>
        </w:rPr>
        <w:t>、NO</w:t>
      </w:r>
      <w:r>
        <w:rPr>
          <w:rFonts w:hint="eastAsia"/>
          <w:sz w:val="28"/>
          <w:szCs w:val="28"/>
          <w:vertAlign w:val="subscript"/>
          <w:lang w:val="en-US" w:eastAsia="zh-CN"/>
        </w:rPr>
        <w:t>X</w:t>
      </w:r>
      <w:r>
        <w:rPr>
          <w:rFonts w:hint="eastAsia"/>
          <w:sz w:val="28"/>
          <w:szCs w:val="28"/>
          <w:lang w:val="en-US" w:eastAsia="zh-CN"/>
        </w:rPr>
        <w:t>、颗粒物）排放连续监测技术规范</w:t>
      </w:r>
    </w:p>
    <w:p>
      <w:pPr>
        <w:pStyle w:val="22"/>
        <w:bidi w:val="0"/>
        <w:rPr>
          <w:sz w:val="28"/>
          <w:szCs w:val="28"/>
        </w:rPr>
      </w:pPr>
      <w:r>
        <w:rPr>
          <w:rFonts w:hint="eastAsia"/>
          <w:sz w:val="28"/>
          <w:szCs w:val="28"/>
          <w:lang w:val="en-US" w:eastAsia="zh-CN"/>
        </w:rPr>
        <w:t>HJ 76-2017 固定污染源烟气（SO</w:t>
      </w:r>
      <w:r>
        <w:rPr>
          <w:rFonts w:hint="eastAsia"/>
          <w:sz w:val="28"/>
          <w:szCs w:val="28"/>
          <w:vertAlign w:val="subscript"/>
          <w:lang w:val="en-US" w:eastAsia="zh-CN"/>
        </w:rPr>
        <w:t>2</w:t>
      </w:r>
      <w:r>
        <w:rPr>
          <w:rFonts w:hint="eastAsia"/>
          <w:sz w:val="28"/>
          <w:szCs w:val="28"/>
          <w:lang w:val="en-US" w:eastAsia="zh-CN"/>
        </w:rPr>
        <w:t>、NO</w:t>
      </w:r>
      <w:r>
        <w:rPr>
          <w:rFonts w:hint="eastAsia"/>
          <w:sz w:val="28"/>
          <w:szCs w:val="28"/>
          <w:vertAlign w:val="subscript"/>
          <w:lang w:val="en-US" w:eastAsia="zh-CN"/>
        </w:rPr>
        <w:t>X</w:t>
      </w:r>
      <w:r>
        <w:rPr>
          <w:rFonts w:hint="eastAsia"/>
          <w:sz w:val="28"/>
          <w:szCs w:val="28"/>
          <w:lang w:val="en-US" w:eastAsia="zh-CN"/>
        </w:rPr>
        <w:t>、颗粒物）排放连续监测系统技术要求及检测方法</w:t>
      </w:r>
    </w:p>
    <w:p>
      <w:pPr>
        <w:pStyle w:val="22"/>
        <w:bidi w:val="0"/>
        <w:rPr>
          <w:sz w:val="28"/>
          <w:szCs w:val="28"/>
        </w:rPr>
      </w:pPr>
      <w:r>
        <w:rPr>
          <w:rFonts w:hint="eastAsia"/>
          <w:sz w:val="28"/>
          <w:szCs w:val="28"/>
          <w:lang w:val="en-US" w:eastAsia="zh-CN"/>
        </w:rPr>
        <w:t>HJ 870-2017 固定污染源废气 二氧化碳的测定 非分散红外吸收法</w:t>
      </w:r>
    </w:p>
    <w:p>
      <w:pPr>
        <w:pStyle w:val="22"/>
        <w:bidi w:val="0"/>
        <w:rPr>
          <w:rFonts w:hint="default" w:ascii="Times New Roman" w:hAnsi="Times New Roman" w:eastAsia="仿宋_GB2312" w:cs="Times New Roman"/>
          <w:color w:val="000000"/>
          <w:kern w:val="0"/>
          <w:sz w:val="28"/>
          <w:szCs w:val="28"/>
        </w:rPr>
      </w:pPr>
      <w:r>
        <w:rPr>
          <w:rFonts w:hint="eastAsia"/>
          <w:sz w:val="28"/>
          <w:szCs w:val="28"/>
          <w:lang w:val="en-US" w:eastAsia="zh-CN"/>
        </w:rPr>
        <w:t>HJ 1240-2021 固定污染源废气 气体污染物（SO</w:t>
      </w:r>
      <w:r>
        <w:rPr>
          <w:rFonts w:hint="eastAsia"/>
          <w:sz w:val="28"/>
          <w:szCs w:val="28"/>
          <w:vertAlign w:val="subscript"/>
          <w:lang w:val="en-US" w:eastAsia="zh-CN"/>
        </w:rPr>
        <w:t>2</w:t>
      </w:r>
      <w:r>
        <w:rPr>
          <w:rFonts w:hint="eastAsia"/>
          <w:sz w:val="28"/>
          <w:szCs w:val="28"/>
          <w:lang w:val="en-US" w:eastAsia="zh-CN"/>
        </w:rPr>
        <w:t>、NO、NO</w:t>
      </w:r>
      <w:r>
        <w:rPr>
          <w:rFonts w:hint="eastAsia"/>
          <w:sz w:val="28"/>
          <w:szCs w:val="28"/>
          <w:vertAlign w:val="subscript"/>
          <w:lang w:val="en-US" w:eastAsia="zh-CN"/>
        </w:rPr>
        <w:t>2</w:t>
      </w:r>
      <w:r>
        <w:rPr>
          <w:rFonts w:hint="eastAsia"/>
          <w:sz w:val="28"/>
          <w:szCs w:val="28"/>
          <w:lang w:val="en-US" w:eastAsia="zh-CN"/>
        </w:rPr>
        <w:t>、CO、CO</w:t>
      </w:r>
      <w:r>
        <w:rPr>
          <w:rFonts w:hint="eastAsia"/>
          <w:sz w:val="28"/>
          <w:szCs w:val="28"/>
          <w:vertAlign w:val="subscript"/>
          <w:lang w:val="en-US" w:eastAsia="zh-CN"/>
        </w:rPr>
        <w:t>2</w:t>
      </w:r>
      <w:r>
        <w:rPr>
          <w:rFonts w:hint="eastAsia"/>
          <w:sz w:val="28"/>
          <w:szCs w:val="28"/>
          <w:lang w:val="en-US" w:eastAsia="zh-CN"/>
        </w:rPr>
        <w:t>）的测定 便携式傅立叶变换红外光谱法</w:t>
      </w:r>
    </w:p>
    <w:p>
      <w:pPr>
        <w:keepNext w:val="0"/>
        <w:keepLines w:val="0"/>
        <w:pageBreakBefore w:val="0"/>
        <w:widowControl w:val="0"/>
        <w:kinsoku/>
        <w:wordWrap/>
        <w:overflowPunct/>
        <w:topLinePunct w:val="0"/>
        <w:autoSpaceDE/>
        <w:autoSpaceDN/>
        <w:bidi w:val="0"/>
        <w:adjustRightInd/>
        <w:snapToGrid/>
        <w:spacing w:beforeLines="50" w:after="157" w:afterLines="50" w:line="360" w:lineRule="auto"/>
        <w:ind w:firstLine="562" w:firstLineChars="200"/>
        <w:textAlignment w:val="auto"/>
        <w:rPr>
          <w:rFonts w:hint="default" w:ascii="Times New Roman" w:hAnsi="Times New Roman" w:eastAsia="仿宋_GB2312" w:cs="Times New Roman"/>
          <w:b/>
          <w:color w:val="000000"/>
          <w:kern w:val="0"/>
          <w:sz w:val="28"/>
          <w:szCs w:val="28"/>
        </w:rPr>
      </w:pPr>
      <w:r>
        <w:rPr>
          <w:rFonts w:hint="eastAsia" w:eastAsia="仿宋_GB2312" w:cs="Times New Roman"/>
          <w:b/>
          <w:color w:val="000000"/>
          <w:kern w:val="0"/>
          <w:sz w:val="28"/>
          <w:szCs w:val="28"/>
          <w:lang w:val="en-US" w:eastAsia="zh-CN"/>
        </w:rPr>
        <w:t>五</w:t>
      </w:r>
      <w:r>
        <w:rPr>
          <w:rFonts w:hint="default" w:ascii="Times New Roman" w:hAnsi="Times New Roman" w:eastAsia="仿宋_GB2312" w:cs="Times New Roman"/>
          <w:b/>
          <w:color w:val="000000"/>
          <w:kern w:val="0"/>
          <w:sz w:val="28"/>
          <w:szCs w:val="28"/>
        </w:rPr>
        <w:t>、规范主要内容</w:t>
      </w:r>
    </w:p>
    <w:p>
      <w:pPr>
        <w:keepNext w:val="0"/>
        <w:keepLines w:val="0"/>
        <w:pageBreakBefore w:val="0"/>
        <w:widowControl w:val="0"/>
        <w:kinsoku/>
        <w:wordWrap/>
        <w:overflowPunct/>
        <w:topLinePunct w:val="0"/>
        <w:autoSpaceDE/>
        <w:autoSpaceDN/>
        <w:bidi w:val="0"/>
        <w:adjustRightInd/>
        <w:snapToGrid/>
        <w:spacing w:beforeLines="50" w:line="360" w:lineRule="auto"/>
        <w:ind w:firstLine="560" w:firstLineChars="200"/>
        <w:textAlignment w:val="auto"/>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本</w:t>
      </w:r>
      <w:r>
        <w:rPr>
          <w:rFonts w:hint="eastAsia" w:eastAsia="仿宋_GB2312" w:cs="Times New Roman"/>
          <w:color w:val="000000"/>
          <w:kern w:val="0"/>
          <w:sz w:val="28"/>
          <w:szCs w:val="28"/>
          <w:highlight w:val="none"/>
          <w:lang w:val="en-US" w:eastAsia="zh-CN"/>
        </w:rPr>
        <w:t>规范</w:t>
      </w:r>
      <w:r>
        <w:rPr>
          <w:rFonts w:hint="default" w:ascii="Times New Roman" w:hAnsi="Times New Roman" w:eastAsia="仿宋_GB2312" w:cs="Times New Roman"/>
          <w:color w:val="000000"/>
          <w:kern w:val="0"/>
          <w:sz w:val="28"/>
          <w:szCs w:val="28"/>
        </w:rPr>
        <w:t>为首次制定，内容编制将遵循技术法规的科学性、先进性和可操作性原则。主要内容如下：</w:t>
      </w:r>
    </w:p>
    <w:p>
      <w:pPr>
        <w:pStyle w:val="21"/>
        <w:numPr>
          <w:ilvl w:val="0"/>
          <w:numId w:val="0"/>
        </w:numPr>
        <w:bidi w:val="0"/>
        <w:ind w:leftChars="0" w:firstLine="560" w:firstLineChars="200"/>
        <w:rPr>
          <w:rFonts w:hint="default"/>
        </w:rPr>
      </w:pPr>
      <w:r>
        <w:rPr>
          <w:rFonts w:hint="eastAsia"/>
          <w:lang w:val="en-US" w:eastAsia="zh-CN"/>
        </w:rPr>
        <w:t>5.1</w:t>
      </w:r>
      <w:r>
        <w:rPr>
          <w:rFonts w:hint="default"/>
        </w:rPr>
        <w:t>引言</w:t>
      </w:r>
      <w:bookmarkStart w:id="0" w:name="_GoBack"/>
      <w:bookmarkEnd w:id="0"/>
    </w:p>
    <w:p>
      <w:pPr>
        <w:pStyle w:val="22"/>
        <w:bidi w:val="0"/>
        <w:rPr>
          <w:rFonts w:hint="default"/>
          <w:sz w:val="28"/>
          <w:szCs w:val="28"/>
        </w:rPr>
      </w:pPr>
      <w:r>
        <w:rPr>
          <w:rFonts w:hint="eastAsia"/>
          <w:sz w:val="28"/>
          <w:szCs w:val="28"/>
          <w:lang w:val="en-US" w:eastAsia="zh-CN"/>
        </w:rPr>
        <w:t>介绍了规范的编制依据及标准参考情况</w:t>
      </w:r>
      <w:r>
        <w:rPr>
          <w:rFonts w:hint="default"/>
          <w:sz w:val="28"/>
          <w:szCs w:val="28"/>
          <w:lang w:val="en-US" w:eastAsia="zh-CN"/>
        </w:rPr>
        <w:t>。</w:t>
      </w:r>
    </w:p>
    <w:p>
      <w:pPr>
        <w:pStyle w:val="21"/>
        <w:numPr>
          <w:ilvl w:val="0"/>
          <w:numId w:val="0"/>
        </w:numPr>
        <w:bidi w:val="0"/>
        <w:ind w:leftChars="0" w:firstLine="560" w:firstLineChars="200"/>
        <w:rPr>
          <w:rFonts w:hint="default"/>
          <w:lang w:val="en-US" w:eastAsia="zh-CN"/>
        </w:rPr>
      </w:pPr>
      <w:r>
        <w:rPr>
          <w:rFonts w:hint="eastAsia"/>
          <w:lang w:val="en-US" w:eastAsia="zh-CN"/>
        </w:rPr>
        <w:t>5.2</w:t>
      </w:r>
      <w:r>
        <w:rPr>
          <w:rFonts w:hint="default"/>
          <w:lang w:val="en-US" w:eastAsia="zh-CN"/>
        </w:rPr>
        <w:t>范围</w:t>
      </w:r>
    </w:p>
    <w:p>
      <w:pPr>
        <w:pStyle w:val="22"/>
        <w:bidi w:val="0"/>
        <w:rPr>
          <w:rFonts w:hint="default"/>
          <w:sz w:val="28"/>
          <w:szCs w:val="28"/>
          <w:lang w:val="zh-CN" w:eastAsia="zh-CN"/>
        </w:rPr>
      </w:pPr>
      <w:r>
        <w:rPr>
          <w:rFonts w:hint="default"/>
          <w:sz w:val="28"/>
          <w:szCs w:val="28"/>
          <w:lang w:val="en-US" w:eastAsia="zh-CN"/>
        </w:rPr>
        <w:t>本规范适用于非工况状态下及工况状态下固定源二氧化碳排放连续监测系统的校准</w:t>
      </w:r>
      <w:r>
        <w:rPr>
          <w:rFonts w:hint="default"/>
          <w:sz w:val="28"/>
          <w:szCs w:val="28"/>
          <w:lang w:val="zh-CN" w:eastAsia="zh-CN"/>
        </w:rPr>
        <w:t>。</w:t>
      </w:r>
    </w:p>
    <w:p>
      <w:pPr>
        <w:pStyle w:val="21"/>
        <w:numPr>
          <w:ilvl w:val="0"/>
          <w:numId w:val="0"/>
        </w:numPr>
        <w:bidi w:val="0"/>
        <w:ind w:leftChars="0" w:firstLine="560" w:firstLineChars="200"/>
        <w:rPr>
          <w:rFonts w:hint="default"/>
          <w:sz w:val="28"/>
          <w:szCs w:val="28"/>
          <w:lang w:val="en-US" w:eastAsia="zh-CN"/>
        </w:rPr>
      </w:pPr>
      <w:r>
        <w:rPr>
          <w:rFonts w:hint="eastAsia"/>
          <w:sz w:val="28"/>
          <w:szCs w:val="28"/>
          <w:lang w:val="en-US" w:eastAsia="zh-CN"/>
        </w:rPr>
        <w:t>5.3概述</w:t>
      </w:r>
    </w:p>
    <w:p>
      <w:pPr>
        <w:pStyle w:val="22"/>
        <w:bidi w:val="0"/>
        <w:rPr>
          <w:rFonts w:hint="default"/>
          <w:sz w:val="28"/>
          <w:szCs w:val="28"/>
          <w:lang w:val="en-US" w:eastAsia="zh-CN"/>
        </w:rPr>
      </w:pPr>
      <w:r>
        <w:rPr>
          <w:rFonts w:hint="eastAsia"/>
          <w:sz w:val="28"/>
          <w:szCs w:val="28"/>
          <w:lang w:val="en-US" w:eastAsia="zh-CN"/>
        </w:rPr>
        <w:t>介绍了固定源二氧化碳排放连续监测系统的用途、组成及原理等相关情况。</w:t>
      </w:r>
    </w:p>
    <w:p>
      <w:pPr>
        <w:pStyle w:val="21"/>
        <w:numPr>
          <w:ilvl w:val="0"/>
          <w:numId w:val="0"/>
        </w:numPr>
        <w:bidi w:val="0"/>
        <w:ind w:leftChars="0" w:firstLine="560" w:firstLineChars="200"/>
        <w:rPr>
          <w:rFonts w:hint="default"/>
          <w:sz w:val="28"/>
          <w:szCs w:val="28"/>
          <w:lang w:val="en-US" w:eastAsia="zh-CN"/>
        </w:rPr>
      </w:pPr>
      <w:r>
        <w:rPr>
          <w:rFonts w:hint="eastAsia"/>
          <w:sz w:val="28"/>
          <w:szCs w:val="28"/>
          <w:lang w:val="en-US" w:eastAsia="zh-CN"/>
        </w:rPr>
        <w:t>5.4计量特性</w:t>
      </w:r>
    </w:p>
    <w:p>
      <w:pPr>
        <w:pStyle w:val="22"/>
        <w:bidi w:val="0"/>
        <w:rPr>
          <w:rFonts w:hint="default"/>
          <w:sz w:val="28"/>
          <w:szCs w:val="28"/>
          <w:lang w:val="en-US" w:eastAsia="zh-CN"/>
        </w:rPr>
      </w:pPr>
      <w:r>
        <w:rPr>
          <w:rFonts w:hint="eastAsia"/>
          <w:sz w:val="28"/>
          <w:szCs w:val="28"/>
          <w:lang w:val="en-US" w:eastAsia="zh-CN"/>
        </w:rPr>
        <w:t>规定了固定源二氧化碳排放连续监测系统的计量特性，按照非工况状态及工况状态下进行了区分。</w:t>
      </w:r>
    </w:p>
    <w:p>
      <w:pPr>
        <w:pStyle w:val="21"/>
        <w:numPr>
          <w:ilvl w:val="0"/>
          <w:numId w:val="0"/>
        </w:numPr>
        <w:bidi w:val="0"/>
        <w:ind w:leftChars="0" w:firstLine="560" w:firstLineChars="200"/>
        <w:rPr>
          <w:rFonts w:hint="default"/>
          <w:sz w:val="28"/>
          <w:szCs w:val="28"/>
          <w:lang w:val="en-US" w:eastAsia="zh-CN"/>
        </w:rPr>
      </w:pPr>
      <w:r>
        <w:rPr>
          <w:rFonts w:hint="eastAsia"/>
          <w:sz w:val="28"/>
          <w:szCs w:val="28"/>
          <w:lang w:val="en-US" w:eastAsia="zh-CN"/>
        </w:rPr>
        <w:t>5.5校准条件</w:t>
      </w:r>
    </w:p>
    <w:p>
      <w:pPr>
        <w:pStyle w:val="22"/>
        <w:bidi w:val="0"/>
        <w:rPr>
          <w:rFonts w:hint="default"/>
          <w:sz w:val="28"/>
          <w:szCs w:val="28"/>
          <w:lang w:val="en-US" w:eastAsia="zh-CN"/>
        </w:rPr>
      </w:pPr>
      <w:r>
        <w:rPr>
          <w:rFonts w:hint="eastAsia"/>
          <w:sz w:val="28"/>
          <w:szCs w:val="28"/>
          <w:lang w:val="en-US" w:eastAsia="zh-CN"/>
        </w:rPr>
        <w:t>规定了固定源二氧化碳排放连续监测系统校准应满足的环境条件，以及非工况与工况状态下校准所需要配备的计量器具及相应技术指标。</w:t>
      </w:r>
    </w:p>
    <w:p>
      <w:pPr>
        <w:pStyle w:val="21"/>
        <w:numPr>
          <w:ilvl w:val="0"/>
          <w:numId w:val="0"/>
        </w:numPr>
        <w:bidi w:val="0"/>
        <w:ind w:leftChars="0" w:firstLine="560" w:firstLineChars="200"/>
        <w:rPr>
          <w:rFonts w:hint="default"/>
          <w:sz w:val="28"/>
          <w:szCs w:val="28"/>
          <w:lang w:val="en-US" w:eastAsia="zh-CN"/>
        </w:rPr>
      </w:pPr>
      <w:r>
        <w:rPr>
          <w:rFonts w:hint="eastAsia"/>
          <w:sz w:val="28"/>
          <w:szCs w:val="28"/>
          <w:lang w:val="en-US" w:eastAsia="zh-CN"/>
        </w:rPr>
        <w:t>5.6校准项目和方法</w:t>
      </w:r>
    </w:p>
    <w:p>
      <w:pPr>
        <w:pStyle w:val="22"/>
        <w:bidi w:val="0"/>
        <w:rPr>
          <w:rFonts w:hint="default"/>
          <w:sz w:val="28"/>
          <w:szCs w:val="28"/>
          <w:lang w:val="en-US" w:eastAsia="zh-CN"/>
        </w:rPr>
      </w:pPr>
      <w:r>
        <w:rPr>
          <w:rFonts w:hint="eastAsia"/>
          <w:sz w:val="28"/>
          <w:szCs w:val="28"/>
          <w:lang w:val="en-US" w:eastAsia="zh-CN"/>
        </w:rPr>
        <w:t>规定了固定源二氧化碳排放连续监测系统工况状态及非工况状态下各项目的校准方法。包括非工况状态下的示值误差、重复性、响应时间、漂移，工况状态下的二氧化碳浓度、流速、温度、湿度。</w:t>
      </w:r>
    </w:p>
    <w:p>
      <w:pPr>
        <w:pStyle w:val="21"/>
        <w:numPr>
          <w:ilvl w:val="0"/>
          <w:numId w:val="0"/>
        </w:numPr>
        <w:bidi w:val="0"/>
        <w:ind w:leftChars="0" w:firstLine="560" w:firstLineChars="200"/>
        <w:rPr>
          <w:rFonts w:hint="default"/>
          <w:sz w:val="28"/>
          <w:szCs w:val="28"/>
          <w:lang w:val="zh-CN" w:eastAsia="zh-CN"/>
        </w:rPr>
      </w:pPr>
      <w:r>
        <w:rPr>
          <w:rFonts w:hint="eastAsia"/>
          <w:sz w:val="28"/>
          <w:szCs w:val="28"/>
          <w:lang w:val="en-US" w:eastAsia="zh-CN"/>
        </w:rPr>
        <w:t>5.7</w:t>
      </w:r>
      <w:r>
        <w:rPr>
          <w:rFonts w:hint="default"/>
          <w:sz w:val="28"/>
          <w:szCs w:val="28"/>
          <w:lang w:val="zh-CN" w:eastAsia="zh-CN"/>
        </w:rPr>
        <w:t>校准结果的表达</w:t>
      </w:r>
    </w:p>
    <w:p>
      <w:pPr>
        <w:pStyle w:val="22"/>
        <w:bidi w:val="0"/>
        <w:rPr>
          <w:rFonts w:hint="default"/>
          <w:sz w:val="28"/>
          <w:szCs w:val="28"/>
          <w:lang w:val="en-US" w:eastAsia="zh-CN"/>
        </w:rPr>
      </w:pPr>
      <w:r>
        <w:rPr>
          <w:rFonts w:hint="eastAsia"/>
          <w:sz w:val="28"/>
          <w:szCs w:val="28"/>
          <w:lang w:val="en-US" w:eastAsia="zh-CN"/>
        </w:rPr>
        <w:t>规定了固定源二氧化碳排放连续监测系统校准证书至少应包含的内容。</w:t>
      </w:r>
    </w:p>
    <w:p>
      <w:pPr>
        <w:pStyle w:val="21"/>
        <w:numPr>
          <w:ilvl w:val="0"/>
          <w:numId w:val="0"/>
        </w:numPr>
        <w:bidi w:val="0"/>
        <w:ind w:leftChars="0" w:firstLine="560" w:firstLineChars="200"/>
        <w:rPr>
          <w:rFonts w:hint="default"/>
          <w:sz w:val="28"/>
          <w:szCs w:val="28"/>
          <w:lang w:val="zh-CN" w:eastAsia="zh-CN"/>
        </w:rPr>
      </w:pPr>
      <w:r>
        <w:rPr>
          <w:rFonts w:hint="eastAsia"/>
          <w:sz w:val="28"/>
          <w:szCs w:val="28"/>
          <w:lang w:val="en-US" w:eastAsia="zh-CN"/>
        </w:rPr>
        <w:t>5.8</w:t>
      </w:r>
      <w:r>
        <w:rPr>
          <w:rFonts w:hint="default"/>
          <w:sz w:val="28"/>
          <w:szCs w:val="28"/>
          <w:lang w:val="zh-CN" w:eastAsia="zh-CN"/>
        </w:rPr>
        <w:t>复校时间间隔</w:t>
      </w:r>
    </w:p>
    <w:p>
      <w:pPr>
        <w:pStyle w:val="22"/>
        <w:bidi w:val="0"/>
        <w:rPr>
          <w:rFonts w:hint="default"/>
          <w:sz w:val="28"/>
          <w:szCs w:val="28"/>
          <w:lang w:val="zh-CN" w:eastAsia="zh-CN"/>
        </w:rPr>
      </w:pPr>
      <w:r>
        <w:rPr>
          <w:rFonts w:hint="eastAsia"/>
          <w:sz w:val="28"/>
          <w:szCs w:val="28"/>
          <w:lang w:val="en-US" w:eastAsia="zh-CN"/>
        </w:rPr>
        <w:t>规定了固定源二氧化碳排放连续监测系统的建议复校时间间隔。</w:t>
      </w:r>
    </w:p>
    <w:p>
      <w:pPr>
        <w:pStyle w:val="21"/>
        <w:numPr>
          <w:ilvl w:val="0"/>
          <w:numId w:val="0"/>
        </w:numPr>
        <w:bidi w:val="0"/>
        <w:ind w:leftChars="0" w:firstLine="560" w:firstLineChars="200"/>
        <w:rPr>
          <w:rFonts w:hint="default"/>
          <w:sz w:val="28"/>
          <w:szCs w:val="28"/>
          <w:lang w:val="zh-CN" w:eastAsia="zh-CN"/>
        </w:rPr>
      </w:pPr>
      <w:r>
        <w:rPr>
          <w:rFonts w:hint="eastAsia"/>
          <w:sz w:val="28"/>
          <w:szCs w:val="28"/>
          <w:lang w:val="en-US" w:eastAsia="zh-CN"/>
        </w:rPr>
        <w:t>5.9</w:t>
      </w:r>
      <w:r>
        <w:rPr>
          <w:rFonts w:hint="default"/>
          <w:sz w:val="28"/>
          <w:szCs w:val="28"/>
          <w:lang w:val="zh-CN" w:eastAsia="zh-CN"/>
        </w:rPr>
        <w:t>附录A</w:t>
      </w:r>
    </w:p>
    <w:p>
      <w:pPr>
        <w:pStyle w:val="22"/>
        <w:bidi w:val="0"/>
        <w:rPr>
          <w:rFonts w:hint="default"/>
          <w:sz w:val="28"/>
          <w:szCs w:val="28"/>
          <w:lang w:val="en-US" w:eastAsia="zh-CN"/>
        </w:rPr>
      </w:pPr>
      <w:r>
        <w:rPr>
          <w:rFonts w:hint="eastAsia"/>
          <w:sz w:val="28"/>
          <w:szCs w:val="28"/>
          <w:lang w:val="en-US" w:eastAsia="zh-CN"/>
        </w:rPr>
        <w:t>给出了固定源二氧化碳排放连续监测系统校准原始记录参考格式。</w:t>
      </w:r>
    </w:p>
    <w:p>
      <w:pPr>
        <w:pStyle w:val="21"/>
        <w:numPr>
          <w:ilvl w:val="0"/>
          <w:numId w:val="0"/>
        </w:numPr>
        <w:bidi w:val="0"/>
        <w:ind w:leftChars="0" w:firstLine="560" w:firstLineChars="200"/>
        <w:rPr>
          <w:rFonts w:hint="default"/>
          <w:sz w:val="28"/>
          <w:szCs w:val="28"/>
          <w:lang w:val="zh-CN" w:eastAsia="zh-CN"/>
        </w:rPr>
      </w:pPr>
      <w:r>
        <w:rPr>
          <w:rFonts w:hint="eastAsia"/>
          <w:sz w:val="28"/>
          <w:szCs w:val="28"/>
          <w:lang w:val="en-US" w:eastAsia="zh-CN"/>
        </w:rPr>
        <w:t>5.10</w:t>
      </w:r>
      <w:r>
        <w:rPr>
          <w:rFonts w:hint="default"/>
          <w:sz w:val="28"/>
          <w:szCs w:val="28"/>
          <w:lang w:val="zh-CN" w:eastAsia="zh-CN"/>
        </w:rPr>
        <w:t>附录B</w:t>
      </w:r>
    </w:p>
    <w:p>
      <w:pPr>
        <w:pStyle w:val="22"/>
        <w:bidi w:val="0"/>
        <w:rPr>
          <w:rFonts w:hint="default"/>
          <w:sz w:val="28"/>
          <w:szCs w:val="28"/>
          <w:lang w:val="en-US" w:eastAsia="zh-CN"/>
        </w:rPr>
      </w:pPr>
      <w:r>
        <w:rPr>
          <w:rFonts w:hint="eastAsia"/>
          <w:sz w:val="28"/>
          <w:szCs w:val="28"/>
          <w:lang w:val="en-US" w:eastAsia="zh-CN"/>
        </w:rPr>
        <w:t>给出了固定源二氧化碳排放连续监测系统校准证书内页的参考格式。</w:t>
      </w:r>
    </w:p>
    <w:p>
      <w:pPr>
        <w:pStyle w:val="21"/>
        <w:numPr>
          <w:ilvl w:val="0"/>
          <w:numId w:val="0"/>
        </w:numPr>
        <w:bidi w:val="0"/>
        <w:ind w:leftChars="0" w:firstLine="560" w:firstLineChars="200"/>
        <w:rPr>
          <w:rFonts w:hint="default"/>
          <w:sz w:val="28"/>
          <w:szCs w:val="28"/>
          <w:lang w:val="zh-CN" w:eastAsia="zh-CN"/>
        </w:rPr>
      </w:pPr>
      <w:r>
        <w:rPr>
          <w:rFonts w:hint="eastAsia"/>
          <w:sz w:val="28"/>
          <w:szCs w:val="28"/>
          <w:lang w:val="en-US" w:eastAsia="zh-CN"/>
        </w:rPr>
        <w:t>5.11</w:t>
      </w:r>
      <w:r>
        <w:rPr>
          <w:rFonts w:hint="default"/>
          <w:sz w:val="28"/>
          <w:szCs w:val="28"/>
          <w:lang w:val="zh-CN" w:eastAsia="zh-CN"/>
        </w:rPr>
        <w:t>附录</w:t>
      </w:r>
      <w:r>
        <w:rPr>
          <w:rFonts w:hint="eastAsia"/>
          <w:sz w:val="28"/>
          <w:szCs w:val="28"/>
          <w:lang w:val="en-US" w:eastAsia="zh-CN"/>
        </w:rPr>
        <w:t>C</w:t>
      </w:r>
    </w:p>
    <w:p>
      <w:pPr>
        <w:pStyle w:val="22"/>
        <w:bidi w:val="0"/>
        <w:rPr>
          <w:rFonts w:hint="default"/>
          <w:sz w:val="28"/>
          <w:szCs w:val="28"/>
          <w:lang w:val="en-US" w:eastAsia="zh-CN"/>
        </w:rPr>
      </w:pPr>
      <w:r>
        <w:rPr>
          <w:rFonts w:hint="eastAsia"/>
          <w:sz w:val="28"/>
          <w:szCs w:val="28"/>
          <w:lang w:val="en-US" w:eastAsia="zh-CN"/>
        </w:rPr>
        <w:t>给出了固定源二氧化碳排放连续监测系统测量结果不确定度的评定示例。</w:t>
      </w:r>
    </w:p>
    <w:p>
      <w:pPr>
        <w:spacing w:line="360" w:lineRule="auto"/>
        <w:ind w:firstLine="642" w:firstLineChars="200"/>
        <w:jc w:val="right"/>
        <w:rPr>
          <w:rFonts w:hint="default" w:ascii="Times New Roman" w:hAnsi="Times New Roman" w:eastAsia="仿宋_GB2312" w:cs="Times New Roman"/>
          <w:b/>
          <w:bCs/>
          <w:color w:val="000000"/>
          <w:kern w:val="0"/>
          <w:sz w:val="32"/>
          <w:szCs w:val="32"/>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仿宋">
    <w:panose1 w:val="02010609060101010101"/>
    <w:charset w:val="86"/>
    <w:family w:val="modern"/>
    <w:pitch w:val="default"/>
    <w:sig w:usb0="800002BF" w:usb1="38CF7CFA" w:usb2="00000016" w:usb3="00000000" w:csb0="00040001" w:csb1="00000000"/>
  </w:font>
  <w:font w:name="Tahoma">
    <w:altName w:val="DejaVu Sans"/>
    <w:panose1 w:val="020B0604030504040204"/>
    <w:charset w:val="00"/>
    <w:family w:val="swiss"/>
    <w:pitch w:val="default"/>
    <w:sig w:usb0="00000000" w:usb1="00000000"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SECTIONPAGES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">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SECTIONPAGES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F395ED"/>
    <w:multiLevelType w:val="singleLevel"/>
    <w:tmpl w:val="C5F395ED"/>
    <w:lvl w:ilvl="0" w:tentative="0">
      <w:start w:val="1"/>
      <w:numFmt w:val="decimal"/>
      <w:pStyle w:val="21"/>
      <w:suff w:val="nothing"/>
      <w:lvlText w:val="6.%1"/>
      <w:lvlJc w:val="left"/>
      <w:pPr>
        <w:tabs>
          <w:tab w:val="left" w:pos="0"/>
        </w:tabs>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2NmU3N2RkODQ3NDA4YjY0MTI0NTQxOWQ1NzQ0NTgifQ=="/>
  </w:docVars>
  <w:rsids>
    <w:rsidRoot w:val="00B54640"/>
    <w:rsid w:val="00002AA3"/>
    <w:rsid w:val="000111A8"/>
    <w:rsid w:val="00024AD0"/>
    <w:rsid w:val="000432E4"/>
    <w:rsid w:val="00045408"/>
    <w:rsid w:val="00065747"/>
    <w:rsid w:val="00072F9E"/>
    <w:rsid w:val="0007518D"/>
    <w:rsid w:val="00081136"/>
    <w:rsid w:val="000967E5"/>
    <w:rsid w:val="000E2DB0"/>
    <w:rsid w:val="000E5EEA"/>
    <w:rsid w:val="00100600"/>
    <w:rsid w:val="0010628C"/>
    <w:rsid w:val="00117225"/>
    <w:rsid w:val="00125ED1"/>
    <w:rsid w:val="001261FB"/>
    <w:rsid w:val="001459EA"/>
    <w:rsid w:val="001B240D"/>
    <w:rsid w:val="001B7FCF"/>
    <w:rsid w:val="001E60B2"/>
    <w:rsid w:val="001E66BB"/>
    <w:rsid w:val="001F49A2"/>
    <w:rsid w:val="00223F43"/>
    <w:rsid w:val="00251635"/>
    <w:rsid w:val="002570E7"/>
    <w:rsid w:val="00263B08"/>
    <w:rsid w:val="00270389"/>
    <w:rsid w:val="00277F67"/>
    <w:rsid w:val="002A4354"/>
    <w:rsid w:val="002B33FD"/>
    <w:rsid w:val="002C51E6"/>
    <w:rsid w:val="002C669B"/>
    <w:rsid w:val="002E48F8"/>
    <w:rsid w:val="002F3A23"/>
    <w:rsid w:val="002F4F4A"/>
    <w:rsid w:val="002F62C6"/>
    <w:rsid w:val="003016E5"/>
    <w:rsid w:val="0032722A"/>
    <w:rsid w:val="003573A8"/>
    <w:rsid w:val="00381661"/>
    <w:rsid w:val="0038241B"/>
    <w:rsid w:val="00394E55"/>
    <w:rsid w:val="00395198"/>
    <w:rsid w:val="003C5A51"/>
    <w:rsid w:val="003D013C"/>
    <w:rsid w:val="003D2031"/>
    <w:rsid w:val="00401C38"/>
    <w:rsid w:val="004860B6"/>
    <w:rsid w:val="004A1A3B"/>
    <w:rsid w:val="004B3375"/>
    <w:rsid w:val="005251DD"/>
    <w:rsid w:val="00562E3C"/>
    <w:rsid w:val="005652D8"/>
    <w:rsid w:val="00574624"/>
    <w:rsid w:val="005A612F"/>
    <w:rsid w:val="00613688"/>
    <w:rsid w:val="006153FD"/>
    <w:rsid w:val="0062394B"/>
    <w:rsid w:val="006242C0"/>
    <w:rsid w:val="006271FF"/>
    <w:rsid w:val="00662957"/>
    <w:rsid w:val="006701C4"/>
    <w:rsid w:val="00687895"/>
    <w:rsid w:val="00696AF4"/>
    <w:rsid w:val="006B1DD1"/>
    <w:rsid w:val="006D7356"/>
    <w:rsid w:val="006F02C0"/>
    <w:rsid w:val="007031ED"/>
    <w:rsid w:val="0071685C"/>
    <w:rsid w:val="00722AA5"/>
    <w:rsid w:val="00733A45"/>
    <w:rsid w:val="0073635D"/>
    <w:rsid w:val="00750174"/>
    <w:rsid w:val="0077158A"/>
    <w:rsid w:val="00771DEF"/>
    <w:rsid w:val="00773570"/>
    <w:rsid w:val="007B25BD"/>
    <w:rsid w:val="007B2834"/>
    <w:rsid w:val="007C5393"/>
    <w:rsid w:val="007D5260"/>
    <w:rsid w:val="007E5E98"/>
    <w:rsid w:val="00826FCD"/>
    <w:rsid w:val="00850060"/>
    <w:rsid w:val="008579E9"/>
    <w:rsid w:val="008653E2"/>
    <w:rsid w:val="00874983"/>
    <w:rsid w:val="00893810"/>
    <w:rsid w:val="008B4210"/>
    <w:rsid w:val="008C3162"/>
    <w:rsid w:val="008C4F78"/>
    <w:rsid w:val="008D28EC"/>
    <w:rsid w:val="008E19E6"/>
    <w:rsid w:val="009048DA"/>
    <w:rsid w:val="00913326"/>
    <w:rsid w:val="0092603E"/>
    <w:rsid w:val="00946452"/>
    <w:rsid w:val="00946591"/>
    <w:rsid w:val="00955312"/>
    <w:rsid w:val="00957A50"/>
    <w:rsid w:val="009751AB"/>
    <w:rsid w:val="009770CA"/>
    <w:rsid w:val="009D2AF8"/>
    <w:rsid w:val="009E17C5"/>
    <w:rsid w:val="009E339B"/>
    <w:rsid w:val="009E44E4"/>
    <w:rsid w:val="009E7041"/>
    <w:rsid w:val="009F2C31"/>
    <w:rsid w:val="00A012B3"/>
    <w:rsid w:val="00A04927"/>
    <w:rsid w:val="00A05AE6"/>
    <w:rsid w:val="00A567A6"/>
    <w:rsid w:val="00A64693"/>
    <w:rsid w:val="00A7623B"/>
    <w:rsid w:val="00A80411"/>
    <w:rsid w:val="00A86118"/>
    <w:rsid w:val="00AA116A"/>
    <w:rsid w:val="00AB7160"/>
    <w:rsid w:val="00AC1AB0"/>
    <w:rsid w:val="00AC772D"/>
    <w:rsid w:val="00AE5608"/>
    <w:rsid w:val="00B05475"/>
    <w:rsid w:val="00B07C01"/>
    <w:rsid w:val="00B2138A"/>
    <w:rsid w:val="00B4181C"/>
    <w:rsid w:val="00B54640"/>
    <w:rsid w:val="00B63A7B"/>
    <w:rsid w:val="00B743BA"/>
    <w:rsid w:val="00B7465D"/>
    <w:rsid w:val="00B82E98"/>
    <w:rsid w:val="00B8579F"/>
    <w:rsid w:val="00B86C46"/>
    <w:rsid w:val="00B874B7"/>
    <w:rsid w:val="00BA7BCA"/>
    <w:rsid w:val="00BB3955"/>
    <w:rsid w:val="00BC1746"/>
    <w:rsid w:val="00BC7D1B"/>
    <w:rsid w:val="00BD3C91"/>
    <w:rsid w:val="00BE40E0"/>
    <w:rsid w:val="00BF1A73"/>
    <w:rsid w:val="00C44DF3"/>
    <w:rsid w:val="00CD2418"/>
    <w:rsid w:val="00CF0364"/>
    <w:rsid w:val="00CF4109"/>
    <w:rsid w:val="00CF61EA"/>
    <w:rsid w:val="00D25C02"/>
    <w:rsid w:val="00D77E8B"/>
    <w:rsid w:val="00DA3C85"/>
    <w:rsid w:val="00DA5E07"/>
    <w:rsid w:val="00DB2A21"/>
    <w:rsid w:val="00DD070C"/>
    <w:rsid w:val="00DD1151"/>
    <w:rsid w:val="00DD3E9D"/>
    <w:rsid w:val="00DE0F1F"/>
    <w:rsid w:val="00E20DC2"/>
    <w:rsid w:val="00E70CBD"/>
    <w:rsid w:val="00E71A9D"/>
    <w:rsid w:val="00E82372"/>
    <w:rsid w:val="00EA0A61"/>
    <w:rsid w:val="00EB224D"/>
    <w:rsid w:val="00EE2740"/>
    <w:rsid w:val="00F20547"/>
    <w:rsid w:val="00F447F0"/>
    <w:rsid w:val="00F47556"/>
    <w:rsid w:val="00F52297"/>
    <w:rsid w:val="00F53ABF"/>
    <w:rsid w:val="00F6753A"/>
    <w:rsid w:val="00F73BA8"/>
    <w:rsid w:val="00F748FC"/>
    <w:rsid w:val="00FD6F04"/>
    <w:rsid w:val="01CB58C2"/>
    <w:rsid w:val="05FC223C"/>
    <w:rsid w:val="061C3F4A"/>
    <w:rsid w:val="072E02D5"/>
    <w:rsid w:val="0757482B"/>
    <w:rsid w:val="07B94603"/>
    <w:rsid w:val="0A700A33"/>
    <w:rsid w:val="0B59666F"/>
    <w:rsid w:val="0E08495E"/>
    <w:rsid w:val="0EAA7C1C"/>
    <w:rsid w:val="11F052D6"/>
    <w:rsid w:val="13F83153"/>
    <w:rsid w:val="14E06A25"/>
    <w:rsid w:val="191A0873"/>
    <w:rsid w:val="1AF40481"/>
    <w:rsid w:val="1D0417DD"/>
    <w:rsid w:val="1D8E3A41"/>
    <w:rsid w:val="1D91726D"/>
    <w:rsid w:val="1DC174AD"/>
    <w:rsid w:val="20240065"/>
    <w:rsid w:val="23993581"/>
    <w:rsid w:val="24EF4B49"/>
    <w:rsid w:val="252512E3"/>
    <w:rsid w:val="28722A91"/>
    <w:rsid w:val="2BF63D51"/>
    <w:rsid w:val="2C9D5212"/>
    <w:rsid w:val="2EBC4A66"/>
    <w:rsid w:val="2F39109A"/>
    <w:rsid w:val="2F996633"/>
    <w:rsid w:val="2FF7D7AB"/>
    <w:rsid w:val="32F10A57"/>
    <w:rsid w:val="333D0C66"/>
    <w:rsid w:val="33CC6B7F"/>
    <w:rsid w:val="340F71F4"/>
    <w:rsid w:val="38014AC7"/>
    <w:rsid w:val="38B00893"/>
    <w:rsid w:val="3B1D6917"/>
    <w:rsid w:val="3BEB24E7"/>
    <w:rsid w:val="3CA05E05"/>
    <w:rsid w:val="3EAA0C79"/>
    <w:rsid w:val="3F1C2A13"/>
    <w:rsid w:val="3F4A1C1A"/>
    <w:rsid w:val="40D52048"/>
    <w:rsid w:val="41774FF8"/>
    <w:rsid w:val="417C1E33"/>
    <w:rsid w:val="43684434"/>
    <w:rsid w:val="45173816"/>
    <w:rsid w:val="476E1BC4"/>
    <w:rsid w:val="49306CF7"/>
    <w:rsid w:val="4AC67B9D"/>
    <w:rsid w:val="4C835885"/>
    <w:rsid w:val="4C8C3872"/>
    <w:rsid w:val="4EE96D5A"/>
    <w:rsid w:val="505A792C"/>
    <w:rsid w:val="511B6357"/>
    <w:rsid w:val="544F332D"/>
    <w:rsid w:val="54C21E15"/>
    <w:rsid w:val="55DE5100"/>
    <w:rsid w:val="56517337"/>
    <w:rsid w:val="59484FC5"/>
    <w:rsid w:val="5FE25A0A"/>
    <w:rsid w:val="629965C8"/>
    <w:rsid w:val="66AE5085"/>
    <w:rsid w:val="66E02478"/>
    <w:rsid w:val="678F3CB2"/>
    <w:rsid w:val="67DE73E1"/>
    <w:rsid w:val="6B380BB3"/>
    <w:rsid w:val="6C661592"/>
    <w:rsid w:val="6C77554D"/>
    <w:rsid w:val="6D964261"/>
    <w:rsid w:val="6DCA3571"/>
    <w:rsid w:val="71A44693"/>
    <w:rsid w:val="72507332"/>
    <w:rsid w:val="73B36106"/>
    <w:rsid w:val="74601B33"/>
    <w:rsid w:val="7553672D"/>
    <w:rsid w:val="770E2B74"/>
    <w:rsid w:val="77C47DAA"/>
    <w:rsid w:val="7C456D3F"/>
    <w:rsid w:val="7CC55E61"/>
    <w:rsid w:val="7DE94297"/>
    <w:rsid w:val="7DFC3B04"/>
    <w:rsid w:val="7F75B5A5"/>
    <w:rsid w:val="DBFE5D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20"/>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6"/>
    <w:qFormat/>
    <w:uiPriority w:val="0"/>
    <w:pPr>
      <w:spacing w:after="120"/>
      <w:ind w:left="420" w:leftChars="200"/>
    </w:pPr>
    <w:rPr>
      <w:szCs w:val="20"/>
    </w:rPr>
  </w:style>
  <w:style w:type="paragraph" w:styleId="4">
    <w:name w:val="Body Text Indent 2"/>
    <w:basedOn w:val="1"/>
    <w:link w:val="17"/>
    <w:qFormat/>
    <w:uiPriority w:val="0"/>
    <w:pPr>
      <w:spacing w:after="120" w:line="480" w:lineRule="auto"/>
      <w:ind w:left="420" w:leftChars="200"/>
    </w:pPr>
  </w:style>
  <w:style w:type="paragraph" w:styleId="5">
    <w:name w:val="Balloon Text"/>
    <w:basedOn w:val="1"/>
    <w:link w:val="14"/>
    <w:qFormat/>
    <w:uiPriority w:val="0"/>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customStyle="1" w:styleId="12">
    <w:name w:val="页眉 Char"/>
    <w:basedOn w:val="10"/>
    <w:link w:val="7"/>
    <w:qFormat/>
    <w:uiPriority w:val="0"/>
    <w:rPr>
      <w:kern w:val="2"/>
      <w:sz w:val="18"/>
      <w:szCs w:val="18"/>
    </w:rPr>
  </w:style>
  <w:style w:type="character" w:customStyle="1" w:styleId="13">
    <w:name w:val="页脚 Char"/>
    <w:basedOn w:val="10"/>
    <w:link w:val="6"/>
    <w:qFormat/>
    <w:uiPriority w:val="99"/>
    <w:rPr>
      <w:kern w:val="2"/>
      <w:sz w:val="18"/>
      <w:szCs w:val="18"/>
    </w:rPr>
  </w:style>
  <w:style w:type="character" w:customStyle="1" w:styleId="14">
    <w:name w:val="批注框文本 Char"/>
    <w:basedOn w:val="10"/>
    <w:link w:val="5"/>
    <w:qFormat/>
    <w:uiPriority w:val="0"/>
    <w:rPr>
      <w:kern w:val="2"/>
      <w:sz w:val="18"/>
      <w:szCs w:val="18"/>
    </w:rPr>
  </w:style>
  <w:style w:type="paragraph" w:styleId="15">
    <w:name w:val="List Paragraph"/>
    <w:basedOn w:val="1"/>
    <w:qFormat/>
    <w:uiPriority w:val="34"/>
    <w:pPr>
      <w:ind w:firstLine="420" w:firstLineChars="200"/>
    </w:pPr>
  </w:style>
  <w:style w:type="character" w:customStyle="1" w:styleId="16">
    <w:name w:val="正文文本缩进 Char"/>
    <w:basedOn w:val="10"/>
    <w:link w:val="3"/>
    <w:qFormat/>
    <w:uiPriority w:val="0"/>
    <w:rPr>
      <w:kern w:val="2"/>
      <w:sz w:val="21"/>
    </w:rPr>
  </w:style>
  <w:style w:type="character" w:customStyle="1" w:styleId="17">
    <w:name w:val="正文文本缩进 2 Char"/>
    <w:basedOn w:val="10"/>
    <w:link w:val="4"/>
    <w:qFormat/>
    <w:uiPriority w:val="0"/>
    <w:rPr>
      <w:kern w:val="2"/>
      <w:sz w:val="21"/>
      <w:szCs w:val="24"/>
    </w:rPr>
  </w:style>
  <w:style w:type="paragraph" w:customStyle="1" w:styleId="18">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19">
    <w:name w:val="Char Char1 Char Char Char Char Char Char Char"/>
    <w:basedOn w:val="1"/>
    <w:qFormat/>
    <w:uiPriority w:val="0"/>
    <w:pPr>
      <w:widowControl/>
      <w:spacing w:after="160" w:line="240" w:lineRule="exact"/>
      <w:jc w:val="left"/>
    </w:pPr>
    <w:rPr>
      <w:rFonts w:ascii="Tahoma" w:hAnsi="Tahoma" w:eastAsia="Times New Roman" w:cs="Tahoma"/>
      <w:kern w:val="0"/>
      <w:sz w:val="20"/>
      <w:szCs w:val="20"/>
      <w:lang w:eastAsia="en-US"/>
    </w:rPr>
  </w:style>
  <w:style w:type="character" w:customStyle="1" w:styleId="20">
    <w:name w:val="标题 3 Char"/>
    <w:basedOn w:val="10"/>
    <w:link w:val="2"/>
    <w:qFormat/>
    <w:uiPriority w:val="9"/>
    <w:rPr>
      <w:rFonts w:ascii="宋体" w:hAnsi="宋体" w:cs="宋体"/>
      <w:b/>
      <w:bCs/>
      <w:sz w:val="27"/>
      <w:szCs w:val="27"/>
    </w:rPr>
  </w:style>
  <w:style w:type="paragraph" w:customStyle="1" w:styleId="21">
    <w:name w:val="5.1 标题"/>
    <w:basedOn w:val="1"/>
    <w:qFormat/>
    <w:uiPriority w:val="0"/>
    <w:pPr>
      <w:numPr>
        <w:ilvl w:val="0"/>
        <w:numId w:val="1"/>
      </w:numPr>
    </w:pPr>
    <w:rPr>
      <w:rFonts w:eastAsia="仿宋_GB2312"/>
      <w:color w:val="000000"/>
      <w:kern w:val="0"/>
      <w:sz w:val="28"/>
      <w:szCs w:val="28"/>
    </w:rPr>
  </w:style>
  <w:style w:type="paragraph" w:customStyle="1" w:styleId="22">
    <w:name w:val="正文1"/>
    <w:basedOn w:val="1"/>
    <w:qFormat/>
    <w:uiPriority w:val="0"/>
    <w:pPr>
      <w:spacing w:line="360" w:lineRule="auto"/>
      <w:ind w:firstLine="640" w:firstLineChars="200"/>
    </w:pPr>
    <w:rPr>
      <w:rFonts w:eastAsia="仿宋_GB2312"/>
      <w:color w:val="000000"/>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2445</Words>
  <Characters>2667</Characters>
  <Lines>22</Lines>
  <Paragraphs>6</Paragraphs>
  <TotalTime>4</TotalTime>
  <ScaleCrop>false</ScaleCrop>
  <LinksUpToDate>false</LinksUpToDate>
  <CharactersWithSpaces>2706</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2020-04-15T03:09:00Z</dcterms:created>
  <dc:creator>Think</dc:creator>
  <cp:lastModifiedBy>scj</cp:lastModifiedBy>
  <dcterms:modified xsi:type="dcterms:W3CDTF">2024-11-05T09:00:33Z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EB13556A374D4FFE95D37787D2BC8814_13</vt:lpwstr>
  </property>
</Properties>
</file>