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宋体" w:hAnsi="宋体" w:eastAsia="宋体" w:cs="宋体"/>
        </w:rPr>
        <w:sectPr>
          <w:footerReference r:id="rId3" w:type="default"/>
          <w:footerReference r:id="rId4" w:type="even"/>
          <w:type w:val="continuous"/>
          <w:pgSz w:w="11900" w:h="16840"/>
          <w:pgMar w:top="1600" w:right="1080" w:bottom="1400" w:left="1300" w:header="720" w:footer="1243" w:gutter="0"/>
          <w:pgNumType w:start="1"/>
        </w:sectPr>
      </w:pPr>
    </w:p>
    <w:p>
      <w:pPr>
        <w:pStyle w:val="2"/>
        <w:spacing w:before="39"/>
        <w:ind w:left="0" w:leftChars="0" w:firstLine="0" w:firstLineChars="0"/>
        <w:jc w:val="both"/>
        <w:rPr>
          <w:rFonts w:hint="eastAsia" w:ascii="宋体" w:hAnsi="宋体" w:eastAsia="宋体" w:cs="宋体"/>
          <w:lang w:val="en-US" w:eastAsia="zh-CN"/>
        </w:rPr>
      </w:pPr>
      <w:bookmarkStart w:id="0" w:name="_GoBack"/>
      <w:bookmarkEnd w:id="0"/>
    </w:p>
    <w:p>
      <w:pPr>
        <w:pStyle w:val="2"/>
        <w:spacing w:before="39"/>
        <w:ind w:left="529"/>
        <w:jc w:val="center"/>
        <w:rPr>
          <w:rFonts w:hint="eastAsia" w:ascii="宋体" w:hAnsi="宋体" w:eastAsia="宋体" w:cs="宋体"/>
        </w:rPr>
      </w:pPr>
      <w:r>
        <w:rPr>
          <w:rFonts w:hint="eastAsia" w:ascii="宋体" w:hAnsi="宋体" w:eastAsia="宋体" w:cs="宋体"/>
          <w:lang w:val="en-US" w:eastAsia="zh-CN"/>
        </w:rPr>
        <w:t>汕尾</w:t>
      </w:r>
      <w:r>
        <w:rPr>
          <w:rFonts w:hint="eastAsia" w:ascii="宋体" w:hAnsi="宋体" w:eastAsia="宋体" w:cs="宋体"/>
        </w:rPr>
        <w:t>市</w:t>
      </w:r>
      <w:r>
        <w:rPr>
          <w:rFonts w:hint="eastAsia" w:ascii="宋体" w:hAnsi="宋体" w:eastAsia="宋体" w:cs="宋体"/>
          <w:lang w:val="en-US" w:eastAsia="zh-CN"/>
        </w:rPr>
        <w:t>房屋市政</w:t>
      </w:r>
      <w:r>
        <w:rPr>
          <w:rFonts w:hint="eastAsia" w:ascii="宋体" w:hAnsi="宋体" w:eastAsia="宋体" w:cs="宋体"/>
        </w:rPr>
        <w:t>工程质量安全风险</w:t>
      </w:r>
    </w:p>
    <w:p>
      <w:pPr>
        <w:pStyle w:val="2"/>
        <w:spacing w:before="39"/>
        <w:ind w:left="529"/>
        <w:jc w:val="center"/>
        <w:rPr>
          <w:rFonts w:hint="eastAsia" w:ascii="宋体" w:hAnsi="宋体" w:eastAsia="宋体" w:cs="宋体"/>
        </w:rPr>
      </w:pPr>
      <w:r>
        <w:rPr>
          <w:rFonts w:hint="eastAsia" w:ascii="宋体" w:hAnsi="宋体" w:eastAsia="宋体" w:cs="宋体"/>
        </w:rPr>
        <w:t>分级检查标准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为全面</w:t>
      </w:r>
      <w:r>
        <w:rPr>
          <w:rFonts w:hint="eastAsia" w:ascii="仿宋" w:hAnsi="仿宋" w:eastAsia="仿宋" w:cs="仿宋"/>
          <w:i w:val="0"/>
          <w:iCs w:val="0"/>
          <w:caps w:val="0"/>
          <w:color w:val="auto"/>
          <w:spacing w:val="0"/>
          <w:sz w:val="32"/>
          <w:szCs w:val="32"/>
        </w:rPr>
        <w:t>贯彻落实市政府</w:t>
      </w:r>
      <w:r>
        <w:rPr>
          <w:rFonts w:hint="eastAsia" w:ascii="仿宋" w:hAnsi="仿宋" w:eastAsia="仿宋" w:cs="仿宋"/>
          <w:i w:val="0"/>
          <w:iCs w:val="0"/>
          <w:caps w:val="0"/>
          <w:color w:val="auto"/>
          <w:spacing w:val="0"/>
          <w:sz w:val="32"/>
          <w:szCs w:val="32"/>
          <w:lang w:val="en-US" w:eastAsia="zh-CN"/>
        </w:rPr>
        <w:t>优化营商环境改革4.0版的战略部署</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进一步优化营商环境</w:t>
      </w:r>
      <w:r>
        <w:rPr>
          <w:rFonts w:hint="eastAsia" w:ascii="仿宋" w:hAnsi="仿宋" w:eastAsia="仿宋" w:cs="仿宋"/>
          <w:i w:val="0"/>
          <w:iCs w:val="0"/>
          <w:caps w:val="0"/>
          <w:color w:val="auto"/>
          <w:spacing w:val="0"/>
          <w:sz w:val="32"/>
          <w:szCs w:val="32"/>
        </w:rPr>
        <w:t>，建立基于风险的差别化监管机制，提升工程质量安全水平，依据《建设工程质量管理条例》《工程质量安全手册（试行）》</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住房和城乡建设部关于印发&lt;房屋市政工程生产安全重大事故隐患判定标准（2022版）&gt;的通知</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和</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广东省住和城乡建设厅关于房屋市政工程施工安全风险分级管控技术指南</w:t>
      </w:r>
      <w:r>
        <w:rPr>
          <w:rFonts w:hint="eastAsia" w:ascii="仿宋" w:hAnsi="仿宋" w:eastAsia="仿宋" w:cs="仿宋"/>
          <w:i w:val="0"/>
          <w:iCs w:val="0"/>
          <w:caps w:val="0"/>
          <w:color w:val="auto"/>
          <w:spacing w:val="0"/>
          <w:sz w:val="32"/>
          <w:szCs w:val="32"/>
        </w:rPr>
        <w:t>》等文件，结合我市实际情况，制定本标准。</w:t>
      </w:r>
    </w:p>
    <w:p>
      <w:pPr>
        <w:pStyle w:val="3"/>
        <w:spacing w:before="2"/>
        <w:ind w:left="813"/>
        <w:rPr>
          <w:rFonts w:hint="eastAsia" w:ascii="宋体" w:hAnsi="宋体" w:eastAsia="宋体" w:cs="宋体"/>
        </w:rPr>
      </w:pPr>
      <w:r>
        <w:rPr>
          <w:rFonts w:hint="eastAsia" w:ascii="宋体" w:hAnsi="宋体" w:eastAsia="宋体" w:cs="宋体"/>
          <w:b/>
          <w:bCs/>
        </w:rPr>
        <w:t>一、</w:t>
      </w:r>
      <w:r>
        <w:rPr>
          <w:rFonts w:hint="eastAsia" w:ascii="黑体" w:hAnsi="黑体" w:eastAsia="黑体" w:cs="黑体"/>
          <w:b w:val="0"/>
          <w:bCs w:val="0"/>
        </w:rPr>
        <w:t>风险等级分类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重大风险，用红色表示，风险等级最高，现场的工程质量安全风险管控难度很大，风险后果很严重，极易引发较大及以上质量安全事故、造成较大经济损失或造成恶劣社会影响</w:t>
      </w:r>
      <w:r>
        <w:rPr>
          <w:rFonts w:hint="eastAsia" w:ascii="仿宋" w:hAnsi="仿宋" w:eastAsia="仿宋" w:cs="仿宋"/>
          <w:i w:val="0"/>
          <w:iCs w:val="0"/>
          <w:caps w:val="0"/>
          <w:color w:val="auto"/>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较大风险，用橙色表示，风险等级较高，现场的工程质量安全风险管控难度较大，风险后果严重，极易引发一般质量安全事故或造成一般经济损失</w:t>
      </w:r>
      <w:r>
        <w:rPr>
          <w:rFonts w:hint="eastAsia" w:ascii="仿宋" w:hAnsi="仿宋" w:eastAsia="仿宋" w:cs="仿宋"/>
          <w:i w:val="0"/>
          <w:iCs w:val="0"/>
          <w:caps w:val="0"/>
          <w:color w:val="auto"/>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一般风险，用黄色表示，风险等级一般，现场的工程质量安全风险管控难度一般，风险后果一般，可能引发数量较多人员重伤或造成一定的经济损失</w:t>
      </w:r>
      <w:r>
        <w:rPr>
          <w:rFonts w:hint="eastAsia" w:ascii="仿宋" w:hAnsi="仿宋" w:eastAsia="仿宋" w:cs="仿宋"/>
          <w:i w:val="0"/>
          <w:iCs w:val="0"/>
          <w:caps w:val="0"/>
          <w:color w:val="auto"/>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较低风险，用蓝色表示，风险等级低，现场的工程质量安全风险管控难度较小，风险后果较轻，可能引发数量较少人员重伤或经济损失较少。</w:t>
      </w:r>
    </w:p>
    <w:p>
      <w:pPr>
        <w:pStyle w:val="3"/>
        <w:spacing w:before="174"/>
        <w:ind w:left="813"/>
        <w:rPr>
          <w:rFonts w:hint="eastAsia" w:ascii="宋体" w:hAnsi="宋体" w:eastAsia="宋体" w:cs="宋体"/>
          <w:b/>
          <w:bCs/>
        </w:rPr>
      </w:pPr>
      <w:r>
        <w:rPr>
          <w:rFonts w:hint="eastAsia" w:ascii="宋体" w:hAnsi="宋体" w:eastAsia="宋体" w:cs="宋体"/>
          <w:b/>
          <w:bCs/>
        </w:rPr>
        <w:t>二、</w:t>
      </w:r>
      <w:r>
        <w:rPr>
          <w:rFonts w:hint="eastAsia" w:ascii="黑体" w:hAnsi="黑体" w:eastAsia="黑体" w:cs="黑体"/>
          <w:b w:val="0"/>
          <w:bCs w:val="0"/>
        </w:rPr>
        <w:t>风险等级评价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风险等级评价由风险源等级（质量、安全）和综合管理风险等级采用矩阵法确定，风险源等级（质量、安全）和综合管理风险等级从高到低依次分为Ⅰ、Ⅱ、Ⅲ、Ⅳ级；质量风险等级由质量风险源等级（详见附件1）和综合管理风险等级（详见附件3）通过矩阵法确定；安全风险等级由安全风险源等级（详见附件2）和综合管理风险等级（详见附件3）通过矩阵法确定，并按下表进行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质量安全风险等级矩阵表</w:t>
      </w:r>
    </w:p>
    <w:p>
      <w:pPr>
        <w:pStyle w:val="3"/>
        <w:spacing w:before="6"/>
        <w:rPr>
          <w:rFonts w:hint="eastAsia" w:ascii="宋体" w:hAnsi="宋体" w:eastAsia="宋体" w:cs="宋体"/>
          <w:sz w:val="12"/>
        </w:rPr>
      </w:pPr>
    </w:p>
    <w:tbl>
      <w:tblPr>
        <w:tblStyle w:val="6"/>
        <w:tblW w:w="918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850"/>
        <w:gridCol w:w="1843"/>
        <w:gridCol w:w="1843"/>
        <w:gridCol w:w="175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898" w:type="dxa"/>
            <w:gridSpan w:val="2"/>
            <w:vMerge w:val="restart"/>
          </w:tcPr>
          <w:p>
            <w:pPr>
              <w:pStyle w:val="10"/>
              <w:spacing w:before="2"/>
              <w:jc w:val="center"/>
              <w:rPr>
                <w:rFonts w:hint="eastAsia" w:ascii="仿宋" w:hAnsi="仿宋" w:eastAsia="仿宋" w:cs="仿宋"/>
                <w:sz w:val="24"/>
                <w:szCs w:val="24"/>
              </w:rPr>
            </w:pPr>
          </w:p>
          <w:p>
            <w:pPr>
              <w:pStyle w:val="10"/>
              <w:jc w:val="center"/>
              <w:rPr>
                <w:rFonts w:hint="eastAsia" w:ascii="仿宋" w:hAnsi="仿宋" w:eastAsia="仿宋" w:cs="仿宋"/>
                <w:sz w:val="24"/>
                <w:szCs w:val="24"/>
              </w:rPr>
            </w:pPr>
            <w:r>
              <w:rPr>
                <w:rFonts w:hint="eastAsia" w:ascii="仿宋" w:hAnsi="仿宋" w:eastAsia="仿宋" w:cs="仿宋"/>
                <w:sz w:val="24"/>
                <w:szCs w:val="24"/>
              </w:rPr>
              <w:t>风险等级</w:t>
            </w:r>
          </w:p>
        </w:tc>
        <w:tc>
          <w:tcPr>
            <w:tcW w:w="7282" w:type="dxa"/>
            <w:gridSpan w:val="4"/>
          </w:tcPr>
          <w:p>
            <w:pPr>
              <w:pStyle w:val="10"/>
              <w:spacing w:before="161"/>
              <w:ind w:left="2660" w:right="2651"/>
              <w:jc w:val="center"/>
              <w:rPr>
                <w:rFonts w:hint="eastAsia" w:ascii="仿宋" w:hAnsi="仿宋" w:eastAsia="仿宋" w:cs="仿宋"/>
                <w:sz w:val="24"/>
                <w:szCs w:val="24"/>
              </w:rPr>
            </w:pPr>
            <w:r>
              <w:rPr>
                <w:rFonts w:hint="eastAsia" w:ascii="仿宋" w:hAnsi="仿宋" w:eastAsia="仿宋" w:cs="仿宋"/>
                <w:sz w:val="24"/>
                <w:szCs w:val="24"/>
              </w:rPr>
              <w:t>综合管理风险等级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898" w:type="dxa"/>
            <w:gridSpan w:val="2"/>
            <w:vMerge w:val="continue"/>
            <w:tcBorders>
              <w:top w:val="nil"/>
            </w:tcBorders>
          </w:tcPr>
          <w:p>
            <w:pPr>
              <w:jc w:val="center"/>
              <w:rPr>
                <w:rFonts w:hint="eastAsia" w:ascii="仿宋" w:hAnsi="仿宋" w:eastAsia="仿宋" w:cs="仿宋"/>
                <w:sz w:val="24"/>
                <w:szCs w:val="24"/>
              </w:rPr>
            </w:pPr>
          </w:p>
        </w:tc>
        <w:tc>
          <w:tcPr>
            <w:tcW w:w="1843" w:type="dxa"/>
          </w:tcPr>
          <w:p>
            <w:pPr>
              <w:pStyle w:val="10"/>
              <w:spacing w:before="148"/>
              <w:ind w:left="9"/>
              <w:jc w:val="center"/>
              <w:rPr>
                <w:rFonts w:hint="eastAsia" w:ascii="仿宋" w:hAnsi="仿宋" w:eastAsia="仿宋" w:cs="仿宋"/>
                <w:sz w:val="24"/>
                <w:szCs w:val="24"/>
              </w:rPr>
            </w:pPr>
            <w:r>
              <w:rPr>
                <w:rFonts w:hint="eastAsia" w:ascii="仿宋" w:hAnsi="仿宋" w:eastAsia="仿宋" w:cs="仿宋"/>
                <w:sz w:val="24"/>
                <w:szCs w:val="24"/>
              </w:rPr>
              <w:t>Ⅰ</w:t>
            </w:r>
          </w:p>
        </w:tc>
        <w:tc>
          <w:tcPr>
            <w:tcW w:w="1843" w:type="dxa"/>
          </w:tcPr>
          <w:p>
            <w:pPr>
              <w:pStyle w:val="10"/>
              <w:spacing w:before="148"/>
              <w:ind w:left="10"/>
              <w:jc w:val="center"/>
              <w:rPr>
                <w:rFonts w:hint="eastAsia" w:ascii="仿宋" w:hAnsi="仿宋" w:eastAsia="仿宋" w:cs="仿宋"/>
                <w:sz w:val="24"/>
                <w:szCs w:val="24"/>
              </w:rPr>
            </w:pPr>
            <w:r>
              <w:rPr>
                <w:rFonts w:hint="eastAsia" w:ascii="仿宋" w:hAnsi="仿宋" w:eastAsia="仿宋" w:cs="仿宋"/>
                <w:sz w:val="24"/>
                <w:szCs w:val="24"/>
              </w:rPr>
              <w:t>Ⅱ</w:t>
            </w:r>
          </w:p>
        </w:tc>
        <w:tc>
          <w:tcPr>
            <w:tcW w:w="1754" w:type="dxa"/>
          </w:tcPr>
          <w:p>
            <w:pPr>
              <w:pStyle w:val="10"/>
              <w:spacing w:before="148"/>
              <w:ind w:left="10"/>
              <w:jc w:val="center"/>
              <w:rPr>
                <w:rFonts w:hint="eastAsia" w:ascii="仿宋" w:hAnsi="仿宋" w:eastAsia="仿宋" w:cs="仿宋"/>
                <w:sz w:val="24"/>
                <w:szCs w:val="24"/>
              </w:rPr>
            </w:pPr>
            <w:r>
              <w:rPr>
                <w:rFonts w:hint="eastAsia" w:ascii="仿宋" w:hAnsi="仿宋" w:eastAsia="仿宋" w:cs="仿宋"/>
                <w:sz w:val="24"/>
                <w:szCs w:val="24"/>
              </w:rPr>
              <w:t>Ⅲ</w:t>
            </w:r>
          </w:p>
        </w:tc>
        <w:tc>
          <w:tcPr>
            <w:tcW w:w="1842" w:type="dxa"/>
          </w:tcPr>
          <w:p>
            <w:pPr>
              <w:pStyle w:val="10"/>
              <w:spacing w:before="148"/>
              <w:ind w:left="7"/>
              <w:jc w:val="center"/>
              <w:rPr>
                <w:rFonts w:hint="eastAsia" w:ascii="仿宋" w:hAnsi="仿宋" w:eastAsia="仿宋" w:cs="仿宋"/>
                <w:sz w:val="24"/>
                <w:szCs w:val="24"/>
              </w:rPr>
            </w:pPr>
            <w:r>
              <w:rPr>
                <w:rFonts w:hint="eastAsia" w:ascii="仿宋" w:hAnsi="仿宋" w:eastAsia="仿宋" w:cs="仿宋"/>
                <w:sz w:val="24"/>
                <w:szCs w:val="24"/>
              </w:rPr>
              <w:t>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8" w:type="dxa"/>
            <w:vMerge w:val="restart"/>
          </w:tcPr>
          <w:p>
            <w:pPr>
              <w:pStyle w:val="10"/>
              <w:spacing w:line="333" w:lineRule="auto"/>
              <w:ind w:right="153"/>
              <w:jc w:val="center"/>
              <w:rPr>
                <w:rFonts w:hint="eastAsia" w:ascii="仿宋" w:hAnsi="仿宋" w:eastAsia="仿宋" w:cs="仿宋"/>
                <w:sz w:val="24"/>
                <w:szCs w:val="24"/>
              </w:rPr>
            </w:pPr>
          </w:p>
          <w:p>
            <w:pPr>
              <w:pStyle w:val="10"/>
              <w:spacing w:line="333" w:lineRule="auto"/>
              <w:ind w:right="153"/>
              <w:jc w:val="center"/>
              <w:rPr>
                <w:rFonts w:hint="eastAsia" w:ascii="仿宋" w:hAnsi="仿宋" w:eastAsia="仿宋" w:cs="仿宋"/>
                <w:sz w:val="24"/>
                <w:szCs w:val="24"/>
              </w:rPr>
            </w:pPr>
          </w:p>
          <w:p>
            <w:pPr>
              <w:pStyle w:val="10"/>
              <w:spacing w:line="333" w:lineRule="auto"/>
              <w:ind w:right="153"/>
              <w:jc w:val="center"/>
              <w:rPr>
                <w:rFonts w:hint="eastAsia" w:ascii="仿宋" w:hAnsi="仿宋" w:eastAsia="仿宋" w:cs="仿宋"/>
                <w:sz w:val="24"/>
                <w:szCs w:val="24"/>
              </w:rPr>
            </w:pPr>
            <w:r>
              <w:rPr>
                <w:rFonts w:hint="eastAsia" w:ascii="仿宋" w:hAnsi="仿宋" w:eastAsia="仿宋" w:cs="仿宋"/>
                <w:sz w:val="24"/>
                <w:szCs w:val="24"/>
              </w:rPr>
              <w:t>风险源等级</w:t>
            </w:r>
          </w:p>
        </w:tc>
        <w:tc>
          <w:tcPr>
            <w:tcW w:w="850" w:type="dxa"/>
          </w:tcPr>
          <w:p>
            <w:pPr>
              <w:pStyle w:val="10"/>
              <w:spacing w:before="145"/>
              <w:ind w:right="294"/>
              <w:jc w:val="center"/>
              <w:rPr>
                <w:rFonts w:hint="eastAsia" w:ascii="仿宋" w:hAnsi="仿宋" w:eastAsia="仿宋" w:cs="仿宋"/>
                <w:sz w:val="24"/>
                <w:szCs w:val="24"/>
              </w:rPr>
            </w:pPr>
            <w:r>
              <w:rPr>
                <w:rFonts w:hint="eastAsia" w:ascii="仿宋" w:hAnsi="仿宋" w:eastAsia="仿宋" w:cs="仿宋"/>
                <w:sz w:val="24"/>
                <w:szCs w:val="24"/>
              </w:rPr>
              <w:t>Ⅰ</w:t>
            </w:r>
          </w:p>
        </w:tc>
        <w:tc>
          <w:tcPr>
            <w:tcW w:w="1843" w:type="dxa"/>
          </w:tcPr>
          <w:p>
            <w:pPr>
              <w:pStyle w:val="10"/>
              <w:spacing w:before="145"/>
              <w:ind w:left="87" w:right="25"/>
              <w:jc w:val="center"/>
              <w:rPr>
                <w:rFonts w:hint="eastAsia" w:ascii="仿宋" w:hAnsi="仿宋" w:eastAsia="仿宋" w:cs="仿宋"/>
                <w:sz w:val="24"/>
                <w:szCs w:val="24"/>
              </w:rPr>
            </w:pPr>
            <w:r>
              <w:rPr>
                <w:rFonts w:hint="eastAsia" w:ascii="仿宋" w:hAnsi="仿宋" w:eastAsia="仿宋" w:cs="仿宋"/>
                <w:sz w:val="24"/>
                <w:szCs w:val="24"/>
              </w:rPr>
              <w:t>重大风险（红）</w:t>
            </w:r>
          </w:p>
        </w:tc>
        <w:tc>
          <w:tcPr>
            <w:tcW w:w="1843" w:type="dxa"/>
          </w:tcPr>
          <w:p>
            <w:pPr>
              <w:pStyle w:val="10"/>
              <w:spacing w:before="145"/>
              <w:ind w:left="87" w:right="24"/>
              <w:jc w:val="center"/>
              <w:rPr>
                <w:rFonts w:hint="eastAsia" w:ascii="仿宋" w:hAnsi="仿宋" w:eastAsia="仿宋" w:cs="仿宋"/>
                <w:sz w:val="24"/>
                <w:szCs w:val="24"/>
              </w:rPr>
            </w:pPr>
            <w:r>
              <w:rPr>
                <w:rFonts w:hint="eastAsia" w:ascii="仿宋" w:hAnsi="仿宋" w:eastAsia="仿宋" w:cs="仿宋"/>
                <w:sz w:val="24"/>
                <w:szCs w:val="24"/>
              </w:rPr>
              <w:t>重大风险（红）</w:t>
            </w:r>
          </w:p>
        </w:tc>
        <w:tc>
          <w:tcPr>
            <w:tcW w:w="1754" w:type="dxa"/>
          </w:tcPr>
          <w:p>
            <w:pPr>
              <w:pStyle w:val="10"/>
              <w:spacing w:before="145"/>
              <w:ind w:left="108" w:right="-29"/>
              <w:jc w:val="center"/>
              <w:rPr>
                <w:rFonts w:hint="eastAsia" w:ascii="仿宋" w:hAnsi="仿宋" w:eastAsia="仿宋" w:cs="仿宋"/>
                <w:sz w:val="24"/>
                <w:szCs w:val="24"/>
              </w:rPr>
            </w:pPr>
            <w:r>
              <w:rPr>
                <w:rFonts w:hint="eastAsia" w:ascii="仿宋" w:hAnsi="仿宋" w:eastAsia="仿宋" w:cs="仿宋"/>
                <w:spacing w:val="-6"/>
                <w:sz w:val="24"/>
                <w:szCs w:val="24"/>
              </w:rPr>
              <w:t>重大风险</w:t>
            </w:r>
            <w:r>
              <w:rPr>
                <w:rFonts w:hint="eastAsia" w:ascii="仿宋" w:hAnsi="仿宋" w:eastAsia="仿宋" w:cs="仿宋"/>
                <w:sz w:val="24"/>
                <w:szCs w:val="24"/>
              </w:rPr>
              <w:t>（红</w:t>
            </w:r>
            <w:r>
              <w:rPr>
                <w:rFonts w:hint="eastAsia" w:ascii="仿宋" w:hAnsi="仿宋" w:eastAsia="仿宋" w:cs="仿宋"/>
                <w:spacing w:val="-13"/>
                <w:sz w:val="24"/>
                <w:szCs w:val="24"/>
              </w:rPr>
              <w:t>）</w:t>
            </w:r>
          </w:p>
        </w:tc>
        <w:tc>
          <w:tcPr>
            <w:tcW w:w="1842" w:type="dxa"/>
          </w:tcPr>
          <w:p>
            <w:pPr>
              <w:pStyle w:val="10"/>
              <w:spacing w:before="145"/>
              <w:ind w:left="87" w:right="25"/>
              <w:jc w:val="center"/>
              <w:rPr>
                <w:rFonts w:hint="eastAsia" w:ascii="仿宋" w:hAnsi="仿宋" w:eastAsia="仿宋" w:cs="仿宋"/>
                <w:sz w:val="24"/>
                <w:szCs w:val="24"/>
              </w:rPr>
            </w:pPr>
            <w:r>
              <w:rPr>
                <w:rFonts w:hint="eastAsia" w:ascii="仿宋" w:hAnsi="仿宋" w:eastAsia="仿宋" w:cs="仿宋"/>
                <w:sz w:val="24"/>
                <w:szCs w:val="24"/>
              </w:rPr>
              <w:t>重大风险（红）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48" w:type="dxa"/>
            <w:vMerge w:val="continue"/>
            <w:tcBorders>
              <w:top w:val="nil"/>
            </w:tcBorders>
          </w:tcPr>
          <w:p>
            <w:pPr>
              <w:jc w:val="center"/>
              <w:rPr>
                <w:rFonts w:hint="eastAsia" w:ascii="仿宋" w:hAnsi="仿宋" w:eastAsia="仿宋" w:cs="仿宋"/>
                <w:sz w:val="24"/>
                <w:szCs w:val="24"/>
              </w:rPr>
            </w:pPr>
          </w:p>
        </w:tc>
        <w:tc>
          <w:tcPr>
            <w:tcW w:w="850" w:type="dxa"/>
          </w:tcPr>
          <w:p>
            <w:pPr>
              <w:pStyle w:val="10"/>
              <w:spacing w:before="146"/>
              <w:ind w:right="294"/>
              <w:jc w:val="center"/>
              <w:rPr>
                <w:rFonts w:hint="eastAsia" w:ascii="仿宋" w:hAnsi="仿宋" w:eastAsia="仿宋" w:cs="仿宋"/>
                <w:sz w:val="24"/>
                <w:szCs w:val="24"/>
              </w:rPr>
            </w:pPr>
            <w:r>
              <w:rPr>
                <w:rFonts w:hint="eastAsia" w:ascii="仿宋" w:hAnsi="仿宋" w:eastAsia="仿宋" w:cs="仿宋"/>
                <w:sz w:val="24"/>
                <w:szCs w:val="24"/>
              </w:rPr>
              <w:t>Ⅱ</w:t>
            </w:r>
          </w:p>
        </w:tc>
        <w:tc>
          <w:tcPr>
            <w:tcW w:w="1843"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重大风险（红）</w:t>
            </w:r>
          </w:p>
        </w:tc>
        <w:tc>
          <w:tcPr>
            <w:tcW w:w="1843" w:type="dxa"/>
          </w:tcPr>
          <w:p>
            <w:pPr>
              <w:pStyle w:val="10"/>
              <w:spacing w:before="146"/>
              <w:ind w:left="87" w:right="24"/>
              <w:jc w:val="center"/>
              <w:rPr>
                <w:rFonts w:hint="eastAsia" w:ascii="仿宋" w:hAnsi="仿宋" w:eastAsia="仿宋" w:cs="仿宋"/>
                <w:sz w:val="24"/>
                <w:szCs w:val="24"/>
              </w:rPr>
            </w:pPr>
            <w:r>
              <w:rPr>
                <w:rFonts w:hint="eastAsia" w:ascii="仿宋" w:hAnsi="仿宋" w:eastAsia="仿宋" w:cs="仿宋"/>
                <w:sz w:val="24"/>
                <w:szCs w:val="24"/>
              </w:rPr>
              <w:t>较大风险（橙）</w:t>
            </w:r>
          </w:p>
        </w:tc>
        <w:tc>
          <w:tcPr>
            <w:tcW w:w="1754" w:type="dxa"/>
          </w:tcPr>
          <w:p>
            <w:pPr>
              <w:pStyle w:val="10"/>
              <w:spacing w:before="146"/>
              <w:ind w:left="108" w:right="-29"/>
              <w:jc w:val="center"/>
              <w:rPr>
                <w:rFonts w:hint="eastAsia" w:ascii="仿宋" w:hAnsi="仿宋" w:eastAsia="仿宋" w:cs="仿宋"/>
                <w:sz w:val="24"/>
                <w:szCs w:val="24"/>
              </w:rPr>
            </w:pPr>
            <w:r>
              <w:rPr>
                <w:rFonts w:hint="eastAsia" w:ascii="仿宋" w:hAnsi="仿宋" w:eastAsia="仿宋" w:cs="仿宋"/>
                <w:spacing w:val="-6"/>
                <w:sz w:val="24"/>
                <w:szCs w:val="24"/>
              </w:rPr>
              <w:t>较大风险</w:t>
            </w:r>
            <w:r>
              <w:rPr>
                <w:rFonts w:hint="eastAsia" w:ascii="仿宋" w:hAnsi="仿宋" w:eastAsia="仿宋" w:cs="仿宋"/>
                <w:sz w:val="24"/>
                <w:szCs w:val="24"/>
              </w:rPr>
              <w:t>（橙</w:t>
            </w:r>
            <w:r>
              <w:rPr>
                <w:rFonts w:hint="eastAsia" w:ascii="仿宋" w:hAnsi="仿宋" w:eastAsia="仿宋" w:cs="仿宋"/>
                <w:spacing w:val="-13"/>
                <w:sz w:val="24"/>
                <w:szCs w:val="24"/>
              </w:rPr>
              <w:t>）</w:t>
            </w:r>
          </w:p>
        </w:tc>
        <w:tc>
          <w:tcPr>
            <w:tcW w:w="1842"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较大风险（橙）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8" w:type="dxa"/>
            <w:vMerge w:val="continue"/>
            <w:tcBorders>
              <w:top w:val="nil"/>
            </w:tcBorders>
          </w:tcPr>
          <w:p>
            <w:pPr>
              <w:jc w:val="center"/>
              <w:rPr>
                <w:rFonts w:hint="eastAsia" w:ascii="仿宋" w:hAnsi="仿宋" w:eastAsia="仿宋" w:cs="仿宋"/>
                <w:sz w:val="24"/>
                <w:szCs w:val="24"/>
              </w:rPr>
            </w:pPr>
          </w:p>
        </w:tc>
        <w:tc>
          <w:tcPr>
            <w:tcW w:w="850" w:type="dxa"/>
          </w:tcPr>
          <w:p>
            <w:pPr>
              <w:pStyle w:val="10"/>
              <w:spacing w:before="146"/>
              <w:ind w:right="294"/>
              <w:jc w:val="center"/>
              <w:rPr>
                <w:rFonts w:hint="eastAsia" w:ascii="仿宋" w:hAnsi="仿宋" w:eastAsia="仿宋" w:cs="仿宋"/>
                <w:sz w:val="24"/>
                <w:szCs w:val="24"/>
              </w:rPr>
            </w:pPr>
            <w:r>
              <w:rPr>
                <w:rFonts w:hint="eastAsia" w:ascii="仿宋" w:hAnsi="仿宋" w:eastAsia="仿宋" w:cs="仿宋"/>
                <w:sz w:val="24"/>
                <w:szCs w:val="24"/>
              </w:rPr>
              <w:t>Ⅲ</w:t>
            </w:r>
          </w:p>
        </w:tc>
        <w:tc>
          <w:tcPr>
            <w:tcW w:w="1843"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重大风险（红）</w:t>
            </w:r>
          </w:p>
        </w:tc>
        <w:tc>
          <w:tcPr>
            <w:tcW w:w="1843" w:type="dxa"/>
          </w:tcPr>
          <w:p>
            <w:pPr>
              <w:pStyle w:val="10"/>
              <w:spacing w:before="146"/>
              <w:ind w:left="87" w:right="24"/>
              <w:jc w:val="center"/>
              <w:rPr>
                <w:rFonts w:hint="eastAsia" w:ascii="仿宋" w:hAnsi="仿宋" w:eastAsia="仿宋" w:cs="仿宋"/>
                <w:sz w:val="24"/>
                <w:szCs w:val="24"/>
              </w:rPr>
            </w:pPr>
            <w:r>
              <w:rPr>
                <w:rFonts w:hint="eastAsia" w:ascii="仿宋" w:hAnsi="仿宋" w:eastAsia="仿宋" w:cs="仿宋"/>
                <w:sz w:val="24"/>
                <w:szCs w:val="24"/>
              </w:rPr>
              <w:t>较大风险（橙）</w:t>
            </w:r>
          </w:p>
        </w:tc>
        <w:tc>
          <w:tcPr>
            <w:tcW w:w="1754" w:type="dxa"/>
          </w:tcPr>
          <w:p>
            <w:pPr>
              <w:pStyle w:val="10"/>
              <w:spacing w:before="146"/>
              <w:ind w:left="108" w:right="-29"/>
              <w:jc w:val="center"/>
              <w:rPr>
                <w:rFonts w:hint="eastAsia" w:ascii="仿宋" w:hAnsi="仿宋" w:eastAsia="仿宋" w:cs="仿宋"/>
                <w:sz w:val="24"/>
                <w:szCs w:val="24"/>
              </w:rPr>
            </w:pPr>
            <w:r>
              <w:rPr>
                <w:rFonts w:hint="eastAsia" w:ascii="仿宋" w:hAnsi="仿宋" w:eastAsia="仿宋" w:cs="仿宋"/>
                <w:spacing w:val="-6"/>
                <w:sz w:val="24"/>
                <w:szCs w:val="24"/>
              </w:rPr>
              <w:t>一般风险</w:t>
            </w:r>
            <w:r>
              <w:rPr>
                <w:rFonts w:hint="eastAsia" w:ascii="仿宋" w:hAnsi="仿宋" w:eastAsia="仿宋" w:cs="仿宋"/>
                <w:sz w:val="24"/>
                <w:szCs w:val="24"/>
              </w:rPr>
              <w:t>（黄</w:t>
            </w:r>
            <w:r>
              <w:rPr>
                <w:rFonts w:hint="eastAsia" w:ascii="仿宋" w:hAnsi="仿宋" w:eastAsia="仿宋" w:cs="仿宋"/>
                <w:spacing w:val="-13"/>
                <w:sz w:val="24"/>
                <w:szCs w:val="24"/>
              </w:rPr>
              <w:t>）</w:t>
            </w:r>
          </w:p>
        </w:tc>
        <w:tc>
          <w:tcPr>
            <w:tcW w:w="1842"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较低风险（蓝）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48" w:type="dxa"/>
            <w:vMerge w:val="continue"/>
            <w:tcBorders>
              <w:top w:val="nil"/>
            </w:tcBorders>
          </w:tcPr>
          <w:p>
            <w:pPr>
              <w:jc w:val="center"/>
              <w:rPr>
                <w:rFonts w:hint="eastAsia" w:ascii="仿宋" w:hAnsi="仿宋" w:eastAsia="仿宋" w:cs="仿宋"/>
                <w:sz w:val="24"/>
                <w:szCs w:val="24"/>
              </w:rPr>
            </w:pPr>
          </w:p>
        </w:tc>
        <w:tc>
          <w:tcPr>
            <w:tcW w:w="850" w:type="dxa"/>
          </w:tcPr>
          <w:p>
            <w:pPr>
              <w:pStyle w:val="10"/>
              <w:spacing w:before="146"/>
              <w:ind w:right="294"/>
              <w:jc w:val="center"/>
              <w:rPr>
                <w:rFonts w:hint="eastAsia" w:ascii="仿宋" w:hAnsi="仿宋" w:eastAsia="仿宋" w:cs="仿宋"/>
                <w:sz w:val="24"/>
                <w:szCs w:val="24"/>
              </w:rPr>
            </w:pPr>
            <w:r>
              <w:rPr>
                <w:rFonts w:hint="eastAsia" w:ascii="仿宋" w:hAnsi="仿宋" w:eastAsia="仿宋" w:cs="仿宋"/>
                <w:sz w:val="24"/>
                <w:szCs w:val="24"/>
              </w:rPr>
              <w:t>Ⅳ</w:t>
            </w:r>
          </w:p>
        </w:tc>
        <w:tc>
          <w:tcPr>
            <w:tcW w:w="1843"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重大风险（红）</w:t>
            </w:r>
          </w:p>
        </w:tc>
        <w:tc>
          <w:tcPr>
            <w:tcW w:w="1843" w:type="dxa"/>
          </w:tcPr>
          <w:p>
            <w:pPr>
              <w:pStyle w:val="10"/>
              <w:spacing w:before="146"/>
              <w:ind w:left="87" w:right="24"/>
              <w:jc w:val="center"/>
              <w:rPr>
                <w:rFonts w:hint="eastAsia" w:ascii="仿宋" w:hAnsi="仿宋" w:eastAsia="仿宋" w:cs="仿宋"/>
                <w:sz w:val="24"/>
                <w:szCs w:val="24"/>
              </w:rPr>
            </w:pPr>
            <w:r>
              <w:rPr>
                <w:rFonts w:hint="eastAsia" w:ascii="仿宋" w:hAnsi="仿宋" w:eastAsia="仿宋" w:cs="仿宋"/>
                <w:sz w:val="24"/>
                <w:szCs w:val="24"/>
              </w:rPr>
              <w:t>较大风险（橙）</w:t>
            </w:r>
          </w:p>
        </w:tc>
        <w:tc>
          <w:tcPr>
            <w:tcW w:w="1754" w:type="dxa"/>
          </w:tcPr>
          <w:p>
            <w:pPr>
              <w:pStyle w:val="10"/>
              <w:spacing w:before="146"/>
              <w:ind w:left="108" w:right="-29"/>
              <w:jc w:val="center"/>
              <w:rPr>
                <w:rFonts w:hint="eastAsia" w:ascii="仿宋" w:hAnsi="仿宋" w:eastAsia="仿宋" w:cs="仿宋"/>
                <w:sz w:val="24"/>
                <w:szCs w:val="24"/>
              </w:rPr>
            </w:pPr>
            <w:r>
              <w:rPr>
                <w:rFonts w:hint="eastAsia" w:ascii="仿宋" w:hAnsi="仿宋" w:eastAsia="仿宋" w:cs="仿宋"/>
                <w:spacing w:val="-6"/>
                <w:sz w:val="24"/>
                <w:szCs w:val="24"/>
              </w:rPr>
              <w:t>一般风险</w:t>
            </w:r>
            <w:r>
              <w:rPr>
                <w:rFonts w:hint="eastAsia" w:ascii="仿宋" w:hAnsi="仿宋" w:eastAsia="仿宋" w:cs="仿宋"/>
                <w:sz w:val="24"/>
                <w:szCs w:val="24"/>
              </w:rPr>
              <w:t>（黄</w:t>
            </w:r>
            <w:r>
              <w:rPr>
                <w:rFonts w:hint="eastAsia" w:ascii="仿宋" w:hAnsi="仿宋" w:eastAsia="仿宋" w:cs="仿宋"/>
                <w:spacing w:val="-13"/>
                <w:sz w:val="24"/>
                <w:szCs w:val="24"/>
              </w:rPr>
              <w:t>）</w:t>
            </w:r>
          </w:p>
        </w:tc>
        <w:tc>
          <w:tcPr>
            <w:tcW w:w="1842" w:type="dxa"/>
          </w:tcPr>
          <w:p>
            <w:pPr>
              <w:pStyle w:val="10"/>
              <w:spacing w:before="146"/>
              <w:ind w:left="87" w:right="25"/>
              <w:jc w:val="center"/>
              <w:rPr>
                <w:rFonts w:hint="eastAsia" w:ascii="仿宋" w:hAnsi="仿宋" w:eastAsia="仿宋" w:cs="仿宋"/>
                <w:sz w:val="24"/>
                <w:szCs w:val="24"/>
              </w:rPr>
            </w:pPr>
            <w:r>
              <w:rPr>
                <w:rFonts w:hint="eastAsia" w:ascii="仿宋" w:hAnsi="仿宋" w:eastAsia="仿宋" w:cs="仿宋"/>
                <w:sz w:val="24"/>
                <w:szCs w:val="24"/>
              </w:rPr>
              <w:t>较低风险（蓝）</w:t>
            </w:r>
          </w:p>
        </w:tc>
      </w:tr>
    </w:tbl>
    <w:p>
      <w:pPr>
        <w:pStyle w:val="3"/>
        <w:spacing w:before="312"/>
        <w:ind w:left="813"/>
        <w:rPr>
          <w:rFonts w:hint="eastAsia" w:ascii="宋体" w:hAnsi="宋体" w:eastAsia="宋体" w:cs="宋体"/>
          <w:b/>
          <w:bCs/>
        </w:rPr>
      </w:pPr>
      <w:r>
        <w:rPr>
          <w:rFonts w:hint="eastAsia" w:ascii="宋体" w:hAnsi="宋体" w:eastAsia="宋体" w:cs="宋体"/>
          <w:b/>
          <w:bCs/>
        </w:rPr>
        <w:t>三、</w:t>
      </w:r>
      <w:r>
        <w:rPr>
          <w:rFonts w:hint="eastAsia" w:ascii="黑体" w:hAnsi="黑体" w:eastAsia="黑体" w:cs="黑体"/>
          <w:b w:val="0"/>
          <w:bCs w:val="0"/>
        </w:rPr>
        <w:t>风险等级上报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宋体" w:hAnsi="宋体" w:eastAsia="宋体" w:cs="宋体"/>
        </w:rPr>
      </w:pPr>
      <w:r>
        <w:rPr>
          <w:rFonts w:hint="eastAsia" w:ascii="仿宋" w:hAnsi="仿宋" w:eastAsia="仿宋" w:cs="仿宋"/>
          <w:i w:val="0"/>
          <w:iCs w:val="0"/>
          <w:caps w:val="0"/>
          <w:color w:val="auto"/>
          <w:spacing w:val="0"/>
          <w:sz w:val="32"/>
          <w:szCs w:val="32"/>
        </w:rPr>
        <w:t>风险等级评价由建设单位组织施工、监理、勘察、设计等单位在项目开工前完成，并在开工后每月更新，质量风险等级和安全风险等级由监理单位分别通过监理质量月报和监理安全周报（每月第一周）的方式向</w:t>
      </w:r>
      <w:r>
        <w:rPr>
          <w:rFonts w:hint="eastAsia" w:ascii="仿宋" w:hAnsi="仿宋" w:eastAsia="仿宋" w:cs="仿宋"/>
          <w:i w:val="0"/>
          <w:iCs w:val="0"/>
          <w:caps w:val="0"/>
          <w:color w:val="auto"/>
          <w:spacing w:val="0"/>
          <w:sz w:val="32"/>
          <w:szCs w:val="32"/>
          <w:lang w:val="en-US" w:eastAsia="zh-CN"/>
        </w:rPr>
        <w:t>属地住房城乡建设主管部门或工程质量安全监督机构</w:t>
      </w:r>
      <w:r>
        <w:rPr>
          <w:rFonts w:hint="eastAsia" w:ascii="仿宋" w:hAnsi="仿宋" w:eastAsia="仿宋" w:cs="仿宋"/>
          <w:i w:val="0"/>
          <w:iCs w:val="0"/>
          <w:caps w:val="0"/>
          <w:color w:val="auto"/>
          <w:spacing w:val="0"/>
          <w:sz w:val="32"/>
          <w:szCs w:val="32"/>
        </w:rPr>
        <w:t>报送</w:t>
      </w:r>
      <w:r>
        <w:rPr>
          <w:rFonts w:hint="eastAsia" w:ascii="仿宋" w:hAnsi="仿宋" w:eastAsia="仿宋" w:cs="仿宋"/>
          <w:i w:val="0"/>
          <w:iCs w:val="0"/>
          <w:caps w:val="0"/>
          <w:color w:val="auto"/>
          <w:spacing w:val="0"/>
          <w:sz w:val="32"/>
          <w:szCs w:val="32"/>
          <w:lang w:eastAsia="zh-CN"/>
        </w:rPr>
        <w:t>。</w:t>
      </w:r>
    </w:p>
    <w:p>
      <w:pPr>
        <w:pStyle w:val="3"/>
        <w:spacing w:before="56"/>
        <w:ind w:left="813"/>
        <w:rPr>
          <w:rFonts w:hint="eastAsia" w:ascii="宋体" w:hAnsi="宋体" w:eastAsia="宋体" w:cs="宋体"/>
          <w:b/>
          <w:bCs/>
        </w:rPr>
      </w:pPr>
      <w:r>
        <w:rPr>
          <w:rFonts w:hint="eastAsia" w:ascii="宋体" w:hAnsi="宋体" w:eastAsia="宋体" w:cs="宋体"/>
          <w:b/>
          <w:bCs/>
        </w:rPr>
        <w:t>四、</w:t>
      </w:r>
      <w:r>
        <w:rPr>
          <w:rFonts w:hint="eastAsia" w:ascii="黑体" w:hAnsi="黑体" w:eastAsia="黑体" w:cs="黑体"/>
          <w:b w:val="0"/>
          <w:bCs w:val="0"/>
        </w:rPr>
        <w:t>分级检查标准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各级住房城乡建设主管部门、工程质量安全监督机构及参建单位</w:t>
      </w:r>
      <w:r>
        <w:rPr>
          <w:rFonts w:hint="eastAsia" w:ascii="仿宋" w:hAnsi="仿宋" w:eastAsia="仿宋" w:cs="仿宋"/>
          <w:i w:val="0"/>
          <w:iCs w:val="0"/>
          <w:caps w:val="0"/>
          <w:color w:val="auto"/>
          <w:spacing w:val="0"/>
          <w:sz w:val="32"/>
          <w:szCs w:val="32"/>
        </w:rPr>
        <w:t>实行风险分级检查(详见附件4)。</w:t>
      </w:r>
    </w:p>
    <w:p>
      <w:pPr>
        <w:pStyle w:val="3"/>
        <w:spacing w:before="175"/>
        <w:ind w:left="813"/>
        <w:rPr>
          <w:rFonts w:hint="eastAsia" w:ascii="宋体" w:hAnsi="宋体" w:eastAsia="宋体" w:cs="宋体"/>
          <w:b/>
          <w:bCs/>
        </w:rPr>
      </w:pPr>
      <w:r>
        <w:rPr>
          <w:rFonts w:hint="eastAsia" w:ascii="宋体" w:hAnsi="宋体" w:eastAsia="宋体" w:cs="宋体"/>
          <w:b/>
          <w:bCs/>
        </w:rPr>
        <w:t>五、</w:t>
      </w:r>
      <w:r>
        <w:rPr>
          <w:rFonts w:hint="eastAsia" w:ascii="黑体" w:hAnsi="黑体" w:eastAsia="黑体" w:cs="黑体"/>
          <w:b w:val="0"/>
          <w:bCs w:val="0"/>
        </w:rPr>
        <w:t>风险动态管理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在质量安全分级管理的基础上，对风险等级实行动态管理。存在以下情况的，应对风险等级进行提级管理：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出现极端天气（大风、雷电、暴雨、高温等）的。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项目参建单位质量管理责任制不落实，质量安全意识淡薄，管理能力低的。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项目经理经常不到位的。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建筑材料进场检验或工程实体检测造假的。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分包管理不到位的。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项目多次被</w:t>
      </w:r>
      <w:r>
        <w:rPr>
          <w:rFonts w:hint="eastAsia" w:ascii="仿宋" w:hAnsi="仿宋" w:eastAsia="仿宋" w:cs="仿宋"/>
          <w:i w:val="0"/>
          <w:iCs w:val="0"/>
          <w:caps w:val="0"/>
          <w:color w:val="auto"/>
          <w:spacing w:val="0"/>
          <w:sz w:val="32"/>
          <w:szCs w:val="32"/>
          <w:lang w:val="en-US" w:eastAsia="zh-CN"/>
        </w:rPr>
        <w:t>住房城乡建设主管部门</w:t>
      </w:r>
      <w:r>
        <w:rPr>
          <w:rFonts w:hint="eastAsia" w:ascii="仿宋" w:hAnsi="仿宋" w:eastAsia="仿宋" w:cs="仿宋"/>
          <w:i w:val="0"/>
          <w:iCs w:val="0"/>
          <w:caps w:val="0"/>
          <w:color w:val="auto"/>
          <w:spacing w:val="0"/>
          <w:sz w:val="32"/>
          <w:szCs w:val="32"/>
        </w:rPr>
        <w:t>及</w:t>
      </w:r>
      <w:r>
        <w:rPr>
          <w:rFonts w:hint="eastAsia" w:ascii="仿宋" w:hAnsi="仿宋" w:eastAsia="仿宋" w:cs="仿宋"/>
          <w:i w:val="0"/>
          <w:iCs w:val="0"/>
          <w:caps w:val="0"/>
          <w:color w:val="auto"/>
          <w:spacing w:val="0"/>
          <w:sz w:val="32"/>
          <w:szCs w:val="32"/>
          <w:lang w:val="en-US" w:eastAsia="zh-CN"/>
        </w:rPr>
        <w:t>工程</w:t>
      </w:r>
      <w:r>
        <w:rPr>
          <w:rFonts w:hint="eastAsia" w:ascii="仿宋" w:hAnsi="仿宋" w:eastAsia="仿宋" w:cs="仿宋"/>
          <w:i w:val="0"/>
          <w:iCs w:val="0"/>
          <w:caps w:val="0"/>
          <w:color w:val="auto"/>
          <w:spacing w:val="0"/>
          <w:sz w:val="32"/>
          <w:szCs w:val="32"/>
        </w:rPr>
        <w:t>质量安全监督机构给予动态扣分，或</w:t>
      </w:r>
      <w:r>
        <w:rPr>
          <w:rFonts w:hint="eastAsia" w:ascii="仿宋" w:hAnsi="仿宋" w:eastAsia="仿宋" w:cs="仿宋"/>
          <w:i w:val="0"/>
          <w:iCs w:val="0"/>
          <w:caps w:val="0"/>
          <w:color w:val="auto"/>
          <w:spacing w:val="0"/>
          <w:sz w:val="32"/>
          <w:szCs w:val="32"/>
          <w:lang w:val="en-US" w:eastAsia="zh-CN"/>
        </w:rPr>
        <w:t>被列入不良行为记录名单的</w:t>
      </w:r>
      <w:r>
        <w:rPr>
          <w:rFonts w:hint="eastAsia" w:ascii="仿宋" w:hAnsi="仿宋" w:eastAsia="仿宋" w:cs="仿宋"/>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其它影响风险等级情况的。</w:t>
      </w:r>
    </w:p>
    <w:p>
      <w:pPr>
        <w:pStyle w:val="3"/>
        <w:spacing w:before="3"/>
        <w:rPr>
          <w:rFonts w:hint="eastAsia" w:ascii="宋体" w:hAnsi="宋体" w:eastAsia="宋体" w:cs="宋体"/>
          <w:sz w:val="26"/>
        </w:rPr>
      </w:pPr>
    </w:p>
    <w:p>
      <w:pPr>
        <w:pStyle w:val="3"/>
        <w:spacing w:before="3"/>
        <w:rPr>
          <w:rFonts w:hint="eastAsia" w:ascii="宋体" w:hAnsi="宋体" w:eastAsia="宋体" w:cs="宋体"/>
          <w:sz w:val="26"/>
        </w:rPr>
      </w:pPr>
    </w:p>
    <w:p>
      <w:pPr>
        <w:pStyle w:val="3"/>
        <w:ind w:left="813"/>
        <w:rPr>
          <w:rFonts w:hint="eastAsia" w:ascii="仿宋" w:hAnsi="仿宋" w:eastAsia="仿宋" w:cs="仿宋"/>
        </w:rPr>
      </w:pPr>
      <w:r>
        <w:rPr>
          <w:rFonts w:hint="eastAsia" w:ascii="仿宋" w:hAnsi="仿宋" w:eastAsia="仿宋" w:cs="仿宋"/>
          <w:w w:val="100"/>
        </w:rPr>
        <w:t>附件：</w:t>
      </w:r>
      <w:r>
        <w:rPr>
          <w:rFonts w:hint="eastAsia" w:ascii="仿宋" w:hAnsi="仿宋" w:eastAsia="仿宋" w:cs="仿宋"/>
          <w:spacing w:val="-2"/>
          <w:w w:val="100"/>
        </w:rPr>
        <w:t>1</w:t>
      </w:r>
      <w:r>
        <w:rPr>
          <w:rFonts w:hint="eastAsia" w:ascii="仿宋" w:hAnsi="仿宋" w:eastAsia="仿宋" w:cs="仿宋"/>
          <w:spacing w:val="-2"/>
          <w:w w:val="100"/>
          <w:lang w:val="en-US" w:eastAsia="zh-CN"/>
        </w:rPr>
        <w:t>.房屋市政</w:t>
      </w:r>
      <w:r>
        <w:rPr>
          <w:rFonts w:hint="eastAsia" w:ascii="仿宋" w:hAnsi="仿宋" w:eastAsia="仿宋" w:cs="仿宋"/>
          <w:spacing w:val="-1"/>
          <w:w w:val="100"/>
        </w:rPr>
        <w:t>工程质量风险源分级标准表</w:t>
      </w:r>
    </w:p>
    <w:p>
      <w:pPr>
        <w:pStyle w:val="9"/>
        <w:numPr>
          <w:ilvl w:val="1"/>
          <w:numId w:val="1"/>
        </w:numPr>
        <w:tabs>
          <w:tab w:val="left" w:pos="2095"/>
        </w:tabs>
        <w:spacing w:before="176" w:after="0" w:line="240" w:lineRule="auto"/>
        <w:ind w:left="2095" w:right="0" w:hanging="322"/>
        <w:jc w:val="left"/>
        <w:rPr>
          <w:rFonts w:hint="eastAsia" w:ascii="仿宋" w:hAnsi="仿宋" w:eastAsia="仿宋" w:cs="仿宋"/>
          <w:sz w:val="32"/>
        </w:rPr>
      </w:pPr>
      <w:r>
        <w:rPr>
          <w:rFonts w:hint="eastAsia" w:ascii="仿宋" w:hAnsi="仿宋" w:eastAsia="仿宋" w:cs="仿宋"/>
          <w:spacing w:val="-1"/>
          <w:w w:val="100"/>
          <w:sz w:val="32"/>
          <w:szCs w:val="32"/>
          <w:lang w:val="en-US" w:eastAsia="zh-CN" w:bidi="zh-CN"/>
        </w:rPr>
        <w:t>房屋市政</w:t>
      </w:r>
      <w:r>
        <w:rPr>
          <w:rFonts w:hint="eastAsia" w:ascii="仿宋" w:hAnsi="仿宋" w:eastAsia="仿宋" w:cs="仿宋"/>
          <w:spacing w:val="-1"/>
          <w:w w:val="100"/>
          <w:sz w:val="32"/>
          <w:szCs w:val="32"/>
          <w:lang w:val="zh-CN" w:eastAsia="zh-CN" w:bidi="zh-CN"/>
        </w:rPr>
        <w:t>工程安全风险</w:t>
      </w:r>
      <w:r>
        <w:rPr>
          <w:rFonts w:hint="eastAsia" w:ascii="仿宋" w:hAnsi="仿宋" w:eastAsia="仿宋" w:cs="仿宋"/>
          <w:sz w:val="32"/>
        </w:rPr>
        <w:t>源分级标准表</w:t>
      </w:r>
    </w:p>
    <w:p>
      <w:pPr>
        <w:pStyle w:val="9"/>
        <w:numPr>
          <w:ilvl w:val="1"/>
          <w:numId w:val="1"/>
        </w:numPr>
        <w:tabs>
          <w:tab w:val="left" w:pos="2095"/>
        </w:tabs>
        <w:spacing w:before="174" w:after="0" w:line="240" w:lineRule="auto"/>
        <w:ind w:left="2095" w:right="0" w:hanging="322"/>
        <w:jc w:val="left"/>
        <w:rPr>
          <w:rFonts w:hint="eastAsia" w:ascii="仿宋" w:hAnsi="仿宋" w:eastAsia="仿宋" w:cs="仿宋"/>
          <w:sz w:val="32"/>
        </w:rPr>
      </w:pPr>
      <w:r>
        <w:rPr>
          <w:rFonts w:hint="eastAsia" w:ascii="仿宋" w:hAnsi="仿宋" w:eastAsia="仿宋" w:cs="仿宋"/>
          <w:spacing w:val="-1"/>
          <w:w w:val="100"/>
          <w:sz w:val="32"/>
          <w:szCs w:val="32"/>
          <w:lang w:val="en-US" w:eastAsia="zh-CN" w:bidi="zh-CN"/>
        </w:rPr>
        <w:t>房屋市政工程综合管理</w:t>
      </w:r>
      <w:r>
        <w:rPr>
          <w:rFonts w:hint="eastAsia" w:ascii="仿宋" w:hAnsi="仿宋" w:eastAsia="仿宋" w:cs="仿宋"/>
          <w:sz w:val="32"/>
        </w:rPr>
        <w:t>风险分级标准表</w:t>
      </w:r>
    </w:p>
    <w:p>
      <w:pPr>
        <w:pStyle w:val="9"/>
        <w:numPr>
          <w:ilvl w:val="1"/>
          <w:numId w:val="1"/>
        </w:numPr>
        <w:tabs>
          <w:tab w:val="left" w:pos="2095"/>
        </w:tabs>
        <w:spacing w:before="175" w:after="0" w:line="240" w:lineRule="auto"/>
        <w:ind w:left="2095" w:right="0" w:hanging="322"/>
        <w:jc w:val="left"/>
        <w:rPr>
          <w:rFonts w:hint="eastAsia" w:ascii="仿宋" w:hAnsi="仿宋" w:eastAsia="仿宋" w:cs="仿宋"/>
          <w:sz w:val="28"/>
        </w:rPr>
      </w:pPr>
      <w:r>
        <w:rPr>
          <w:rFonts w:hint="eastAsia" w:ascii="仿宋" w:hAnsi="仿宋" w:eastAsia="仿宋" w:cs="仿宋"/>
          <w:spacing w:val="-1"/>
          <w:w w:val="100"/>
          <w:sz w:val="32"/>
          <w:szCs w:val="32"/>
          <w:lang w:val="en-US" w:eastAsia="zh-CN" w:bidi="zh-CN"/>
        </w:rPr>
        <w:t>房屋市政</w:t>
      </w:r>
      <w:r>
        <w:rPr>
          <w:rFonts w:hint="eastAsia" w:ascii="仿宋" w:hAnsi="仿宋" w:eastAsia="仿宋" w:cs="仿宋"/>
          <w:spacing w:val="-1"/>
          <w:w w:val="100"/>
          <w:sz w:val="32"/>
          <w:szCs w:val="32"/>
          <w:lang w:val="zh-CN" w:eastAsia="zh-CN" w:bidi="zh-CN"/>
        </w:rPr>
        <w:t>工程</w:t>
      </w:r>
      <w:r>
        <w:rPr>
          <w:rFonts w:hint="eastAsia" w:ascii="仿宋" w:hAnsi="仿宋" w:eastAsia="仿宋" w:cs="仿宋"/>
          <w:sz w:val="32"/>
        </w:rPr>
        <w:t>分级检查标准</w:t>
      </w:r>
      <w:r>
        <w:rPr>
          <w:rFonts w:hint="eastAsia" w:ascii="仿宋" w:hAnsi="仿宋" w:eastAsia="仿宋" w:cs="仿宋"/>
          <w:sz w:val="32"/>
          <w:lang w:eastAsia="zh-CN"/>
        </w:rPr>
        <w:t>表</w:t>
      </w:r>
    </w:p>
    <w:sectPr>
      <w:footerReference r:id="rId5" w:type="default"/>
      <w:type w:val="continuous"/>
      <w:pgSz w:w="11900" w:h="16840"/>
      <w:pgMar w:top="1220" w:right="1400" w:bottom="126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34" w:hanging="322"/>
        <w:jc w:val="left"/>
      </w:pPr>
      <w:rPr>
        <w:rFonts w:hint="default" w:ascii="PMingLiU" w:hAnsi="PMingLiU" w:eastAsia="PMingLiU" w:cs="PMingLiU"/>
        <w:spacing w:val="-1"/>
        <w:w w:val="106"/>
        <w:sz w:val="30"/>
        <w:szCs w:val="30"/>
        <w:lang w:val="zh-CN" w:eastAsia="zh-CN" w:bidi="zh-CN"/>
      </w:rPr>
    </w:lvl>
    <w:lvl w:ilvl="1" w:tentative="0">
      <w:start w:val="2"/>
      <w:numFmt w:val="decimal"/>
      <w:lvlText w:val="%2."/>
      <w:lvlJc w:val="left"/>
      <w:pPr>
        <w:ind w:left="2095" w:hanging="322"/>
        <w:jc w:val="left"/>
      </w:pPr>
      <w:rPr>
        <w:rFonts w:hint="default" w:ascii="PMingLiU" w:hAnsi="PMingLiU" w:eastAsia="PMingLiU" w:cs="PMingLiU"/>
        <w:spacing w:val="-1"/>
        <w:w w:val="106"/>
        <w:sz w:val="30"/>
        <w:szCs w:val="30"/>
        <w:lang w:val="zh-CN" w:eastAsia="zh-CN" w:bidi="zh-CN"/>
      </w:rPr>
    </w:lvl>
    <w:lvl w:ilvl="2" w:tentative="0">
      <w:start w:val="0"/>
      <w:numFmt w:val="bullet"/>
      <w:lvlText w:val="•"/>
      <w:lvlJc w:val="left"/>
      <w:pPr>
        <w:ind w:left="2924" w:hanging="322"/>
      </w:pPr>
      <w:rPr>
        <w:rFonts w:hint="default"/>
        <w:lang w:val="zh-CN" w:eastAsia="zh-CN" w:bidi="zh-CN"/>
      </w:rPr>
    </w:lvl>
    <w:lvl w:ilvl="3" w:tentative="0">
      <w:start w:val="0"/>
      <w:numFmt w:val="bullet"/>
      <w:lvlText w:val="•"/>
      <w:lvlJc w:val="left"/>
      <w:pPr>
        <w:ind w:left="3748" w:hanging="322"/>
      </w:pPr>
      <w:rPr>
        <w:rFonts w:hint="default"/>
        <w:lang w:val="zh-CN" w:eastAsia="zh-CN" w:bidi="zh-CN"/>
      </w:rPr>
    </w:lvl>
    <w:lvl w:ilvl="4" w:tentative="0">
      <w:start w:val="0"/>
      <w:numFmt w:val="bullet"/>
      <w:lvlText w:val="•"/>
      <w:lvlJc w:val="left"/>
      <w:pPr>
        <w:ind w:left="4573" w:hanging="322"/>
      </w:pPr>
      <w:rPr>
        <w:rFonts w:hint="default"/>
        <w:lang w:val="zh-CN" w:eastAsia="zh-CN" w:bidi="zh-CN"/>
      </w:rPr>
    </w:lvl>
    <w:lvl w:ilvl="5" w:tentative="0">
      <w:start w:val="0"/>
      <w:numFmt w:val="bullet"/>
      <w:lvlText w:val="•"/>
      <w:lvlJc w:val="left"/>
      <w:pPr>
        <w:ind w:left="5397" w:hanging="322"/>
      </w:pPr>
      <w:rPr>
        <w:rFonts w:hint="default"/>
        <w:lang w:val="zh-CN" w:eastAsia="zh-CN" w:bidi="zh-CN"/>
      </w:rPr>
    </w:lvl>
    <w:lvl w:ilvl="6" w:tentative="0">
      <w:start w:val="0"/>
      <w:numFmt w:val="bullet"/>
      <w:lvlText w:val="•"/>
      <w:lvlJc w:val="left"/>
      <w:pPr>
        <w:ind w:left="6222" w:hanging="322"/>
      </w:pPr>
      <w:rPr>
        <w:rFonts w:hint="default"/>
        <w:lang w:val="zh-CN" w:eastAsia="zh-CN" w:bidi="zh-CN"/>
      </w:rPr>
    </w:lvl>
    <w:lvl w:ilvl="7" w:tentative="0">
      <w:start w:val="0"/>
      <w:numFmt w:val="bullet"/>
      <w:lvlText w:val="•"/>
      <w:lvlJc w:val="left"/>
      <w:pPr>
        <w:ind w:left="7046" w:hanging="322"/>
      </w:pPr>
      <w:rPr>
        <w:rFonts w:hint="default"/>
        <w:lang w:val="zh-CN" w:eastAsia="zh-CN" w:bidi="zh-CN"/>
      </w:rPr>
    </w:lvl>
    <w:lvl w:ilvl="8" w:tentative="0">
      <w:start w:val="0"/>
      <w:numFmt w:val="bullet"/>
      <w:lvlText w:val="•"/>
      <w:lvlJc w:val="left"/>
      <w:pPr>
        <w:ind w:left="7871"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72EA"/>
    <w:rsid w:val="06746044"/>
    <w:rsid w:val="07BA70A7"/>
    <w:rsid w:val="08D314AA"/>
    <w:rsid w:val="0BA7327A"/>
    <w:rsid w:val="0CD95FA3"/>
    <w:rsid w:val="138555CF"/>
    <w:rsid w:val="13EB4D08"/>
    <w:rsid w:val="16FE00E6"/>
    <w:rsid w:val="28713C5B"/>
    <w:rsid w:val="2A4F019A"/>
    <w:rsid w:val="303224A3"/>
    <w:rsid w:val="3E765F16"/>
    <w:rsid w:val="42D23469"/>
    <w:rsid w:val="42DD1F72"/>
    <w:rsid w:val="49351D2A"/>
    <w:rsid w:val="4C1B6750"/>
    <w:rsid w:val="4D6619D8"/>
    <w:rsid w:val="50221865"/>
    <w:rsid w:val="587B2A04"/>
    <w:rsid w:val="5D46382C"/>
    <w:rsid w:val="5EB2555A"/>
    <w:rsid w:val="5ED350DF"/>
    <w:rsid w:val="5F954EC3"/>
    <w:rsid w:val="6058611E"/>
    <w:rsid w:val="66CA20E4"/>
    <w:rsid w:val="68EC4957"/>
    <w:rsid w:val="6CC511D3"/>
    <w:rsid w:val="6CF0621E"/>
    <w:rsid w:val="6E57464E"/>
    <w:rsid w:val="71C51E37"/>
    <w:rsid w:val="74B220F7"/>
    <w:rsid w:val="79244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213"/>
      <w:outlineLvl w:val="1"/>
    </w:pPr>
    <w:rPr>
      <w:rFonts w:ascii="PMingLiU" w:hAnsi="PMingLiU" w:eastAsia="PMingLiU" w:cs="PMingLiU"/>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135" w:hanging="322"/>
    </w:pPr>
    <w:rPr>
      <w:rFonts w:ascii="PMingLiU" w:hAnsi="PMingLiU" w:eastAsia="PMingLiU" w:cs="PMingLiU"/>
      <w:lang w:val="zh-CN" w:eastAsia="zh-CN" w:bidi="zh-CN"/>
    </w:rPr>
  </w:style>
  <w:style w:type="paragraph" w:customStyle="1" w:styleId="10">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2022-05-11T02:08:00Z</dcterms:created>
  <dc:creator>Administrator</dc:creator>
  <cp:lastModifiedBy>柯思杰</cp:lastModifiedBy>
  <cp:lastPrinted>2022-05-31T09:19:00Z</cp:lastPrinted>
  <dcterms:modified xsi:type="dcterms:W3CDTF">2022-06-01T01:23:16Z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