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pacing w:line="560" w:lineRule="exact"/>
        <w:jc w:val="left"/>
        <w:textAlignment w:val="auto"/>
        <w:rPr>
          <w:rFonts w:hint="eastAsia" w:ascii="宋体" w:hAnsi="宋体" w:eastAsia="宋体" w:cs="创艺简标宋"/>
          <w:b/>
          <w:color w:val="auto"/>
          <w:kern w:val="0"/>
          <w:sz w:val="44"/>
          <w:szCs w:val="44"/>
          <w:lang w:val="zh-CN"/>
        </w:rPr>
      </w:pPr>
    </w:p>
    <w:p>
      <w:pPr>
        <w:keepNext w:val="0"/>
        <w:keepLines w:val="0"/>
        <w:pageBreakBefore w:val="0"/>
        <w:kinsoku/>
        <w:wordWrap/>
        <w:overflowPunct/>
        <w:topLinePunct w:val="0"/>
        <w:autoSpaceDE w:val="0"/>
        <w:autoSpaceDN w:val="0"/>
        <w:bidi w:val="0"/>
        <w:adjustRightInd w:val="0"/>
        <w:spacing w:line="560" w:lineRule="exact"/>
        <w:jc w:val="center"/>
        <w:textAlignment w:val="auto"/>
        <w:rPr>
          <w:rFonts w:hint="eastAsia" w:ascii="宋体" w:hAnsi="宋体" w:eastAsia="宋体" w:cs="创艺简标宋"/>
          <w:b/>
          <w:color w:val="auto"/>
          <w:kern w:val="0"/>
          <w:sz w:val="44"/>
          <w:szCs w:val="44"/>
          <w:lang w:val="zh-CN"/>
        </w:rPr>
      </w:pPr>
    </w:p>
    <w:p>
      <w:pPr>
        <w:keepNext w:val="0"/>
        <w:keepLines w:val="0"/>
        <w:pageBreakBefore w:val="0"/>
        <w:widowControl/>
        <w:kinsoku/>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zh-CN" w:eastAsia="zh-CN"/>
        </w:rPr>
      </w:pPr>
      <w:r>
        <w:rPr>
          <w:rFonts w:hint="eastAsia" w:ascii="方正小标宋简体" w:hAnsi="方正小标宋简体" w:eastAsia="方正小标宋简体" w:cs="方正小标宋简体"/>
          <w:b w:val="0"/>
          <w:bCs w:val="0"/>
          <w:color w:val="auto"/>
          <w:sz w:val="44"/>
          <w:szCs w:val="44"/>
          <w:lang w:val="zh-CN" w:eastAsia="zh-CN"/>
        </w:rPr>
        <w:t>关于《</w:t>
      </w:r>
      <w:r>
        <w:rPr>
          <w:rFonts w:hint="eastAsia" w:ascii="方正小标宋简体" w:hAnsi="方正小标宋简体" w:eastAsia="方正小标宋简体" w:cs="方正小标宋简体"/>
          <w:b w:val="0"/>
          <w:bCs w:val="0"/>
          <w:color w:val="auto"/>
          <w:sz w:val="44"/>
          <w:szCs w:val="44"/>
          <w:lang w:eastAsia="zh-CN"/>
        </w:rPr>
        <w:t>河源市市级</w:t>
      </w:r>
      <w:r>
        <w:rPr>
          <w:rFonts w:hint="eastAsia" w:ascii="方正小标宋简体" w:hAnsi="方正小标宋简体" w:eastAsia="方正小标宋简体" w:cs="方正小标宋简体"/>
          <w:b w:val="0"/>
          <w:bCs w:val="0"/>
          <w:color w:val="auto"/>
          <w:sz w:val="44"/>
          <w:szCs w:val="44"/>
          <w:lang w:val="en-US" w:eastAsia="zh-CN"/>
        </w:rPr>
        <w:t>财政专户资金定期存款存放管理实施办法</w:t>
      </w:r>
      <w:r>
        <w:rPr>
          <w:rFonts w:hint="eastAsia" w:ascii="方正小标宋简体" w:hAnsi="方正小标宋简体" w:eastAsia="方正小标宋简体" w:cs="方正小标宋简体"/>
          <w:b w:val="0"/>
          <w:bCs w:val="0"/>
          <w:color w:val="auto"/>
          <w:sz w:val="44"/>
          <w:szCs w:val="44"/>
          <w:lang w:eastAsia="zh-CN"/>
        </w:rPr>
        <w:t>（修订）</w:t>
      </w:r>
      <w:r>
        <w:rPr>
          <w:rFonts w:hint="eastAsia" w:ascii="方正小标宋简体" w:hAnsi="方正小标宋简体" w:eastAsia="方正小标宋简体" w:cs="方正小标宋简体"/>
          <w:b w:val="0"/>
          <w:bCs w:val="0"/>
          <w:color w:val="auto"/>
          <w:sz w:val="44"/>
          <w:szCs w:val="44"/>
          <w:lang w:val="zh-CN" w:eastAsia="zh-CN"/>
        </w:rPr>
        <w:t>》的起草说明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zh-CN"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eastAsia="zh-CN"/>
        </w:rPr>
        <w:t>根据《广东省行政机关规范性文件管理规定》和《广东省人民政府办公厅关于进一步加强行政机关规范性文件监督管理工作的意见》（粤府办</w:t>
      </w:r>
      <w:r>
        <w:rPr>
          <w:rFonts w:hint="eastAsia" w:ascii="仿宋_GB2312" w:hAnsi="仿宋_GB2312" w:eastAsia="仿宋_GB2312" w:cs="仿宋_GB2312"/>
          <w:color w:val="auto"/>
          <w:sz w:val="32"/>
          <w:szCs w:val="32"/>
          <w:lang w:val="en-US" w:eastAsia="zh-CN"/>
        </w:rPr>
        <w:t>〔2014〕32号）有关要求，就文件制定有关事宜作说明如下：</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60"/>
        <w:jc w:val="both"/>
        <w:textAlignment w:val="auto"/>
        <w:outlineLvl w:val="9"/>
        <w:rPr>
          <w:rFonts w:hint="eastAsia" w:ascii="仿宋_GB2312" w:hAnsi="仿宋_GB2312" w:eastAsia="仿宋_GB2312" w:cs="仿宋_GB2312"/>
          <w:b w:val="0"/>
          <w:bCs w:val="0"/>
          <w:color w:val="auto"/>
          <w:kern w:val="0"/>
          <w:szCs w:val="32"/>
          <w:lang w:val="zh-CN"/>
        </w:rPr>
      </w:pPr>
      <w:r>
        <w:rPr>
          <w:rFonts w:hint="eastAsia" w:ascii="黑体" w:hAnsi="黑体" w:eastAsia="黑体" w:cs="黑体"/>
          <w:b w:val="0"/>
          <w:bCs w:val="0"/>
          <w:color w:val="auto"/>
          <w:u w:val="none" w:color="auto"/>
          <w:lang w:val="zh-CN" w:eastAsia="zh-CN"/>
        </w:rPr>
        <w:t>一、文件的制定背景说明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为了建立健全科学规范、公正透明的资金存放管理机制，规 范社保资金存放行为，根据《广东省财政厅关于进一步加强财政 部门和预算单位资金存放管理的实施意见》（粤财库〔2017〕59 号），经</w:t>
      </w:r>
      <w:r>
        <w:rPr>
          <w:rFonts w:hint="eastAsia" w:ascii="仿宋_GB2312" w:hAnsi="仿宋_GB2312" w:cs="仿宋_GB2312"/>
          <w:color w:val="auto"/>
          <w:sz w:val="32"/>
          <w:szCs w:val="32"/>
          <w:lang w:val="en-US" w:eastAsia="zh-CN"/>
        </w:rPr>
        <w:t>七</w:t>
      </w:r>
      <w:r>
        <w:rPr>
          <w:rFonts w:hint="eastAsia" w:ascii="仿宋_GB2312" w:hAnsi="仿宋_GB2312" w:eastAsia="仿宋_GB2312" w:cs="仿宋_GB2312"/>
          <w:color w:val="auto"/>
          <w:sz w:val="32"/>
          <w:szCs w:val="32"/>
          <w:lang w:val="en-US" w:eastAsia="zh-CN"/>
        </w:rPr>
        <w:t>届1</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0次市政府常务会议审议通过,《</w:t>
      </w:r>
      <w:r>
        <w:rPr>
          <w:rFonts w:hint="eastAsia" w:ascii="仿宋_GB2312" w:hAnsi="仿宋_GB2312" w:cs="仿宋_GB2312"/>
          <w:color w:val="auto"/>
          <w:sz w:val="32"/>
          <w:szCs w:val="32"/>
          <w:lang w:val="en-US" w:eastAsia="zh-CN"/>
        </w:rPr>
        <w:t>河源市</w:t>
      </w:r>
      <w:r>
        <w:rPr>
          <w:rFonts w:hint="eastAsia" w:ascii="仿宋_GB2312" w:hAnsi="仿宋_GB2312" w:eastAsia="仿宋_GB2312" w:cs="仿宋_GB2312"/>
          <w:color w:val="auto"/>
          <w:sz w:val="32"/>
          <w:szCs w:val="32"/>
          <w:lang w:val="en-US" w:eastAsia="zh-CN"/>
        </w:rPr>
        <w:t>市级</w:t>
      </w:r>
      <w:r>
        <w:rPr>
          <w:rFonts w:hint="eastAsia" w:ascii="仿宋_GB2312" w:hAnsi="仿宋_GB2312" w:cs="仿宋_GB2312"/>
          <w:color w:val="auto"/>
          <w:sz w:val="32"/>
          <w:szCs w:val="32"/>
          <w:lang w:val="en-US" w:eastAsia="zh-CN"/>
        </w:rPr>
        <w:t>财政专户资金</w:t>
      </w:r>
      <w:r>
        <w:rPr>
          <w:rFonts w:hint="eastAsia" w:ascii="仿宋_GB2312" w:hAnsi="仿宋_GB2312" w:eastAsia="仿宋_GB2312" w:cs="仿宋_GB2312"/>
          <w:color w:val="auto"/>
          <w:sz w:val="32"/>
          <w:szCs w:val="32"/>
          <w:lang w:val="en-US" w:eastAsia="zh-CN"/>
        </w:rPr>
        <w:t>定期存款存放管理实施办法》（</w:t>
      </w:r>
      <w:r>
        <w:rPr>
          <w:rFonts w:hint="eastAsia" w:ascii="仿宋_GB2312" w:hAnsi="仿宋_GB2312" w:cs="仿宋_GB2312"/>
          <w:color w:val="auto"/>
          <w:sz w:val="32"/>
          <w:szCs w:val="32"/>
          <w:lang w:val="en-US" w:eastAsia="zh-CN"/>
        </w:rPr>
        <w:t>河</w:t>
      </w:r>
      <w:r>
        <w:rPr>
          <w:rFonts w:hint="eastAsia" w:ascii="仿宋_GB2312" w:hAnsi="仿宋_GB2312" w:eastAsia="仿宋_GB2312" w:cs="仿宋_GB2312"/>
          <w:color w:val="auto"/>
          <w:sz w:val="32"/>
          <w:szCs w:val="32"/>
          <w:lang w:val="en-US" w:eastAsia="zh-CN"/>
        </w:rPr>
        <w:t xml:space="preserve">财规〔2021〕 </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号、以下简称《办法》）于 2021年9月</w:t>
      </w:r>
      <w:r>
        <w:rPr>
          <w:rFonts w:hint="eastAsia" w:ascii="仿宋_GB2312" w:hAnsi="仿宋_GB2312" w:cs="仿宋_GB2312"/>
          <w:color w:val="auto"/>
          <w:sz w:val="32"/>
          <w:szCs w:val="32"/>
          <w:lang w:val="en-US" w:eastAsia="zh-CN"/>
        </w:rPr>
        <w:t>30</w:t>
      </w:r>
      <w:r>
        <w:rPr>
          <w:rFonts w:hint="eastAsia" w:ascii="仿宋_GB2312" w:hAnsi="仿宋_GB2312" w:eastAsia="仿宋_GB2312" w:cs="仿宋_GB2312"/>
          <w:color w:val="auto"/>
          <w:sz w:val="32"/>
          <w:szCs w:val="32"/>
          <w:lang w:val="en-US" w:eastAsia="zh-CN"/>
        </w:rPr>
        <w:t>日印发施行。按照《办法》第十</w:t>
      </w:r>
      <w:r>
        <w:rPr>
          <w:rFonts w:hint="eastAsia" w:ascii="仿宋_GB2312" w:hAnsi="仿宋_GB2312" w:cs="仿宋_GB2312"/>
          <w:color w:val="auto"/>
          <w:sz w:val="32"/>
          <w:szCs w:val="32"/>
          <w:lang w:val="en-US" w:eastAsia="zh-CN"/>
        </w:rPr>
        <w:t>九</w:t>
      </w:r>
      <w:r>
        <w:rPr>
          <w:rFonts w:hint="eastAsia" w:ascii="仿宋_GB2312" w:hAnsi="仿宋_GB2312" w:eastAsia="仿宋_GB2312" w:cs="仿宋_GB2312"/>
          <w:color w:val="auto"/>
          <w:sz w:val="32"/>
          <w:szCs w:val="32"/>
          <w:lang w:val="en-US" w:eastAsia="zh-CN"/>
        </w:rPr>
        <w:t>条：“本办法自 2021年</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日起实施，</w:t>
      </w:r>
      <w:r>
        <w:rPr>
          <w:rFonts w:hint="eastAsia" w:ascii="仿宋_GB2312" w:hAnsi="仿宋_GB2312" w:cs="仿宋_GB2312"/>
          <w:color w:val="auto"/>
          <w:sz w:val="32"/>
          <w:szCs w:val="32"/>
          <w:lang w:val="en-US" w:eastAsia="zh-CN"/>
        </w:rPr>
        <w:t>2024年11月1日失效</w:t>
      </w:r>
      <w:r>
        <w:rPr>
          <w:rFonts w:hint="eastAsia" w:ascii="仿宋_GB2312" w:hAnsi="仿宋_GB2312" w:eastAsia="仿宋_GB2312" w:cs="仿宋_GB2312"/>
          <w:color w:val="auto"/>
          <w:sz w:val="32"/>
          <w:szCs w:val="32"/>
          <w:lang w:val="en-US" w:eastAsia="zh-CN"/>
        </w:rPr>
        <w:t>”。考虑到《办法》</w:t>
      </w:r>
      <w:r>
        <w:rPr>
          <w:rFonts w:hint="eastAsia" w:ascii="仿宋_GB2312" w:hAnsi="仿宋_GB2312" w:cs="仿宋_GB2312"/>
          <w:color w:val="auto"/>
          <w:sz w:val="32"/>
          <w:szCs w:val="32"/>
          <w:lang w:val="en-US" w:eastAsia="zh-CN"/>
        </w:rPr>
        <w:t>已经</w:t>
      </w:r>
      <w:r>
        <w:rPr>
          <w:rFonts w:hint="eastAsia" w:ascii="仿宋_GB2312" w:hAnsi="仿宋_GB2312" w:eastAsia="仿宋_GB2312" w:cs="仿宋_GB2312"/>
          <w:color w:val="auto"/>
          <w:sz w:val="32"/>
          <w:szCs w:val="32"/>
          <w:lang w:val="en-US" w:eastAsia="zh-CN"/>
        </w:rPr>
        <w:t>到期的实际，结合</w:t>
      </w:r>
      <w:r>
        <w:rPr>
          <w:rFonts w:hint="eastAsia" w:ascii="仿宋_GB2312" w:hAnsi="仿宋_GB2312" w:cs="仿宋_GB2312"/>
          <w:color w:val="auto"/>
          <w:sz w:val="32"/>
          <w:szCs w:val="32"/>
          <w:lang w:val="en-US" w:eastAsia="zh-CN"/>
        </w:rPr>
        <w:t>三年</w:t>
      </w:r>
      <w:r>
        <w:rPr>
          <w:rFonts w:hint="eastAsia" w:ascii="仿宋_GB2312" w:hAnsi="仿宋_GB2312" w:eastAsia="仿宋_GB2312" w:cs="仿宋_GB2312"/>
          <w:color w:val="auto"/>
          <w:sz w:val="32"/>
          <w:szCs w:val="32"/>
          <w:lang w:val="en-US" w:eastAsia="zh-CN"/>
        </w:rPr>
        <w:t>来实施的效果，为了持续实现社保基金的保值增值，保证政策实施的连续性，市财政</w:t>
      </w:r>
      <w:r>
        <w:rPr>
          <w:rFonts w:hint="eastAsia" w:ascii="仿宋_GB2312" w:hAnsi="仿宋_GB2312" w:cs="仿宋_GB2312"/>
          <w:color w:val="auto"/>
          <w:sz w:val="32"/>
          <w:szCs w:val="32"/>
          <w:lang w:val="en-US" w:eastAsia="zh-CN"/>
        </w:rPr>
        <w:t>局</w:t>
      </w:r>
      <w:r>
        <w:rPr>
          <w:rFonts w:hint="eastAsia" w:ascii="仿宋_GB2312" w:hAnsi="仿宋_GB2312" w:eastAsia="仿宋_GB2312" w:cs="仿宋_GB2312"/>
          <w:color w:val="auto"/>
          <w:sz w:val="32"/>
          <w:szCs w:val="32"/>
          <w:lang w:val="en-US" w:eastAsia="zh-CN"/>
        </w:rPr>
        <w:t>牵头对《办法》进行了修订,形成了《</w:t>
      </w:r>
      <w:r>
        <w:rPr>
          <w:rFonts w:hint="eastAsia" w:ascii="仿宋_GB2312" w:hAnsi="仿宋_GB2312" w:cs="仿宋_GB2312"/>
          <w:color w:val="auto"/>
          <w:sz w:val="32"/>
          <w:szCs w:val="32"/>
          <w:lang w:val="en-US" w:eastAsia="zh-CN"/>
        </w:rPr>
        <w:t>河源市</w:t>
      </w:r>
      <w:r>
        <w:rPr>
          <w:rFonts w:hint="eastAsia" w:ascii="仿宋_GB2312" w:hAnsi="仿宋_GB2312" w:eastAsia="仿宋_GB2312" w:cs="仿宋_GB2312"/>
          <w:color w:val="auto"/>
          <w:sz w:val="32"/>
          <w:szCs w:val="32"/>
          <w:lang w:val="en-US" w:eastAsia="zh-CN"/>
        </w:rPr>
        <w:t>市级</w:t>
      </w:r>
      <w:r>
        <w:rPr>
          <w:rFonts w:hint="eastAsia" w:ascii="仿宋_GB2312" w:hAnsi="仿宋_GB2312" w:cs="仿宋_GB2312"/>
          <w:color w:val="auto"/>
          <w:sz w:val="32"/>
          <w:szCs w:val="32"/>
          <w:lang w:val="en-US" w:eastAsia="zh-CN"/>
        </w:rPr>
        <w:t>财政专户资金</w:t>
      </w:r>
      <w:r>
        <w:rPr>
          <w:rFonts w:hint="eastAsia" w:ascii="仿宋_GB2312" w:hAnsi="仿宋_GB2312" w:eastAsia="仿宋_GB2312" w:cs="仿宋_GB2312"/>
          <w:color w:val="auto"/>
          <w:sz w:val="32"/>
          <w:szCs w:val="32"/>
          <w:lang w:val="en-US" w:eastAsia="zh-CN"/>
        </w:rPr>
        <w:t>定期存款存放管理实施办法（修订</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征求意见稿）。</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32" w:firstLineChars="200"/>
        <w:jc w:val="both"/>
        <w:textAlignment w:val="auto"/>
        <w:outlineLvl w:val="9"/>
        <w:rPr>
          <w:rFonts w:hint="default" w:ascii="黑体" w:hAnsi="黑体" w:eastAsia="黑体" w:cs="黑体"/>
          <w:b w:val="0"/>
          <w:bCs w:val="0"/>
          <w:color w:val="auto"/>
          <w:u w:val="none" w:color="auto"/>
          <w:lang w:val="en-US" w:eastAsia="zh-CN"/>
        </w:rPr>
      </w:pPr>
      <w:r>
        <w:rPr>
          <w:rFonts w:hint="eastAsia" w:ascii="黑体" w:hAnsi="黑体" w:eastAsia="黑体" w:cs="黑体"/>
          <w:b w:val="0"/>
          <w:bCs w:val="0"/>
          <w:color w:val="auto"/>
          <w:u w:val="none" w:color="auto"/>
          <w:lang w:val="zh-CN" w:eastAsia="zh-CN"/>
        </w:rPr>
        <w:t>二、法律法规政策依据</w:t>
      </w:r>
    </w:p>
    <w:p>
      <w:pPr>
        <w:widowControl w:val="0"/>
        <w:numPr>
          <w:ilvl w:val="0"/>
          <w:numId w:val="0"/>
        </w:numPr>
        <w:wordWrap/>
        <w:adjustRightInd/>
        <w:snapToGrid/>
        <w:ind w:firstLine="632"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（一）</w:t>
      </w:r>
      <w:r>
        <w:rPr>
          <w:rFonts w:hint="eastAsia" w:ascii="仿宋_GB2312" w:hAnsi="仿宋_GB2312" w:eastAsia="仿宋_GB2312" w:cs="仿宋_GB2312"/>
          <w:b w:val="0"/>
          <w:bCs w:val="0"/>
          <w:sz w:val="32"/>
          <w:szCs w:val="32"/>
          <w:highlight w:val="none"/>
          <w:lang w:val="en-US" w:eastAsia="zh-CN"/>
        </w:rPr>
        <w:t>《财政部关于切实加强地方预算执行和财政资金安全管理有关事宜的通知》（财库〔2019〕49号）。</w:t>
      </w:r>
    </w:p>
    <w:p>
      <w:pPr>
        <w:widowControl w:val="0"/>
        <w:numPr>
          <w:ilvl w:val="0"/>
          <w:numId w:val="0"/>
        </w:numPr>
        <w:wordWrap/>
        <w:adjustRightInd/>
        <w:snapToGrid/>
        <w:ind w:firstLine="632"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（二）</w:t>
      </w:r>
      <w:r>
        <w:rPr>
          <w:rFonts w:hint="eastAsia" w:ascii="仿宋_GB2312" w:hAnsi="仿宋_GB2312" w:eastAsia="仿宋_GB2312" w:cs="仿宋_GB2312"/>
          <w:b w:val="0"/>
          <w:bCs w:val="0"/>
          <w:sz w:val="32"/>
          <w:szCs w:val="32"/>
          <w:highlight w:val="none"/>
          <w:lang w:val="en-US" w:eastAsia="zh-CN"/>
        </w:rPr>
        <w:t>《财政部关于进一步加强财政部门和预算单位资金存放管理的指导意见》（财库〔2017〕76号）。</w:t>
      </w:r>
    </w:p>
    <w:p>
      <w:pPr>
        <w:widowControl w:val="0"/>
        <w:numPr>
          <w:ilvl w:val="0"/>
          <w:numId w:val="0"/>
        </w:numPr>
        <w:wordWrap/>
        <w:adjustRightInd/>
        <w:snapToGrid/>
        <w:ind w:firstLine="632"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（三）</w:t>
      </w:r>
      <w:r>
        <w:rPr>
          <w:rFonts w:hint="eastAsia" w:ascii="仿宋_GB2312" w:hAnsi="仿宋_GB2312" w:eastAsia="仿宋_GB2312" w:cs="仿宋_GB2312"/>
          <w:b w:val="0"/>
          <w:bCs w:val="0"/>
          <w:sz w:val="32"/>
          <w:szCs w:val="32"/>
          <w:highlight w:val="none"/>
          <w:lang w:val="en-US" w:eastAsia="zh-CN"/>
        </w:rPr>
        <w:t>《广东省财政厅关于进一步加强财政部门和预算单位资金存放管理的实施意见》（粤财库〔2017〕59号）。</w:t>
      </w:r>
    </w:p>
    <w:p>
      <w:pPr>
        <w:widowControl w:val="0"/>
        <w:numPr>
          <w:ilvl w:val="0"/>
          <w:numId w:val="0"/>
        </w:numPr>
        <w:wordWrap/>
        <w:adjustRightInd/>
        <w:snapToGrid/>
        <w:ind w:firstLine="632"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cs="仿宋_GB2312"/>
          <w:b w:val="0"/>
          <w:bCs w:val="0"/>
          <w:sz w:val="32"/>
          <w:szCs w:val="32"/>
          <w:highlight w:val="none"/>
          <w:lang w:val="en-US" w:eastAsia="zh-CN"/>
        </w:rPr>
        <w:t>（四）</w:t>
      </w:r>
      <w:r>
        <w:rPr>
          <w:rFonts w:hint="eastAsia" w:ascii="仿宋_GB2312" w:hAnsi="仿宋_GB2312" w:eastAsia="仿宋_GB2312" w:cs="仿宋_GB2312"/>
          <w:b w:val="0"/>
          <w:bCs w:val="0"/>
          <w:sz w:val="32"/>
          <w:szCs w:val="32"/>
          <w:highlight w:val="none"/>
          <w:lang w:val="en-US" w:eastAsia="zh-CN"/>
        </w:rPr>
        <w:t>《关于进一步规范财政资金存放管理相关工作的通知》（粤财库函</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2018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lang w:val="en-US" w:eastAsia="zh-CN"/>
        </w:rPr>
        <w:t>118号）。</w:t>
      </w:r>
    </w:p>
    <w:p>
      <w:pPr>
        <w:widowControl w:val="0"/>
        <w:numPr>
          <w:ilvl w:val="0"/>
          <w:numId w:val="0"/>
        </w:numPr>
        <w:wordWrap/>
        <w:adjustRightInd/>
        <w:snapToGrid/>
        <w:ind w:firstLine="632" w:firstLineChars="200"/>
        <w:jc w:val="both"/>
        <w:textAlignment w:val="auto"/>
        <w:outlineLvl w:val="9"/>
        <w:rPr>
          <w:rFonts w:hint="eastAsia"/>
          <w:color w:val="auto"/>
          <w:lang w:val="en-US" w:eastAsia="zh-CN"/>
        </w:rPr>
      </w:pPr>
      <w:r>
        <w:rPr>
          <w:rFonts w:hint="eastAsia" w:ascii="仿宋_GB2312" w:hAnsi="仿宋_GB2312" w:cs="仿宋_GB2312"/>
          <w:b w:val="0"/>
          <w:bCs w:val="0"/>
          <w:sz w:val="32"/>
          <w:szCs w:val="32"/>
          <w:highlight w:val="none"/>
          <w:lang w:val="en-US" w:eastAsia="zh-CN"/>
        </w:rPr>
        <w:t>（五）</w:t>
      </w:r>
      <w:r>
        <w:rPr>
          <w:rFonts w:hint="eastAsia" w:ascii="仿宋_GB2312" w:hAnsi="仿宋_GB2312" w:eastAsia="仿宋_GB2312" w:cs="仿宋_GB2312"/>
          <w:b w:val="0"/>
          <w:bCs w:val="0"/>
          <w:sz w:val="32"/>
          <w:szCs w:val="32"/>
          <w:highlight w:val="none"/>
          <w:lang w:val="en-US" w:eastAsia="zh-CN"/>
        </w:rPr>
        <w:t>《财政部关于印发&lt;财政专户管理办法&gt;的通知》（财库</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2013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lang w:val="en-US" w:eastAsia="zh-CN"/>
        </w:rPr>
        <w:t>46号）。</w:t>
      </w:r>
    </w:p>
    <w:p>
      <w:pPr>
        <w:keepNext w:val="0"/>
        <w:keepLines w:val="0"/>
        <w:pageBreakBefore w:val="0"/>
        <w:widowControl w:val="0"/>
        <w:kinsoku/>
        <w:wordWrap/>
        <w:overflowPunct/>
        <w:topLinePunct w:val="0"/>
        <w:autoSpaceDE w:val="0"/>
        <w:autoSpaceDN w:val="0"/>
        <w:bidi w:val="0"/>
        <w:adjustRightInd w:val="0"/>
        <w:spacing w:before="0" w:beforeLines="0" w:after="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黑体" w:hAnsi="黑体" w:eastAsia="黑体" w:cs="黑体"/>
          <w:b w:val="0"/>
          <w:bCs w:val="0"/>
          <w:color w:val="auto"/>
          <w:u w:val="none" w:color="auto"/>
          <w:lang w:val="zh-CN" w:eastAsia="zh-CN"/>
        </w:rPr>
        <w:t>三、文件的制定程序说明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b w:val="0"/>
          <w:bCs w:val="0"/>
          <w:sz w:val="32"/>
          <w:szCs w:val="32"/>
          <w:highlight w:val="none"/>
          <w:lang w:val="en-US" w:eastAsia="zh-CN"/>
        </w:rPr>
        <w:t>为进一步规范我市财政专户资金管理，我们以</w:t>
      </w:r>
      <w:r>
        <w:rPr>
          <w:rFonts w:hint="eastAsia" w:ascii="仿宋_GB2312" w:hAnsi="仿宋_GB2312" w:eastAsia="仿宋_GB2312" w:cs="仿宋_GB2312"/>
          <w:b w:val="0"/>
          <w:bCs w:val="0"/>
          <w:sz w:val="32"/>
          <w:szCs w:val="32"/>
          <w:highlight w:val="none"/>
          <w:lang w:eastAsia="zh-CN"/>
        </w:rPr>
        <w:t>财政部有关资金存放管理的指导意见及省财政厅关于进一步加强资金存放管理的实施意见为主要依据</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z w:val="32"/>
          <w:szCs w:val="32"/>
          <w:lang w:val="en-US" w:eastAsia="zh-CN"/>
        </w:rPr>
        <w:t>结合工作实际，</w:t>
      </w:r>
      <w:r>
        <w:rPr>
          <w:rFonts w:hint="eastAsia" w:ascii="仿宋_GB2312" w:hAnsi="仿宋_GB2312" w:eastAsia="仿宋_GB2312" w:cs="仿宋_GB2312"/>
          <w:color w:val="auto"/>
          <w:sz w:val="32"/>
          <w:szCs w:val="32"/>
          <w:lang w:val="en-US" w:eastAsia="zh-CN"/>
        </w:rPr>
        <w:t>我单位对《</w:t>
      </w:r>
      <w:r>
        <w:rPr>
          <w:rFonts w:hint="eastAsia" w:ascii="仿宋_GB2312" w:hAnsi="仿宋_GB2312" w:cs="仿宋_GB2312"/>
          <w:color w:val="auto"/>
          <w:sz w:val="32"/>
          <w:szCs w:val="32"/>
          <w:lang w:val="en-US" w:eastAsia="zh-CN"/>
        </w:rPr>
        <w:t>河源市</w:t>
      </w:r>
      <w:r>
        <w:rPr>
          <w:rFonts w:hint="eastAsia" w:ascii="仿宋_GB2312" w:hAnsi="仿宋_GB2312" w:eastAsia="仿宋_GB2312" w:cs="仿宋_GB2312"/>
          <w:color w:val="auto"/>
          <w:sz w:val="32"/>
          <w:szCs w:val="32"/>
          <w:lang w:val="en-US" w:eastAsia="zh-CN"/>
        </w:rPr>
        <w:t>市级</w:t>
      </w:r>
      <w:r>
        <w:rPr>
          <w:rFonts w:hint="eastAsia" w:ascii="仿宋_GB2312" w:hAnsi="仿宋_GB2312" w:cs="仿宋_GB2312"/>
          <w:color w:val="auto"/>
          <w:sz w:val="32"/>
          <w:szCs w:val="32"/>
          <w:lang w:val="en-US" w:eastAsia="zh-CN"/>
        </w:rPr>
        <w:t>财政专户资金</w:t>
      </w:r>
      <w:r>
        <w:rPr>
          <w:rFonts w:hint="eastAsia" w:ascii="仿宋_GB2312" w:hAnsi="仿宋_GB2312" w:eastAsia="仿宋_GB2312" w:cs="仿宋_GB2312"/>
          <w:color w:val="auto"/>
          <w:sz w:val="32"/>
          <w:szCs w:val="32"/>
          <w:lang w:val="en-US" w:eastAsia="zh-CN"/>
        </w:rPr>
        <w:t>定期存款存放管理实施办法》（河</w:t>
      </w:r>
      <w:r>
        <w:rPr>
          <w:rFonts w:hint="eastAsia" w:ascii="仿宋_GB2312" w:hAnsi="仿宋_GB2312" w:cs="仿宋_GB2312"/>
          <w:color w:val="auto"/>
          <w:sz w:val="32"/>
          <w:szCs w:val="32"/>
          <w:lang w:val="en-US" w:eastAsia="zh-CN"/>
        </w:rPr>
        <w:t>财规</w:t>
      </w:r>
      <w:r>
        <w:rPr>
          <w:rFonts w:hint="eastAsia" w:ascii="仿宋_GB2312" w:hAnsi="仿宋_GB2312" w:eastAsia="仿宋_GB2312" w:cs="仿宋_GB2312"/>
          <w:color w:val="auto"/>
          <w:sz w:val="32"/>
          <w:szCs w:val="32"/>
          <w:lang w:val="en-US" w:eastAsia="zh-CN"/>
        </w:rPr>
        <w:t>﹝20</w:t>
      </w:r>
      <w:r>
        <w:rPr>
          <w:rFonts w:hint="eastAsia" w:ascii="仿宋_GB2312" w:hAnsi="仿宋_GB2312" w:cs="仿宋_GB2312"/>
          <w:color w:val="auto"/>
          <w:sz w:val="32"/>
          <w:szCs w:val="32"/>
          <w:lang w:val="en-US" w:eastAsia="zh-CN"/>
        </w:rPr>
        <w:t>21</w:t>
      </w:r>
      <w:r>
        <w:rPr>
          <w:rFonts w:hint="eastAsia" w:ascii="仿宋_GB2312" w:hAnsi="仿宋_GB2312" w:eastAsia="仿宋_GB2312" w:cs="仿宋_GB2312"/>
          <w:color w:val="auto"/>
          <w:sz w:val="32"/>
          <w:szCs w:val="32"/>
          <w:lang w:val="en-US" w:eastAsia="zh-CN"/>
        </w:rPr>
        <w:t>﹞</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号）进行重新修订，草拟了《</w:t>
      </w:r>
      <w:r>
        <w:rPr>
          <w:rFonts w:hint="eastAsia" w:ascii="仿宋_GB2312" w:hAnsi="仿宋_GB2312" w:cs="仿宋_GB2312"/>
          <w:color w:val="auto"/>
          <w:sz w:val="32"/>
          <w:szCs w:val="32"/>
          <w:lang w:val="en-US" w:eastAsia="zh-CN"/>
        </w:rPr>
        <w:t>河源市</w:t>
      </w:r>
      <w:r>
        <w:rPr>
          <w:rFonts w:hint="eastAsia" w:ascii="仿宋_GB2312" w:hAnsi="仿宋_GB2312" w:eastAsia="仿宋_GB2312" w:cs="仿宋_GB2312"/>
          <w:color w:val="auto"/>
          <w:sz w:val="32"/>
          <w:szCs w:val="32"/>
          <w:lang w:val="en-US" w:eastAsia="zh-CN"/>
        </w:rPr>
        <w:t>市级</w:t>
      </w:r>
      <w:r>
        <w:rPr>
          <w:rFonts w:hint="eastAsia" w:ascii="仿宋_GB2312" w:hAnsi="仿宋_GB2312" w:cs="仿宋_GB2312"/>
          <w:color w:val="auto"/>
          <w:sz w:val="32"/>
          <w:szCs w:val="32"/>
          <w:lang w:val="en-US" w:eastAsia="zh-CN"/>
        </w:rPr>
        <w:t>财政专户资金</w:t>
      </w:r>
      <w:r>
        <w:rPr>
          <w:rFonts w:hint="eastAsia" w:ascii="仿宋_GB2312" w:hAnsi="仿宋_GB2312" w:eastAsia="仿宋_GB2312" w:cs="仿宋_GB2312"/>
          <w:color w:val="auto"/>
          <w:sz w:val="32"/>
          <w:szCs w:val="32"/>
          <w:lang w:val="en-US" w:eastAsia="zh-CN"/>
        </w:rPr>
        <w:t>定期存款存放管理实施办法（修订）》，</w:t>
      </w:r>
      <w:r>
        <w:rPr>
          <w:rFonts w:hint="eastAsia" w:ascii="仿宋_GB2312" w:hAnsi="仿宋_GB2312" w:eastAsia="仿宋_GB2312" w:cs="仿宋_GB2312"/>
          <w:color w:val="000000"/>
          <w:sz w:val="32"/>
          <w:szCs w:val="32"/>
          <w:lang w:val="en-US" w:eastAsia="zh-CN"/>
        </w:rPr>
        <w:t>并征求</w:t>
      </w:r>
      <w:r>
        <w:rPr>
          <w:rFonts w:hint="eastAsia" w:ascii="仿宋_GB2312" w:hAnsi="仿宋_GB2312" w:eastAsia="仿宋_GB2312" w:cs="仿宋_GB2312"/>
          <w:sz w:val="32"/>
          <w:szCs w:val="32"/>
          <w:lang w:val="en-US" w:eastAsia="zh-CN"/>
        </w:rPr>
        <w:t>市有关单位意见，以及广泛征求社会各方面的意见和建议。</w:t>
      </w:r>
    </w:p>
    <w:p>
      <w:pPr>
        <w:keepNext w:val="0"/>
        <w:keepLines w:val="0"/>
        <w:pageBreakBefore w:val="0"/>
        <w:widowControl w:val="0"/>
        <w:numPr>
          <w:ilvl w:val="0"/>
          <w:numId w:val="1"/>
        </w:numPr>
        <w:kinsoku/>
        <w:wordWrap/>
        <w:overflowPunct/>
        <w:topLinePunct w:val="0"/>
        <w:autoSpaceDE w:val="0"/>
        <w:autoSpaceDN w:val="0"/>
        <w:bidi w:val="0"/>
        <w:adjustRightInd w:val="0"/>
        <w:spacing w:before="0" w:beforeLines="0" w:after="0" w:afterLines="0" w:line="560" w:lineRule="exact"/>
        <w:ind w:left="0" w:leftChars="0" w:right="0" w:rightChars="0" w:firstLine="632" w:firstLineChars="200"/>
        <w:jc w:val="both"/>
        <w:textAlignment w:val="auto"/>
        <w:outlineLvl w:val="9"/>
        <w:rPr>
          <w:rFonts w:hint="eastAsia" w:ascii="黑体" w:hAnsi="黑体" w:eastAsia="黑体" w:cs="黑体"/>
          <w:b w:val="0"/>
          <w:bCs w:val="0"/>
          <w:color w:val="auto"/>
          <w:u w:val="none" w:color="auto"/>
          <w:lang w:val="zh-CN" w:eastAsia="zh-CN"/>
        </w:rPr>
      </w:pPr>
      <w:r>
        <w:rPr>
          <w:rFonts w:hint="eastAsia" w:ascii="黑体" w:hAnsi="黑体" w:eastAsia="黑体" w:cs="黑体"/>
          <w:b w:val="0"/>
          <w:bCs w:val="0"/>
          <w:color w:val="auto"/>
          <w:u w:val="none" w:color="auto"/>
          <w:lang w:val="zh-CN" w:eastAsia="zh-CN"/>
        </w:rPr>
        <w:t>主要内容说明</w:t>
      </w:r>
    </w:p>
    <w:p>
      <w:pPr>
        <w:keepNext w:val="0"/>
        <w:keepLines w:val="0"/>
        <w:pageBreakBefore w:val="0"/>
        <w:widowControl w:val="0"/>
        <w:numPr>
          <w:ilvl w:val="0"/>
          <w:numId w:val="0"/>
        </w:numPr>
        <w:kinsoku/>
        <w:wordWrap/>
        <w:overflowPunct/>
        <w:topLinePunct w:val="0"/>
        <w:autoSpaceDE w:val="0"/>
        <w:autoSpaceDN w:val="0"/>
        <w:bidi w:val="0"/>
        <w:adjustRightInd w:val="0"/>
        <w:spacing w:before="0" w:beforeLines="0" w:after="0" w:afterLines="0" w:line="560" w:lineRule="exact"/>
        <w:ind w:leftChars="200" w:right="0" w:rightChars="0"/>
        <w:jc w:val="both"/>
        <w:textAlignment w:val="auto"/>
        <w:outlineLvl w:val="9"/>
        <w:rPr>
          <w:rFonts w:hint="eastAsia" w:ascii="楷体_GB2312" w:hAnsi="楷体_GB2312" w:eastAsia="楷体_GB2312" w:cs="楷体_GB2312"/>
          <w:b w:val="0"/>
          <w:bCs w:val="0"/>
          <w:color w:val="auto"/>
          <w:u w:val="none" w:color="auto"/>
          <w:lang w:val="zh-CN" w:eastAsia="zh-CN"/>
        </w:rPr>
      </w:pPr>
      <w:r>
        <w:rPr>
          <w:rFonts w:hint="eastAsia" w:ascii="楷体_GB2312" w:hAnsi="楷体_GB2312" w:eastAsia="楷体_GB2312" w:cs="楷体_GB2312"/>
          <w:color w:val="auto"/>
          <w:sz w:val="32"/>
          <w:szCs w:val="32"/>
          <w:vertAlign w:val="baseline"/>
          <w:lang w:val="en-US" w:eastAsia="zh-CN"/>
        </w:rPr>
        <w:t>（一）内容要点</w:t>
      </w:r>
    </w:p>
    <w:p>
      <w:pPr>
        <w:ind w:firstLine="625"/>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bidi="ar-SA"/>
        </w:rPr>
        <w:t>实施办法》共五章十九条，分别为总则、存放银行选择、评分指标设置和得分计算及额度分配、资金存放约束和监督和附则。</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kern w:val="2"/>
          <w:sz w:val="32"/>
          <w:szCs w:val="32"/>
          <w:highlight w:val="none"/>
          <w:lang w:val="en-US" w:eastAsia="zh-CN" w:bidi="ar-SA"/>
        </w:rPr>
        <w:t>实施办法》全面规范我市财政专户资金转出开户银行定期存款存放的选择和管理。主要明确以下七个方面内容：</w:t>
      </w:r>
    </w:p>
    <w:p>
      <w:pPr>
        <w:widowControl w:val="0"/>
        <w:numPr>
          <w:ilvl w:val="0"/>
          <w:numId w:val="0"/>
        </w:numPr>
        <w:wordWrap/>
        <w:adjustRightInd/>
        <w:snapToGrid/>
        <w:ind w:firstLine="632"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1.可以转出开户银行进行定期存款存放的资金类型。</w:t>
      </w:r>
    </w:p>
    <w:p>
      <w:pPr>
        <w:widowControl w:val="0"/>
        <w:numPr>
          <w:ilvl w:val="0"/>
          <w:numId w:val="0"/>
        </w:numPr>
        <w:wordWrap/>
        <w:adjustRightInd/>
        <w:snapToGrid/>
        <w:ind w:firstLine="632"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2.参与竞争性存放的银行范围。</w:t>
      </w:r>
    </w:p>
    <w:p>
      <w:pPr>
        <w:widowControl w:val="0"/>
        <w:numPr>
          <w:ilvl w:val="0"/>
          <w:numId w:val="0"/>
        </w:numPr>
        <w:wordWrap/>
        <w:adjustRightInd/>
        <w:snapToGrid/>
        <w:ind w:firstLine="632"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3.选择银行存放的办法。社保基金转出开户银行进行定期存款存放采取竞争性方式选择存放银行。</w:t>
      </w:r>
    </w:p>
    <w:p>
      <w:pPr>
        <w:widowControl w:val="0"/>
        <w:numPr>
          <w:ilvl w:val="0"/>
          <w:numId w:val="0"/>
        </w:numPr>
        <w:wordWrap/>
        <w:adjustRightInd/>
        <w:snapToGrid/>
        <w:ind w:firstLine="632"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4.竞争性方式的具体内容和操作流程。在网上发布竞争性方式存放公告，组建评审委员会，通过综合评分对参与银行进行评分，按评分结果分配定期存款额度。</w:t>
      </w:r>
    </w:p>
    <w:p>
      <w:pPr>
        <w:widowControl w:val="0"/>
        <w:numPr>
          <w:ilvl w:val="0"/>
          <w:numId w:val="0"/>
        </w:numPr>
        <w:wordWrap/>
        <w:adjustRightInd/>
        <w:snapToGrid/>
        <w:ind w:firstLine="632"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5.评分指标设置、得分计算方法。评分指标包括经营状况</w:t>
      </w:r>
      <w:r>
        <w:rPr>
          <w:rFonts w:hint="eastAsia" w:ascii="仿宋_GB2312" w:hAnsi="仿宋_GB2312" w:cs="仿宋_GB2312"/>
          <w:b w:val="0"/>
          <w:bCs w:val="0"/>
          <w:sz w:val="32"/>
          <w:szCs w:val="32"/>
          <w:highlight w:val="none"/>
          <w:lang w:val="en-US" w:eastAsia="zh-CN"/>
        </w:rPr>
        <w:t>36</w:t>
      </w:r>
      <w:r>
        <w:rPr>
          <w:rFonts w:hint="eastAsia" w:ascii="仿宋_GB2312" w:hAnsi="仿宋_GB2312" w:eastAsia="仿宋_GB2312" w:cs="仿宋_GB2312"/>
          <w:b w:val="0"/>
          <w:bCs w:val="0"/>
          <w:sz w:val="32"/>
          <w:szCs w:val="32"/>
          <w:highlight w:val="none"/>
          <w:lang w:val="en-US" w:eastAsia="zh-CN"/>
        </w:rPr>
        <w:t>分、支持地方经济发展贡献度38分、利率报价</w:t>
      </w:r>
      <w:r>
        <w:rPr>
          <w:rFonts w:hint="eastAsia" w:ascii="仿宋_GB2312" w:hAnsi="仿宋_GB2312" w:cs="仿宋_GB2312"/>
          <w:b w:val="0"/>
          <w:bCs w:val="0"/>
          <w:sz w:val="32"/>
          <w:szCs w:val="32"/>
          <w:highlight w:val="none"/>
          <w:lang w:val="en-US" w:eastAsia="zh-CN"/>
        </w:rPr>
        <w:t>12</w:t>
      </w:r>
      <w:r>
        <w:rPr>
          <w:rFonts w:hint="eastAsia" w:ascii="仿宋_GB2312" w:hAnsi="仿宋_GB2312" w:eastAsia="仿宋_GB2312" w:cs="仿宋_GB2312"/>
          <w:b w:val="0"/>
          <w:bCs w:val="0"/>
          <w:sz w:val="32"/>
          <w:szCs w:val="32"/>
          <w:highlight w:val="none"/>
          <w:lang w:val="en-US" w:eastAsia="zh-CN"/>
        </w:rPr>
        <w:t>分、服务水平8分和综合能力6分。单项指标得分按单项指标值进行排序，按名次排第一名的银行满分，其余银行以此为标准计算得分。</w:t>
      </w:r>
    </w:p>
    <w:p>
      <w:pPr>
        <w:ind w:firstLine="625"/>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6.存放银行、资金存放主体、评审人员的约束和监督管理。</w:t>
      </w:r>
    </w:p>
    <w:p>
      <w:pPr>
        <w:ind w:firstLine="625"/>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highlight w:val="none"/>
          <w:lang w:val="en-US" w:eastAsia="zh-CN"/>
        </w:rPr>
        <w:t>7.实施时间及有效期。</w:t>
      </w:r>
    </w:p>
    <w:p>
      <w:pPr>
        <w:pStyle w:val="8"/>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楷体_GB2312" w:hAnsi="楷体_GB2312" w:eastAsia="楷体_GB2312" w:cs="楷体_GB2312"/>
          <w:color w:val="auto"/>
          <w:sz w:val="32"/>
          <w:szCs w:val="32"/>
          <w:vertAlign w:val="baseline"/>
          <w:lang w:val="en-US" w:eastAsia="zh-CN"/>
        </w:rPr>
      </w:pPr>
      <w:r>
        <w:rPr>
          <w:rFonts w:hint="eastAsia" w:ascii="楷体_GB2312" w:hAnsi="楷体_GB2312" w:eastAsia="楷体_GB2312" w:cs="楷体_GB2312"/>
          <w:color w:val="auto"/>
          <w:sz w:val="32"/>
          <w:szCs w:val="32"/>
          <w:vertAlign w:val="baseline"/>
          <w:lang w:val="en-US" w:eastAsia="zh-CN"/>
        </w:rPr>
        <w:t>（二）主要变化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1.部门名称调整。由于新一轮机构改革，涉及部门职能的调整及机构名称的改变，《办法》作相应修改。包括：市金融工作局撤销，相关职能并入市人民政府办公室；中国人民银行河源市中心支行及河</w:t>
      </w:r>
      <w:bookmarkStart w:id="0" w:name="_GoBack"/>
      <w:bookmarkEnd w:id="0"/>
      <w:r>
        <w:rPr>
          <w:rFonts w:hint="eastAsia" w:ascii="仿宋_GB2312" w:hAnsi="仿宋_GB2312" w:eastAsia="仿宋_GB2312" w:cs="仿宋_GB2312"/>
          <w:color w:val="auto"/>
          <w:kern w:val="2"/>
          <w:sz w:val="32"/>
          <w:szCs w:val="32"/>
          <w:lang w:val="en-US" w:eastAsia="zh-CN" w:bidi="ar-SA"/>
        </w:rPr>
        <w:t>源银保监分局机构名称变化，改为中国人民银行河源市分行、国家金融监管总局河源监管分局。</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2.《办法》第十</w:t>
      </w:r>
      <w:r>
        <w:rPr>
          <w:rFonts w:hint="eastAsia" w:ascii="仿宋_GB2312" w:hAnsi="仿宋_GB2312" w:cs="仿宋_GB2312"/>
          <w:color w:val="auto"/>
          <w:sz w:val="32"/>
          <w:szCs w:val="32"/>
          <w:lang w:val="en-US" w:eastAsia="zh-CN"/>
        </w:rPr>
        <w:t>九</w:t>
      </w:r>
      <w:r>
        <w:rPr>
          <w:rFonts w:hint="eastAsia" w:ascii="仿宋_GB2312" w:hAnsi="仿宋_GB2312" w:eastAsia="仿宋_GB2312" w:cs="仿宋_GB2312"/>
          <w:color w:val="auto"/>
          <w:sz w:val="32"/>
          <w:szCs w:val="32"/>
          <w:lang w:val="en-US" w:eastAsia="zh-CN"/>
        </w:rPr>
        <w:t xml:space="preserve">条， 规定了实施期限。 </w:t>
      </w:r>
    </w:p>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numberInDash"/>
      <w:cols w:space="720" w:num="1"/>
      <w:titlePg/>
      <w:docGrid w:type="linesAndChars" w:linePitch="600" w:charSpace="-849"/>
    </w:sectPr>
  </w:body>
</w:document>
</file>

<file path=word/customizations.xml><?xml version="1.0" encoding="utf-8"?>
<wne:tcg xmlns:r="http://schemas.openxmlformats.org/officeDocument/2006/relationships" xmlns:wne="http://schemas.microsoft.com/office/word/2006/wordml">
  <wne:keymaps>
    <wne:keymap wne:kcmPrimary="045A">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创艺简标宋">
    <w:altName w:val="黑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- 25 -</w:t>
                          </w:r>
                          <w:r>
                            <w:rPr>
                              <w:rFonts w:hint="eastAsia" w:ascii="宋体" w:hAnsi="宋体" w:eastAsia="宋体" w:cs="宋体"/>
                              <w:sz w:val="24"/>
                              <w:szCs w:val="24"/>
                            </w:rPr>
                            <w:fldChar w:fldCharType="end"/>
                          </w:r>
                        </w:p>
                      </w:txbxContent>
                    </wps:txbx>
                    <wps:bodyPr vert="horz"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rTPO7UBAABW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Fnm7gwh1pT0ECgtja9gzJmTP5Izix4NuvwlOYzi&#10;1OfTtbd6TEzlR+vVel1RSFFsvhCOeHweMKbXGhzLRsORhld6Ko9vY7qkzim5mod72/fkl3Xv/3AQ&#10;ZvaIzP3CMVtp3I0T8R20J9JDe0t1OsDPnA20Aw33tKSc9W88tTivy2zgbOxm4xDQ7ruyT7l2DLeH&#10;RIQKz1ztUmIiQcMrSqdFy9vx+71kPf4O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2rTP&#10;O7UBAABWAwAADgAAAAAAAAABACAAAAAeAQAAZHJzL2Uyb0RvYy54bWxQSwUGAAAAAAYABgBZAQAA&#10;RQUAAAAA&#10;">
              <v:fill on="f" focussize="0,0"/>
              <v:stroke on="f"/>
              <v:imagedata o:title=""/>
              <o:lock v:ext="edit" aspectratio="f"/>
              <v:textbox inset="0mm,0mm,0mm,0mm" style="mso-fit-shape-to-text:t;">
                <w:txbxContent>
                  <w:p>
                    <w:pPr>
                      <w:pStyle w:val="7"/>
                      <w:jc w:val="cente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t>- 25 -</w:t>
                    </w:r>
                    <w:r>
                      <w:rPr>
                        <w:rFonts w:hint="eastAsia" w:ascii="宋体" w:hAnsi="宋体" w:eastAsia="宋体" w:cs="宋体"/>
                        <w:sz w:val="24"/>
                        <w:szCs w:val="24"/>
                      </w:rPr>
                      <w:fldChar w:fldCharType="end"/>
                    </w:r>
                  </w:p>
                </w:txbxContent>
              </v:textbox>
            </v:shape>
          </w:pict>
        </mc:Fallback>
      </mc:AlternateConten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fldChar w:fldCharType="begin"/>
    </w:r>
    <w:r>
      <w:rPr>
        <w:rStyle w:val="14"/>
      </w:rPr>
      <w:instrText xml:space="preserve">PAGE  </w:instrText>
    </w:r>
    <w:r>
      <w:fldChar w:fldCharType="separate"/>
    </w:r>
    <w:r>
      <w:rPr>
        <w:rStyle w:val="14"/>
      </w:rPr>
      <w:t>- 24 -</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仿宋_GB2312"/>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- 24 -</w:t>
                          </w:r>
                          <w:r>
                            <w:rPr>
                              <w:rFonts w:hint="eastAsia" w:ascii="宋体" w:hAnsi="宋体" w:eastAsia="宋体" w:cs="宋体"/>
                              <w:sz w:val="24"/>
                              <w:szCs w:val="24"/>
                              <w:lang w:eastAsia="zh-CN"/>
                            </w:rPr>
                            <w:fldChar w:fldCharType="end"/>
                          </w:r>
                        </w:p>
                      </w:txbxContent>
                    </wps:txbx>
                    <wps:bodyPr vert="horz" wrap="none" lIns="0" tIns="0" rIns="0" bIns="0" upright="0">
                      <a:spAutoFit/>
                    </wps:bodyPr>
                  </wps:wsp>
                </a:graphicData>
              </a:graphic>
            </wp:anchor>
          </w:drawing>
        </mc:Choice>
        <mc:Fallback>
          <w:pict>
            <v:shape id="文本框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DZ0&#10;tpS2AQAAVg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- 24 -</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AAD13"/>
    <w:multiLevelType w:val="singleLevel"/>
    <w:tmpl w:val="864AAD1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30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ZDc2ZDgxODA4M2M3MDA1OTc3ZjRjNmJjZmVhOGMifQ=="/>
  </w:docVars>
  <w:rsids>
    <w:rsidRoot w:val="00172A27"/>
    <w:rsid w:val="05E51322"/>
    <w:rsid w:val="099769CB"/>
    <w:rsid w:val="0CF46A58"/>
    <w:rsid w:val="0DAE28B2"/>
    <w:rsid w:val="130573AC"/>
    <w:rsid w:val="1DDD3124"/>
    <w:rsid w:val="1E022658"/>
    <w:rsid w:val="20E23616"/>
    <w:rsid w:val="22BC3EB1"/>
    <w:rsid w:val="2580476A"/>
    <w:rsid w:val="26A47305"/>
    <w:rsid w:val="271C6CE1"/>
    <w:rsid w:val="28347384"/>
    <w:rsid w:val="28C351AE"/>
    <w:rsid w:val="2AAD21D4"/>
    <w:rsid w:val="2B810671"/>
    <w:rsid w:val="32700042"/>
    <w:rsid w:val="3293285B"/>
    <w:rsid w:val="34693FF8"/>
    <w:rsid w:val="34ED7BEA"/>
    <w:rsid w:val="34F20884"/>
    <w:rsid w:val="36A05057"/>
    <w:rsid w:val="382D52E1"/>
    <w:rsid w:val="386B591D"/>
    <w:rsid w:val="392E5DE6"/>
    <w:rsid w:val="3A9358AE"/>
    <w:rsid w:val="3B381714"/>
    <w:rsid w:val="3BFE2F19"/>
    <w:rsid w:val="41955318"/>
    <w:rsid w:val="42101EBA"/>
    <w:rsid w:val="44A2603E"/>
    <w:rsid w:val="45B814D8"/>
    <w:rsid w:val="46421A89"/>
    <w:rsid w:val="4765701D"/>
    <w:rsid w:val="4BF86BCF"/>
    <w:rsid w:val="503E4679"/>
    <w:rsid w:val="50887BE7"/>
    <w:rsid w:val="51415473"/>
    <w:rsid w:val="51781BEA"/>
    <w:rsid w:val="51FF5495"/>
    <w:rsid w:val="52A01E26"/>
    <w:rsid w:val="52F61A46"/>
    <w:rsid w:val="536B7973"/>
    <w:rsid w:val="537D71DC"/>
    <w:rsid w:val="56C845BE"/>
    <w:rsid w:val="56D54DD8"/>
    <w:rsid w:val="57DE6B68"/>
    <w:rsid w:val="59A3461E"/>
    <w:rsid w:val="5CF8641C"/>
    <w:rsid w:val="5D281862"/>
    <w:rsid w:val="5D4D4958"/>
    <w:rsid w:val="66644AC0"/>
    <w:rsid w:val="667B2536"/>
    <w:rsid w:val="713B3CC7"/>
    <w:rsid w:val="738B58F4"/>
    <w:rsid w:val="73C41D87"/>
    <w:rsid w:val="740C1D61"/>
    <w:rsid w:val="79DD0689"/>
    <w:rsid w:val="7A4B6388"/>
    <w:rsid w:val="7C7B36D3"/>
    <w:rsid w:val="7FDFC81B"/>
    <w:rsid w:val="BFFE9D20"/>
    <w:rsid w:val="DBBFCE6A"/>
    <w:rsid w:val="DBFF19FE"/>
    <w:rsid w:val="FE6F3C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qFormat/>
    <w:uiPriority w:val="0"/>
    <w:pPr>
      <w:widowControl/>
      <w:spacing w:before="100" w:beforeLines="0" w:beforeAutospacing="1" w:after="100" w:afterLines="0" w:afterAutospacing="1"/>
      <w:jc w:val="left"/>
      <w:outlineLvl w:val="0"/>
    </w:pPr>
    <w:rPr>
      <w:rFonts w:ascii="宋体" w:hAnsi="宋体" w:eastAsia="宋体" w:cs="宋体"/>
      <w:b/>
      <w:bCs/>
      <w:kern w:val="36"/>
      <w:sz w:val="48"/>
      <w:szCs w:val="48"/>
    </w:rPr>
  </w:style>
  <w:style w:type="character" w:default="1" w:styleId="11">
    <w:name w:val="Default Paragraph Font"/>
    <w:link w:val="12"/>
    <w:semiHidden/>
    <w:uiPriority w:val="0"/>
    <w:rPr>
      <w:rFonts w:ascii="仿宋_GB2312" w:hAnsi="Tahoma" w:eastAsia="仿宋_GB2312" w:cs="Arial"/>
      <w:sz w:val="24"/>
    </w:rPr>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4">
    <w:name w:val="Body Text Indent"/>
    <w:basedOn w:val="1"/>
    <w:next w:val="5"/>
    <w:qFormat/>
    <w:uiPriority w:val="0"/>
    <w:pPr>
      <w:spacing w:line="620" w:lineRule="exact"/>
      <w:ind w:firstLine="640" w:firstLineChars="200"/>
    </w:pPr>
    <w:rPr>
      <w:rFonts w:ascii="Times New Roman" w:hAnsi="Times New Roman" w:eastAsia="仿宋_GB2312" w:cs="Times New Roman"/>
      <w:sz w:val="32"/>
    </w:rPr>
  </w:style>
  <w:style w:type="paragraph" w:styleId="5">
    <w:name w:val="Body Text Indent 2"/>
    <w:basedOn w:val="1"/>
    <w:next w:val="6"/>
    <w:qFormat/>
    <w:uiPriority w:val="0"/>
    <w:pPr>
      <w:spacing w:after="120" w:afterLines="0" w:afterAutospacing="0" w:line="480" w:lineRule="auto"/>
      <w:ind w:left="420" w:leftChars="200"/>
    </w:pPr>
  </w:style>
  <w:style w:type="paragraph" w:styleId="6">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7">
    <w:name w:val="footer"/>
    <w:basedOn w:val="1"/>
    <w:link w:val="16"/>
    <w:uiPriority w:val="99"/>
    <w:pPr>
      <w:tabs>
        <w:tab w:val="center" w:pos="4153"/>
        <w:tab w:val="right" w:pos="8306"/>
      </w:tabs>
      <w:snapToGrid w:val="0"/>
      <w:jc w:val="left"/>
    </w:pPr>
    <w:rPr>
      <w:sz w:val="18"/>
      <w:szCs w:val="18"/>
    </w:rPr>
  </w:style>
  <w:style w:type="paragraph" w:styleId="8">
    <w:name w:val="Body Text First Indent 2"/>
    <w:basedOn w:val="4"/>
    <w:next w:val="1"/>
    <w:qFormat/>
    <w:uiPriority w:val="0"/>
    <w:pPr>
      <w:ind w:firstLine="420" w:firstLineChars="200"/>
    </w:p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2">
    <w:name w:val=" Char"/>
    <w:basedOn w:val="1"/>
    <w:link w:val="11"/>
    <w:uiPriority w:val="0"/>
    <w:pPr>
      <w:ind w:firstLine="617" w:firstLineChars="257"/>
    </w:pPr>
    <w:rPr>
      <w:rFonts w:ascii="仿宋_GB2312" w:hAnsi="Tahoma" w:eastAsia="仿宋_GB2312" w:cs="Arial"/>
      <w:sz w:val="24"/>
    </w:rPr>
  </w:style>
  <w:style w:type="character" w:styleId="13">
    <w:name w:val="Strong"/>
    <w:basedOn w:val="11"/>
    <w:qFormat/>
    <w:uiPriority w:val="0"/>
    <w:rPr>
      <w:b/>
      <w:bCs/>
    </w:rPr>
  </w:style>
  <w:style w:type="character" w:styleId="14">
    <w:name w:val="page number"/>
    <w:basedOn w:val="11"/>
    <w:uiPriority w:val="0"/>
  </w:style>
  <w:style w:type="character" w:customStyle="1" w:styleId="16">
    <w:name w:val="页脚 Char"/>
    <w:basedOn w:val="11"/>
    <w:link w:val="7"/>
    <w:uiPriority w:val="99"/>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2137</Words>
  <Characters>2219</Characters>
  <Lines>10</Lines>
  <Paragraphs>2</Paragraphs>
  <TotalTime>0</TotalTime>
  <ScaleCrop>false</ScaleCrop>
  <LinksUpToDate>false</LinksUpToDate>
  <CharactersWithSpaces>2219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2016-01-09T15:30:00Z</dcterms:created>
  <dc:creator>lenovo</dc:creator>
  <cp:lastModifiedBy>刘睿</cp:lastModifiedBy>
  <cp:lastPrinted>2019-07-13T11:49:00Z</cp:lastPrinted>
  <dcterms:modified xsi:type="dcterms:W3CDTF">2024-11-12T00:39:50Z</dcterms:modified>
  <dc:title>二○○四年 月  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FFE14C3C027E4380B9686C1F437E8F93</vt:lpwstr>
  </property>
</Properties>
</file>