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4A9DD">
      <w:pPr>
        <w:pStyle w:val="14"/>
        <w:jc w:val="right"/>
        <w:rPr>
          <w:rFonts w:ascii="Times New Roman" w:hAnsi="Times New Roman" w:eastAsia="黑体"/>
          <w:sz w:val="84"/>
          <w:szCs w:val="84"/>
        </w:rPr>
      </w:pPr>
      <w:bookmarkStart w:id="0" w:name="_Toc241978546"/>
      <w:r>
        <w:rPr>
          <w:rFonts w:ascii="Times New Roman" w:hAnsi="Times New Roman" w:eastAsia="黑体"/>
          <w:sz w:val="84"/>
          <w:szCs w:val="84"/>
        </w:rPr>
        <w:t>JJF</w:t>
      </w:r>
    </w:p>
    <w:p w14:paraId="63346782">
      <w:pPr>
        <w:jc w:val="right"/>
        <w:rPr>
          <w:b/>
          <w:sz w:val="52"/>
        </w:rPr>
      </w:pPr>
      <w:r>
        <w:rPr>
          <w:rFonts w:hint="eastAsia"/>
          <w:b/>
          <w:sz w:val="52"/>
        </w:rPr>
        <w:t xml:space="preserve">广 东 省 地 方 </w:t>
      </w:r>
      <w:r>
        <w:rPr>
          <w:b/>
          <w:sz w:val="52"/>
        </w:rPr>
        <w:t>计</w:t>
      </w:r>
      <w:r>
        <w:rPr>
          <w:rFonts w:hint="eastAsia"/>
          <w:b/>
          <w:sz w:val="52"/>
        </w:rPr>
        <w:t xml:space="preserve"> </w:t>
      </w:r>
      <w:r>
        <w:rPr>
          <w:b/>
          <w:sz w:val="52"/>
        </w:rPr>
        <w:t>量</w:t>
      </w:r>
      <w:r>
        <w:rPr>
          <w:rFonts w:hint="eastAsia"/>
          <w:b/>
          <w:sz w:val="52"/>
        </w:rPr>
        <w:t xml:space="preserve"> </w:t>
      </w:r>
      <w:r>
        <w:rPr>
          <w:b/>
          <w:sz w:val="52"/>
        </w:rPr>
        <w:t>技</w:t>
      </w:r>
      <w:r>
        <w:rPr>
          <w:rFonts w:hint="eastAsia"/>
          <w:b/>
          <w:sz w:val="52"/>
        </w:rPr>
        <w:t xml:space="preserve"> </w:t>
      </w:r>
      <w:r>
        <w:rPr>
          <w:b/>
          <w:sz w:val="52"/>
        </w:rPr>
        <w:t>术</w:t>
      </w:r>
      <w:r>
        <w:rPr>
          <w:rFonts w:hint="eastAsia"/>
          <w:b/>
          <w:sz w:val="52"/>
        </w:rPr>
        <w:t xml:space="preserve"> </w:t>
      </w:r>
      <w:r>
        <w:rPr>
          <w:b/>
          <w:sz w:val="52"/>
        </w:rPr>
        <w:t>规</w:t>
      </w:r>
      <w:r>
        <w:rPr>
          <w:rFonts w:hint="eastAsia"/>
          <w:b/>
          <w:sz w:val="52"/>
        </w:rPr>
        <w:t xml:space="preserve"> </w:t>
      </w:r>
      <w:r>
        <w:rPr>
          <w:b/>
          <w:sz w:val="52"/>
        </w:rPr>
        <w:t>范</w:t>
      </w:r>
    </w:p>
    <w:p w14:paraId="7DEEB85E">
      <w:pPr>
        <w:jc w:val="center"/>
        <w:rPr>
          <w:sz w:val="24"/>
        </w:rPr>
      </w:pPr>
    </w:p>
    <w:p w14:paraId="599A9132">
      <w:pPr>
        <w:pStyle w:val="14"/>
        <w:jc w:val="right"/>
        <w:rPr>
          <w:rFonts w:ascii="Times New Roman" w:hAnsi="Times New Roman" w:eastAsia="黑体"/>
          <w:b/>
          <w:sz w:val="28"/>
          <w:szCs w:val="28"/>
        </w:rPr>
      </w:pPr>
      <w:r>
        <w:rPr>
          <w:rFonts w:ascii="Times New Roman" w:hAnsi="Times New Roman" w:eastAsia="黑体"/>
          <w:b/>
          <w:sz w:val="28"/>
          <w:szCs w:val="28"/>
        </w:rPr>
        <w:t>JJF</w:t>
      </w:r>
      <w:r>
        <w:rPr>
          <w:rFonts w:hint="eastAsia" w:ascii="Times New Roman" w:hAnsi="Times New Roman" w:eastAsia="黑体"/>
          <w:b/>
          <w:sz w:val="28"/>
          <w:szCs w:val="28"/>
        </w:rPr>
        <w:t>(粤)</w:t>
      </w:r>
      <w:r>
        <w:rPr>
          <w:rFonts w:ascii="Times New Roman" w:hAnsi="Times New Roman" w:eastAsia="黑体"/>
          <w:b/>
          <w:sz w:val="28"/>
          <w:szCs w:val="28"/>
        </w:rPr>
        <w:t>XXXX－XXXX</w:t>
      </w:r>
    </w:p>
    <w:p w14:paraId="5A2C2FD9">
      <w:pPr>
        <w:spacing w:line="320" w:lineRule="exact"/>
        <w:rPr>
          <w:sz w:val="44"/>
        </w:rPr>
      </w:pPr>
    </w:p>
    <w:p w14:paraId="464318A5">
      <w:pPr>
        <w:rPr>
          <w:b/>
          <w:sz w:val="44"/>
        </w:rPr>
      </w:pPr>
      <w:r>
        <w:rPr>
          <w:b/>
          <w:spacing w:val="40"/>
          <w:sz w:val="36"/>
        </w:rPr>
        <mc:AlternateContent>
          <mc:Choice Requires="wps">
            <w:drawing>
              <wp:anchor distT="0" distB="0" distL="114300" distR="114300" simplePos="0" relativeHeight="251665408" behindDoc="0" locked="0" layoutInCell="1" allowOverlap="1">
                <wp:simplePos x="0" y="0"/>
                <wp:positionH relativeFrom="column">
                  <wp:posOffset>66675</wp:posOffset>
                </wp:positionH>
                <wp:positionV relativeFrom="paragraph">
                  <wp:posOffset>46990</wp:posOffset>
                </wp:positionV>
                <wp:extent cx="5292090" cy="0"/>
                <wp:effectExtent l="0" t="6350" r="3810" b="6350"/>
                <wp:wrapNone/>
                <wp:docPr id="3" name="自选图形 354"/>
                <wp:cNvGraphicFramePr/>
                <a:graphic xmlns:a="http://schemas.openxmlformats.org/drawingml/2006/main">
                  <a:graphicData uri="http://schemas.microsoft.com/office/word/2010/wordprocessingShape">
                    <wps:wsp>
                      <wps:cNvCnPr/>
                      <wps:spPr>
                        <a:xfrm flipV="1">
                          <a:off x="0" y="0"/>
                          <a:ext cx="5292090" cy="0"/>
                        </a:xfrm>
                        <a:prstGeom prst="straightConnector1">
                          <a:avLst/>
                        </a:prstGeom>
                        <a:ln w="12700" cap="flat" cmpd="sng">
                          <a:solidFill>
                            <a:srgbClr val="000000"/>
                          </a:solidFill>
                          <a:prstDash val="solid"/>
                          <a:headEnd type="none" w="med" len="med"/>
                          <a:tailEnd type="none" w="med" len="med"/>
                        </a:ln>
                        <a:effectLst/>
                      </wps:spPr>
                      <wps:bodyPr/>
                    </wps:wsp>
                  </a:graphicData>
                </a:graphic>
              </wp:anchor>
            </w:drawing>
          </mc:Choice>
          <mc:Fallback>
            <w:pict>
              <v:shape id="自选图形 354" o:spid="_x0000_s1026" o:spt="32" type="#_x0000_t32" style="position:absolute;left:0pt;flip:y;margin-left:5.25pt;margin-top:3.7pt;height:0pt;width:416.7pt;z-index:251665408;mso-width-relative:page;mso-height-relative:page;" filled="f" stroked="t" coordsize="21600,21600" o:gfxdata="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EayD60wAAAAYBAAAPAAAAAAAAAAEAIAAAACIAAABkcnMvZG93bnJl&#10;di54bWxQSwECFAAUAAAACACHTuJAgPOQkgICAAD+AwAADgAAAAAAAAABACAAAAAiAQAAZHJzL2Uy&#10;b0RvYy54bWxQSwUGAAAAAAYABgBZAQAAlgUAAAAA&#10;">
                <v:fill on="f" focussize="0,0"/>
                <v:stroke weight="1pt" color="#000000" joinstyle="round"/>
                <v:imagedata o:title=""/>
                <o:lock v:ext="edit" aspectratio="f"/>
              </v:shape>
            </w:pict>
          </mc:Fallback>
        </mc:AlternateContent>
      </w:r>
    </w:p>
    <w:p w14:paraId="03D65703">
      <w:pPr>
        <w:jc w:val="center"/>
        <w:rPr>
          <w:b/>
          <w:sz w:val="44"/>
        </w:rPr>
      </w:pPr>
    </w:p>
    <w:p w14:paraId="0B78AE5E">
      <w:pPr>
        <w:jc w:val="center"/>
        <w:rPr>
          <w:b/>
          <w:sz w:val="44"/>
        </w:rPr>
      </w:pPr>
    </w:p>
    <w:p w14:paraId="15B3C99C">
      <w:pPr>
        <w:spacing w:line="360" w:lineRule="auto"/>
        <w:jc w:val="center"/>
        <w:rPr>
          <w:rFonts w:hint="eastAsia" w:ascii="Times New Roman" w:hAnsi="Times New Roman" w:eastAsia="黑体" w:cs="Times New Roman"/>
          <w:b/>
          <w:sz w:val="52"/>
          <w:lang w:eastAsia="zh-CN"/>
        </w:rPr>
      </w:pPr>
      <w:r>
        <w:rPr>
          <w:rFonts w:hint="eastAsia" w:ascii="Times New Roman" w:hAnsi="Times New Roman" w:eastAsia="黑体" w:cs="Times New Roman"/>
          <w:b/>
          <w:sz w:val="52"/>
        </w:rPr>
        <w:t>电子皮带秤状态核查</w:t>
      </w:r>
    </w:p>
    <w:p w14:paraId="31DDAFAB">
      <w:pPr>
        <w:spacing w:line="360" w:lineRule="auto"/>
        <w:jc w:val="center"/>
        <w:rPr>
          <w:rFonts w:hint="eastAsia" w:eastAsia="黑体"/>
          <w:b/>
          <w:sz w:val="52"/>
        </w:rPr>
      </w:pPr>
      <w:r>
        <w:rPr>
          <w:rFonts w:hint="eastAsia" w:eastAsia="黑体"/>
          <w:b/>
          <w:sz w:val="52"/>
        </w:rPr>
        <w:t>计量技术规范</w:t>
      </w:r>
    </w:p>
    <w:p w14:paraId="2ACE65A2">
      <w:pPr>
        <w:tabs>
          <w:tab w:val="left" w:pos="4500"/>
        </w:tabs>
        <w:spacing w:line="360" w:lineRule="auto"/>
        <w:jc w:val="center"/>
        <w:rPr>
          <w:rFonts w:hint="eastAsia" w:ascii="Times New Roman" w:hAnsi="Times New Roman" w:eastAsia="黑体" w:cs="Times New Roman"/>
          <w:b/>
          <w:kern w:val="2"/>
          <w:sz w:val="28"/>
          <w:szCs w:val="28"/>
          <w:lang w:val="en-US" w:eastAsia="zh-CN" w:bidi="ar-SA"/>
        </w:rPr>
      </w:pPr>
      <w:r>
        <w:rPr>
          <w:rFonts w:hint="eastAsia" w:ascii="Times New Roman" w:hAnsi="Times New Roman" w:eastAsia="黑体" w:cs="Times New Roman"/>
          <w:b/>
          <w:kern w:val="2"/>
          <w:sz w:val="28"/>
          <w:szCs w:val="28"/>
          <w:lang w:val="en-US" w:eastAsia="zh-CN" w:bidi="ar-SA"/>
        </w:rPr>
        <w:t>Metrological Technical Specification for Electronic Belt</w:t>
      </w:r>
    </w:p>
    <w:p w14:paraId="711BA661">
      <w:pPr>
        <w:tabs>
          <w:tab w:val="left" w:pos="4500"/>
        </w:tabs>
        <w:spacing w:line="360" w:lineRule="auto"/>
        <w:jc w:val="center"/>
        <w:rPr>
          <w:rFonts w:ascii="Times New Roman" w:hAnsi="Times New Roman" w:eastAsia="黑体"/>
          <w:b/>
          <w:sz w:val="28"/>
          <w:szCs w:val="28"/>
        </w:rPr>
      </w:pPr>
      <w:r>
        <w:rPr>
          <w:rFonts w:hint="eastAsia" w:ascii="Times New Roman" w:hAnsi="Times New Roman" w:eastAsia="黑体" w:cs="Times New Roman"/>
          <w:b/>
          <w:kern w:val="2"/>
          <w:sz w:val="28"/>
          <w:szCs w:val="28"/>
          <w:lang w:val="en-US" w:eastAsia="zh-CN" w:bidi="ar-SA"/>
        </w:rPr>
        <w:t>Weighers Status Check</w:t>
      </w:r>
    </w:p>
    <w:p w14:paraId="657466FD">
      <w:pPr>
        <w:spacing w:line="360" w:lineRule="auto"/>
      </w:pPr>
    </w:p>
    <w:p w14:paraId="1DA779C0"/>
    <w:p w14:paraId="0247AA95">
      <w:pPr>
        <w:spacing w:line="360" w:lineRule="auto"/>
        <w:ind w:left="0" w:leftChars="0" w:firstLine="0" w:firstLineChars="0"/>
        <w:jc w:val="center"/>
        <w:rPr>
          <w:rFonts w:hint="eastAsia" w:eastAsia="宋体"/>
          <w:sz w:val="24"/>
          <w:lang w:eastAsia="zh-CN"/>
        </w:rPr>
      </w:pPr>
      <w:r>
        <w:rPr>
          <w:rFonts w:hint="eastAsia"/>
          <w:sz w:val="24"/>
          <w:lang w:eastAsia="zh-CN"/>
        </w:rPr>
        <w:t>（</w:t>
      </w:r>
      <w:r>
        <w:rPr>
          <w:rFonts w:hint="eastAsia"/>
          <w:sz w:val="24"/>
          <w:lang w:val="en-US" w:eastAsia="zh-CN"/>
        </w:rPr>
        <w:t>征求意见</w:t>
      </w:r>
      <w:r>
        <w:rPr>
          <w:rFonts w:hint="eastAsia"/>
          <w:sz w:val="24"/>
          <w:lang w:eastAsia="zh-CN"/>
        </w:rPr>
        <w:t>稿）</w:t>
      </w:r>
    </w:p>
    <w:p w14:paraId="41656A90">
      <w:pPr>
        <w:spacing w:line="360" w:lineRule="auto"/>
      </w:pPr>
    </w:p>
    <w:p w14:paraId="7467EE07">
      <w:pPr>
        <w:spacing w:line="360" w:lineRule="auto"/>
      </w:pPr>
    </w:p>
    <w:p w14:paraId="06A93BC2">
      <w:pPr>
        <w:spacing w:line="360" w:lineRule="auto"/>
      </w:pPr>
    </w:p>
    <w:p w14:paraId="6EBAF77F">
      <w:pPr>
        <w:spacing w:line="360" w:lineRule="auto"/>
      </w:pPr>
    </w:p>
    <w:p w14:paraId="2DBA4B28">
      <w:pPr>
        <w:spacing w:line="360" w:lineRule="auto"/>
      </w:pPr>
    </w:p>
    <w:p w14:paraId="7B9E3DC2">
      <w:pPr>
        <w:spacing w:line="360" w:lineRule="auto"/>
      </w:pPr>
    </w:p>
    <w:p w14:paraId="770709B2">
      <w:pPr>
        <w:spacing w:line="360" w:lineRule="auto"/>
      </w:pPr>
    </w:p>
    <w:p w14:paraId="714FE135">
      <w:pPr>
        <w:spacing w:line="360" w:lineRule="auto"/>
      </w:pPr>
    </w:p>
    <w:p w14:paraId="4CBDC1F1">
      <w:pPr>
        <w:spacing w:line="360" w:lineRule="auto"/>
      </w:pPr>
    </w:p>
    <w:p w14:paraId="02ECABD7">
      <w:pPr>
        <w:spacing w:line="360" w:lineRule="auto"/>
      </w:pPr>
    </w:p>
    <w:p w14:paraId="5287C2B2">
      <w:pPr>
        <w:spacing w:line="360" w:lineRule="auto"/>
      </w:pPr>
    </w:p>
    <w:p w14:paraId="19B9ADFF"/>
    <w:p w14:paraId="2196109D">
      <w:pPr>
        <w:pStyle w:val="14"/>
        <w:jc w:val="right"/>
        <w:rPr>
          <w:rFonts w:ascii="Times New Roman" w:hAnsi="Times New Roman" w:eastAsia="黑体"/>
          <w:bCs/>
          <w:sz w:val="28"/>
          <w:szCs w:val="28"/>
        </w:rPr>
      </w:pPr>
      <w:r>
        <w:rPr>
          <w:rFonts w:ascii="Times New Roman" w:hAnsi="Times New Roman" w:eastAsia="黑体"/>
          <w:bCs/>
          <w:sz w:val="28"/>
          <w:szCs w:val="28"/>
        </w:rPr>
        <w:t xml:space="preserve">XXXX－XX－XX发布       </w:t>
      </w:r>
      <w:r>
        <w:rPr>
          <w:rFonts w:hint="eastAsia" w:ascii="Times New Roman" w:hAnsi="Times New Roman" w:eastAsia="黑体"/>
          <w:bCs/>
          <w:sz w:val="28"/>
          <w:szCs w:val="28"/>
        </w:rPr>
        <w:t xml:space="preserve">          </w:t>
      </w:r>
      <w:r>
        <w:rPr>
          <w:rFonts w:ascii="Times New Roman" w:hAnsi="Times New Roman" w:eastAsia="黑体"/>
          <w:bCs/>
          <w:sz w:val="28"/>
          <w:szCs w:val="28"/>
        </w:rPr>
        <w:t xml:space="preserve">   XXXX－XX－XX实施</w:t>
      </w:r>
    </w:p>
    <w:p w14:paraId="5FFF6B90">
      <w:pPr>
        <w:pStyle w:val="14"/>
        <w:jc w:val="left"/>
        <w:rPr>
          <w:rFonts w:ascii="Times New Roman" w:hAnsi="Times New Roman"/>
          <w:b/>
          <w:spacing w:val="40"/>
          <w:w w:val="150"/>
          <w:sz w:val="36"/>
        </w:rPr>
      </w:pPr>
      <w:r>
        <w:rPr>
          <w:rFonts w:ascii="Times New Roman" w:hAnsi="Times New Roman"/>
          <w:sz w:val="28"/>
        </w:rP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205105</wp:posOffset>
                </wp:positionV>
                <wp:extent cx="5292090" cy="0"/>
                <wp:effectExtent l="0" t="6350" r="3810" b="6350"/>
                <wp:wrapNone/>
                <wp:docPr id="2" name="自选图形 353"/>
                <wp:cNvGraphicFramePr/>
                <a:graphic xmlns:a="http://schemas.openxmlformats.org/drawingml/2006/main">
                  <a:graphicData uri="http://schemas.microsoft.com/office/word/2010/wordprocessingShape">
                    <wps:wsp>
                      <wps:cNvCnPr/>
                      <wps:spPr>
                        <a:xfrm flipV="1">
                          <a:off x="0" y="0"/>
                          <a:ext cx="5292090" cy="0"/>
                        </a:xfrm>
                        <a:prstGeom prst="straightConnector1">
                          <a:avLst/>
                        </a:prstGeom>
                        <a:ln w="12700" cap="flat" cmpd="sng">
                          <a:solidFill>
                            <a:srgbClr val="000000"/>
                          </a:solidFill>
                          <a:prstDash val="solid"/>
                          <a:headEnd type="none" w="med" len="med"/>
                          <a:tailEnd type="none" w="med" len="med"/>
                        </a:ln>
                        <a:effectLst/>
                      </wps:spPr>
                      <wps:bodyPr/>
                    </wps:wsp>
                  </a:graphicData>
                </a:graphic>
              </wp:anchor>
            </w:drawing>
          </mc:Choice>
          <mc:Fallback>
            <w:pict>
              <v:shape id="自选图形 353" o:spid="_x0000_s1026" o:spt="32" type="#_x0000_t32" style="position:absolute;left:0pt;flip:y;margin-left:0pt;margin-top:16.15pt;height:0pt;width:416.7pt;z-index:251664384;mso-width-relative:page;mso-height-relative:page;" filled="f" stroked="t" coordsize="21600,21600" o:gfxdata="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943U9QAAAAGAQAADwAAAAAAAAABACAAAAAiAAAAZHJzL2Rvd25y&#10;ZXYueG1sUEsBAhQAFAAAAAgAh07iQL0w6pACAgAA/gMAAA4AAAAAAAAAAQAgAAAAIwEAAGRycy9l&#10;Mm9Eb2MueG1sUEsFBgAAAAAGAAYAWQEAAJcFAAAAAA==&#10;">
                <v:fill on="f" focussize="0,0"/>
                <v:stroke weight="1pt" color="#000000" joinstyle="round"/>
                <v:imagedata o:title=""/>
                <o:lock v:ext="edit" aspectratio="f"/>
              </v:shape>
            </w:pict>
          </mc:Fallback>
        </mc:AlternateContent>
      </w:r>
    </w:p>
    <w:p w14:paraId="5670B11E">
      <w:pPr>
        <w:pStyle w:val="14"/>
        <w:jc w:val="left"/>
        <w:rPr>
          <w:rFonts w:ascii="Times New Roman" w:hAnsi="Times New Roman" w:eastAsia="黑体"/>
          <w:sz w:val="28"/>
        </w:rPr>
      </w:pPr>
      <w:r>
        <w:rPr>
          <w:rFonts w:ascii="Times New Roman" w:hAnsi="Times New Roman"/>
          <w:b/>
          <w:spacing w:val="40"/>
          <w:w w:val="150"/>
          <w:sz w:val="32"/>
          <w:szCs w:val="32"/>
        </w:rPr>
        <w:t xml:space="preserve">   </w:t>
      </w:r>
      <w:r>
        <w:rPr>
          <w:rFonts w:hint="eastAsia" w:ascii="Times New Roman" w:hAnsi="Times New Roman"/>
          <w:b/>
          <w:spacing w:val="40"/>
          <w:w w:val="150"/>
          <w:sz w:val="32"/>
          <w:szCs w:val="32"/>
        </w:rPr>
        <w:t>广东省</w:t>
      </w:r>
      <w:r>
        <w:rPr>
          <w:rFonts w:ascii="Times New Roman" w:hAnsi="Times New Roman"/>
          <w:b/>
          <w:spacing w:val="40"/>
          <w:w w:val="150"/>
          <w:sz w:val="32"/>
          <w:szCs w:val="32"/>
        </w:rPr>
        <w:t>市场监督管理局</w:t>
      </w:r>
      <w:r>
        <w:rPr>
          <w:rFonts w:ascii="Times New Roman" w:hAnsi="Times New Roman"/>
          <w:b/>
          <w:spacing w:val="40"/>
          <w:w w:val="150"/>
          <w:sz w:val="36"/>
        </w:rPr>
        <w:t xml:space="preserve"> </w:t>
      </w:r>
      <w:r>
        <w:rPr>
          <w:rFonts w:ascii="Times New Roman" w:hAnsi="Times New Roman" w:eastAsia="黑体"/>
          <w:sz w:val="28"/>
        </w:rPr>
        <w:t xml:space="preserve">发 布   </w:t>
      </w:r>
    </w:p>
    <w:p w14:paraId="2B8E5612">
      <w:pPr>
        <w:pStyle w:val="14"/>
        <w:jc w:val="left"/>
        <w:rPr>
          <w:rFonts w:ascii="Times New Roman" w:hAnsi="Times New Roman" w:eastAsia="黑体"/>
          <w:sz w:val="28"/>
        </w:rPr>
        <w:sectPr>
          <w:footerReference r:id="rId5" w:type="first"/>
          <w:headerReference r:id="rId3" w:type="default"/>
          <w:footerReference r:id="rId4" w:type="default"/>
          <w:pgSz w:w="11906" w:h="16838"/>
          <w:pgMar w:top="1440" w:right="1752" w:bottom="1440" w:left="1752" w:header="851" w:footer="992" w:gutter="0"/>
          <w:pgNumType w:fmt="upperRoman" w:start="1"/>
          <w:cols w:space="720" w:num="1"/>
          <w:titlePg/>
          <w:docGrid w:linePitch="312" w:charSpace="0"/>
        </w:sectPr>
      </w:pPr>
    </w:p>
    <w:p w14:paraId="47857885">
      <w:pPr>
        <w:pStyle w:val="14"/>
        <w:jc w:val="left"/>
        <w:rPr>
          <w:rFonts w:ascii="Times New Roman" w:hAnsi="Times New Roman" w:eastAsia="黑体"/>
          <w:sz w:val="28"/>
        </w:rPr>
      </w:pPr>
      <w:r>
        <w:rPr>
          <w:rFonts w:ascii="Times New Roman" w:hAnsi="Times New Roman" w:eastAsia="黑体"/>
          <w:sz w:val="28"/>
        </w:rPr>
        <w:t xml:space="preserve">    </w:t>
      </w:r>
    </w:p>
    <w:tbl>
      <w:tblPr>
        <w:tblStyle w:val="30"/>
        <w:tblW w:w="0" w:type="auto"/>
        <w:tblInd w:w="0" w:type="dxa"/>
        <w:tblLayout w:type="autofit"/>
        <w:tblCellMar>
          <w:top w:w="0" w:type="dxa"/>
          <w:left w:w="108" w:type="dxa"/>
          <w:bottom w:w="0" w:type="dxa"/>
          <w:right w:w="108" w:type="dxa"/>
        </w:tblCellMar>
      </w:tblPr>
      <w:tblGrid>
        <w:gridCol w:w="5070"/>
        <w:gridCol w:w="3548"/>
      </w:tblGrid>
      <w:tr w14:paraId="6F3D35AB">
        <w:tc>
          <w:tcPr>
            <w:tcW w:w="5070" w:type="dxa"/>
            <w:noWrap w:val="0"/>
            <w:vAlign w:val="top"/>
          </w:tcPr>
          <w:p w14:paraId="063B6BE5">
            <w:pPr>
              <w:pStyle w:val="14"/>
              <w:jc w:val="center"/>
              <w:rPr>
                <w:rFonts w:hint="eastAsia" w:ascii="Times New Roman" w:hAnsi="Times New Roman" w:eastAsia="黑体" w:cs="Times New Roman"/>
                <w:sz w:val="44"/>
                <w:szCs w:val="44"/>
              </w:rPr>
            </w:pPr>
            <w:r>
              <w:rPr>
                <w:rFonts w:hint="eastAsia" w:ascii="Times New Roman" w:hAnsi="Times New Roman" w:eastAsia="黑体" w:cs="Times New Roman"/>
                <w:sz w:val="44"/>
                <w:szCs w:val="44"/>
              </w:rPr>
              <w:t>电子皮带秤状态核查</w:t>
            </w:r>
          </w:p>
          <w:p w14:paraId="1EA81270">
            <w:pPr>
              <w:pStyle w:val="14"/>
              <w:jc w:val="center"/>
              <w:rPr>
                <w:rFonts w:hint="eastAsia" w:ascii="Times New Roman" w:hAnsi="Times New Roman" w:eastAsia="黑体"/>
                <w:sz w:val="44"/>
                <w:szCs w:val="44"/>
              </w:rPr>
            </w:pPr>
            <w:r>
              <w:rPr>
                <w:rFonts w:hint="eastAsia" w:ascii="Times New Roman" w:hAnsi="Times New Roman" w:eastAsia="黑体"/>
                <w:sz w:val="44"/>
                <w:szCs w:val="44"/>
              </w:rPr>
              <w:t>计量技术规范</w:t>
            </w:r>
          </w:p>
        </w:tc>
        <w:tc>
          <w:tcPr>
            <w:tcW w:w="3548" w:type="dxa"/>
            <w:vMerge w:val="restart"/>
            <w:noWrap w:val="0"/>
            <w:vAlign w:val="center"/>
          </w:tcPr>
          <w:p w14:paraId="6E69A048">
            <w:pPr>
              <w:pStyle w:val="14"/>
              <w:ind w:right="880"/>
              <w:jc w:val="right"/>
              <w:rPr>
                <w:rFonts w:ascii="Times New Roman" w:hAnsi="Times New Roman" w:eastAsia="黑体"/>
                <w:sz w:val="44"/>
                <w:szCs w:val="44"/>
              </w:rPr>
            </w:pPr>
            <w:r>
              <w:rPr>
                <w:rFonts w:ascii="Times New Roman" w:hAnsi="Times New Roman" w:eastAsia="黑体"/>
                <w:sz w:val="44"/>
                <w:szCs w:val="44"/>
              </w:rPr>
              <mc:AlternateContent>
                <mc:Choice Requires="wps">
                  <w:drawing>
                    <wp:anchor distT="0" distB="0" distL="114300" distR="114300" simplePos="0" relativeHeight="251663360" behindDoc="0" locked="0" layoutInCell="1" allowOverlap="1">
                      <wp:simplePos x="0" y="0"/>
                      <wp:positionH relativeFrom="column">
                        <wp:posOffset>92075</wp:posOffset>
                      </wp:positionH>
                      <wp:positionV relativeFrom="paragraph">
                        <wp:posOffset>-402590</wp:posOffset>
                      </wp:positionV>
                      <wp:extent cx="1964055" cy="608330"/>
                      <wp:effectExtent l="6350" t="6350" r="10795" b="7620"/>
                      <wp:wrapThrough wrapText="bothSides">
                        <wp:wrapPolygon>
                          <wp:start x="21592" y="-2"/>
                          <wp:lineTo x="0" y="0"/>
                          <wp:lineTo x="0" y="21600"/>
                          <wp:lineTo x="21592" y="21602"/>
                          <wp:lineTo x="8" y="21602"/>
                          <wp:lineTo x="21600" y="21600"/>
                          <wp:lineTo x="21600" y="0"/>
                          <wp:lineTo x="8" y="-2"/>
                          <wp:lineTo x="21592" y="-2"/>
                        </wp:wrapPolygon>
                      </wp:wrapThrough>
                      <wp:docPr id="10" name="文本框 359"/>
                      <wp:cNvGraphicFramePr/>
                      <a:graphic xmlns:a="http://schemas.openxmlformats.org/drawingml/2006/main">
                        <a:graphicData uri="http://schemas.microsoft.com/office/word/2010/wordprocessingShape">
                          <wps:wsp>
                            <wps:cNvSpPr txBox="1"/>
                            <wps:spPr>
                              <a:xfrm>
                                <a:off x="0" y="0"/>
                                <a:ext cx="1964055" cy="608330"/>
                              </a:xfrm>
                              <a:prstGeom prst="rect">
                                <a:avLst/>
                              </a:prstGeom>
                              <a:solidFill>
                                <a:srgbClr val="FFFFFF">
                                  <a:alpha val="0"/>
                                </a:srgbClr>
                              </a:solidFill>
                              <a:ln w="12700" cap="flat" cmpd="sng">
                                <a:solidFill>
                                  <a:srgbClr val="000000"/>
                                </a:solidFill>
                                <a:prstDash val="dashDot"/>
                                <a:miter/>
                                <a:headEnd type="none" w="med" len="med"/>
                                <a:tailEnd type="none" w="med" len="med"/>
                              </a:ln>
                              <a:effectLst/>
                            </wps:spPr>
                            <wps:txbx>
                              <w:txbxContent>
                                <w:p w14:paraId="6D733EB7">
                                  <w:pPr>
                                    <w:spacing w:before="240" w:beforeLines="100"/>
                                    <w:jc w:val="center"/>
                                    <w:rPr>
                                      <w:rFonts w:ascii="黑体" w:eastAsia="黑体"/>
                                      <w:sz w:val="28"/>
                                      <w:szCs w:val="28"/>
                                    </w:rPr>
                                  </w:pPr>
                                  <w:r>
                                    <w:rPr>
                                      <w:rFonts w:hint="eastAsia" w:ascii="黑体" w:eastAsia="黑体"/>
                                      <w:sz w:val="28"/>
                                      <w:szCs w:val="28"/>
                                    </w:rPr>
                                    <w:t>JJF(粤)XXXX-XXX</w:t>
                                  </w:r>
                                  <w:r>
                                    <w:rPr>
                                      <w:rFonts w:ascii="黑体" w:eastAsia="黑体"/>
                                      <w:sz w:val="28"/>
                                      <w:szCs w:val="28"/>
                                    </w:rPr>
                                    <w:t>X</w:t>
                                  </w:r>
                                </w:p>
                              </w:txbxContent>
                            </wps:txbx>
                            <wps:bodyPr wrap="square" lIns="91440" tIns="10800" rIns="91440" bIns="45720" upright="1"/>
                          </wps:wsp>
                        </a:graphicData>
                      </a:graphic>
                    </wp:anchor>
                  </w:drawing>
                </mc:Choice>
                <mc:Fallback>
                  <w:pict>
                    <v:shape id="文本框 359" o:spid="_x0000_s1026" o:spt="202" type="#_x0000_t202" style="position:absolute;left:0pt;margin-left:7.25pt;margin-top:-31.7pt;height:47.9pt;width:154.65pt;mso-wrap-distance-left:9pt;mso-wrap-distance-right:9pt;z-index:251663360;mso-width-relative:page;mso-height-relative:page;" fillcolor="#FFFFFF" filled="t" stroked="t" coordsize="21600,21600" wrapcoords="21592 -2 0 0 0 21600 21592 21602 8 21602 21600 21600 21600 0 8 -2 21592 -2" o:gfxdata="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t/9xHXAAAACQEAAA8AAAAAAAAA&#10;AQAgAAAAIgAAAGRycy9kb3ducmV2LnhtbFBLAQIUABQAAAAIAIdO4kAAtLCiSwIAAKkEAAAOAAAA&#10;AAAAAAEAIAAAACYBAABkcnMvZTJvRG9jLnhtbFBLBQYAAAAABgAGAFkBAADjBQAAAAA=&#10;">
                      <v:fill on="t" opacity="0f" focussize="0,0"/>
                      <v:stroke weight="1pt" color="#000000" joinstyle="miter" dashstyle="dashDot"/>
                      <v:imagedata o:title=""/>
                      <o:lock v:ext="edit" aspectratio="f"/>
                      <v:textbox inset="2.54mm,0.3mm,2.54mm,1.27mm">
                        <w:txbxContent>
                          <w:p w14:paraId="6D733EB7">
                            <w:pPr>
                              <w:spacing w:before="240" w:beforeLines="100"/>
                              <w:jc w:val="center"/>
                              <w:rPr>
                                <w:rFonts w:ascii="黑体" w:eastAsia="黑体"/>
                                <w:sz w:val="28"/>
                                <w:szCs w:val="28"/>
                              </w:rPr>
                            </w:pPr>
                            <w:r>
                              <w:rPr>
                                <w:rFonts w:hint="eastAsia" w:ascii="黑体" w:eastAsia="黑体"/>
                                <w:sz w:val="28"/>
                                <w:szCs w:val="28"/>
                              </w:rPr>
                              <w:t>JJF(粤)XXXX-XXX</w:t>
                            </w:r>
                            <w:r>
                              <w:rPr>
                                <w:rFonts w:ascii="黑体" w:eastAsia="黑体"/>
                                <w:sz w:val="28"/>
                                <w:szCs w:val="28"/>
                              </w:rPr>
                              <w:t>X</w:t>
                            </w:r>
                          </w:p>
                        </w:txbxContent>
                      </v:textbox>
                      <w10:wrap type="through"/>
                    </v:shape>
                  </w:pict>
                </mc:Fallback>
              </mc:AlternateContent>
            </w:r>
          </w:p>
        </w:tc>
      </w:tr>
      <w:tr w14:paraId="75568D85">
        <w:tblPrEx>
          <w:tblCellMar>
            <w:top w:w="0" w:type="dxa"/>
            <w:left w:w="108" w:type="dxa"/>
            <w:bottom w:w="0" w:type="dxa"/>
            <w:right w:w="108" w:type="dxa"/>
          </w:tblCellMar>
        </w:tblPrEx>
        <w:tc>
          <w:tcPr>
            <w:tcW w:w="5070" w:type="dxa"/>
            <w:noWrap w:val="0"/>
            <w:vAlign w:val="top"/>
          </w:tcPr>
          <w:p w14:paraId="6167E5FD">
            <w:pPr>
              <w:tabs>
                <w:tab w:val="left" w:pos="4500"/>
              </w:tabs>
              <w:spacing w:line="360" w:lineRule="auto"/>
              <w:jc w:val="center"/>
              <w:rPr>
                <w:rFonts w:ascii="Times New Roman" w:hAnsi="Times New Roman" w:eastAsia="黑体"/>
                <w:sz w:val="44"/>
                <w:szCs w:val="44"/>
              </w:rPr>
            </w:pPr>
            <w:r>
              <w:rPr>
                <w:rFonts w:hint="eastAsia" w:ascii="Times New Roman" w:hAnsi="Times New Roman" w:eastAsia="黑体" w:cs="Times New Roman"/>
                <w:b/>
                <w:sz w:val="28"/>
                <w:szCs w:val="28"/>
                <w:lang w:val="en-US" w:eastAsia="zh-CN"/>
              </w:rPr>
              <w:t>Metrological Technical Specification for Electronic Belt Weighers Status Check</w:t>
            </w:r>
            <w:r>
              <w:rPr>
                <w:rFonts w:hint="eastAsia" w:ascii="Times New Roman" w:hAnsi="Times New Roman" w:eastAsia="黑体" w:cs="Times New Roman"/>
                <w:b/>
                <w:sz w:val="28"/>
                <w:szCs w:val="28"/>
              </w:rPr>
              <w:t xml:space="preserve"> </w:t>
            </w:r>
          </w:p>
        </w:tc>
        <w:tc>
          <w:tcPr>
            <w:tcW w:w="3548" w:type="dxa"/>
            <w:vMerge w:val="continue"/>
            <w:noWrap w:val="0"/>
            <w:vAlign w:val="top"/>
          </w:tcPr>
          <w:p w14:paraId="44437709">
            <w:pPr>
              <w:pStyle w:val="14"/>
              <w:jc w:val="left"/>
              <w:rPr>
                <w:rFonts w:ascii="Times New Roman" w:hAnsi="Times New Roman" w:eastAsia="黑体"/>
                <w:sz w:val="44"/>
                <w:szCs w:val="44"/>
              </w:rPr>
            </w:pPr>
          </w:p>
        </w:tc>
      </w:tr>
    </w:tbl>
    <w:p w14:paraId="753FFE12">
      <w:pPr>
        <w:pStyle w:val="14"/>
        <w:spacing w:line="400" w:lineRule="exact"/>
        <w:rPr>
          <w:rFonts w:ascii="Times New Roman" w:hAnsi="Times New Roman"/>
          <w:sz w:val="28"/>
        </w:rPr>
      </w:pPr>
      <w:r>
        <w:rPr>
          <w:rFonts w:ascii="Times New Roman" w:hAnsi="Times New Roman"/>
          <w:sz w:val="28"/>
        </w:rPr>
        <mc:AlternateContent>
          <mc:Choice Requires="wps">
            <w:drawing>
              <wp:anchor distT="0" distB="0" distL="114300" distR="114300" simplePos="0" relativeHeight="251666432" behindDoc="0" locked="0" layoutInCell="1" allowOverlap="1">
                <wp:simplePos x="0" y="0"/>
                <wp:positionH relativeFrom="column">
                  <wp:posOffset>48260</wp:posOffset>
                </wp:positionH>
                <wp:positionV relativeFrom="paragraph">
                  <wp:posOffset>179070</wp:posOffset>
                </wp:positionV>
                <wp:extent cx="5292090" cy="0"/>
                <wp:effectExtent l="0" t="6350" r="3810" b="6350"/>
                <wp:wrapNone/>
                <wp:docPr id="1" name="自选图形 351"/>
                <wp:cNvGraphicFramePr/>
                <a:graphic xmlns:a="http://schemas.openxmlformats.org/drawingml/2006/main">
                  <a:graphicData uri="http://schemas.microsoft.com/office/word/2010/wordprocessingShape">
                    <wps:wsp>
                      <wps:cNvCnPr/>
                      <wps:spPr>
                        <a:xfrm flipV="1">
                          <a:off x="0" y="0"/>
                          <a:ext cx="5292090" cy="0"/>
                        </a:xfrm>
                        <a:prstGeom prst="straightConnector1">
                          <a:avLst/>
                        </a:prstGeom>
                        <a:ln w="12700" cap="flat" cmpd="sng">
                          <a:solidFill>
                            <a:srgbClr val="000000"/>
                          </a:solidFill>
                          <a:prstDash val="solid"/>
                          <a:headEnd type="none" w="med" len="med"/>
                          <a:tailEnd type="none" w="med" len="med"/>
                        </a:ln>
                        <a:effectLst/>
                      </wps:spPr>
                      <wps:bodyPr/>
                    </wps:wsp>
                  </a:graphicData>
                </a:graphic>
              </wp:anchor>
            </w:drawing>
          </mc:Choice>
          <mc:Fallback>
            <w:pict>
              <v:shape id="自选图形 351" o:spid="_x0000_s1026" o:spt="32" type="#_x0000_t32" style="position:absolute;left:0pt;flip:y;margin-left:3.8pt;margin-top:14.1pt;height:0pt;width:416.7pt;z-index:251666432;mso-width-relative:page;mso-height-relative:page;" filled="f" stroked="t" coordsize="21600,21600" o:gfxdata="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Nj1OS1AAAAAcBAAAPAAAAAAAAAAEAIAAAACIAAABkcnMvZG93bnJl&#10;di54bWxQSwECFAAUAAAACACHTuJAhleByQECAAD+AwAADgAAAAAAAAABACAAAAAjAQAAZHJzL2Uy&#10;b0RvYy54bWxQSwUGAAAAAAYABgBZAQAAlgUAAAAA&#10;">
                <v:fill on="f" focussize="0,0"/>
                <v:stroke weight="1pt" color="#000000" joinstyle="round"/>
                <v:imagedata o:title=""/>
                <o:lock v:ext="edit" aspectratio="f"/>
              </v:shape>
            </w:pict>
          </mc:Fallback>
        </mc:AlternateContent>
      </w:r>
    </w:p>
    <w:p w14:paraId="776327F2">
      <w:pPr>
        <w:pStyle w:val="14"/>
        <w:spacing w:line="400" w:lineRule="exact"/>
        <w:rPr>
          <w:rFonts w:ascii="Times New Roman" w:hAnsi="Times New Roman"/>
          <w:sz w:val="28"/>
        </w:rPr>
      </w:pPr>
    </w:p>
    <w:p w14:paraId="2E9DA92C">
      <w:pPr>
        <w:pStyle w:val="14"/>
        <w:spacing w:line="400" w:lineRule="exact"/>
        <w:rPr>
          <w:rFonts w:ascii="Times New Roman" w:hAnsi="Times New Roman"/>
          <w:sz w:val="28"/>
        </w:rPr>
      </w:pPr>
    </w:p>
    <w:p w14:paraId="6C8A429B">
      <w:pPr>
        <w:pStyle w:val="14"/>
        <w:spacing w:line="400" w:lineRule="exact"/>
        <w:rPr>
          <w:rFonts w:ascii="Times New Roman" w:hAnsi="Times New Roman"/>
          <w:sz w:val="28"/>
        </w:rPr>
      </w:pPr>
    </w:p>
    <w:p w14:paraId="1B8CC4F6">
      <w:pPr>
        <w:pStyle w:val="14"/>
        <w:spacing w:line="400" w:lineRule="exact"/>
        <w:rPr>
          <w:rFonts w:ascii="Times New Roman" w:hAnsi="Times New Roman"/>
          <w:sz w:val="28"/>
        </w:rPr>
      </w:pPr>
    </w:p>
    <w:p w14:paraId="3946C669">
      <w:pPr>
        <w:pStyle w:val="14"/>
        <w:spacing w:line="400" w:lineRule="exact"/>
        <w:rPr>
          <w:rFonts w:ascii="Times New Roman" w:hAnsi="Times New Roman"/>
          <w:sz w:val="28"/>
        </w:rPr>
      </w:pPr>
    </w:p>
    <w:p w14:paraId="41F6E91B">
      <w:pPr>
        <w:pStyle w:val="14"/>
        <w:spacing w:line="400" w:lineRule="exact"/>
        <w:rPr>
          <w:rFonts w:ascii="Times New Roman" w:hAnsi="Times New Roman"/>
          <w:sz w:val="28"/>
        </w:rPr>
      </w:pPr>
    </w:p>
    <w:p w14:paraId="2FA193AC">
      <w:pPr>
        <w:pStyle w:val="14"/>
        <w:spacing w:line="400" w:lineRule="exact"/>
        <w:rPr>
          <w:rFonts w:ascii="Times New Roman" w:hAnsi="Times New Roman"/>
          <w:sz w:val="28"/>
        </w:rPr>
      </w:pPr>
    </w:p>
    <w:p w14:paraId="068CCBCB">
      <w:pPr>
        <w:pStyle w:val="14"/>
        <w:spacing w:line="400" w:lineRule="exact"/>
        <w:rPr>
          <w:rFonts w:ascii="Times New Roman" w:hAnsi="Times New Roman"/>
          <w:sz w:val="28"/>
        </w:rPr>
      </w:pPr>
    </w:p>
    <w:p w14:paraId="412738D0">
      <w:pPr>
        <w:pStyle w:val="14"/>
        <w:spacing w:line="400" w:lineRule="exact"/>
        <w:rPr>
          <w:rFonts w:ascii="Times New Roman" w:hAnsi="Times New Roman"/>
          <w:sz w:val="28"/>
        </w:rPr>
      </w:pPr>
    </w:p>
    <w:p w14:paraId="08F77709">
      <w:pPr>
        <w:pStyle w:val="14"/>
        <w:spacing w:line="360" w:lineRule="auto"/>
        <w:ind w:firstLine="1680" w:firstLineChars="600"/>
        <w:rPr>
          <w:rFonts w:hint="eastAsia" w:ascii="Times New Roman" w:hAnsi="Times New Roman" w:eastAsia="黑体"/>
          <w:sz w:val="28"/>
        </w:rPr>
      </w:pPr>
      <w:r>
        <w:rPr>
          <w:rFonts w:ascii="Times New Roman" w:hAnsi="Times New Roman" w:eastAsia="黑体"/>
          <w:sz w:val="28"/>
        </w:rPr>
        <w:t>归</w:t>
      </w:r>
      <w:r>
        <w:rPr>
          <w:rFonts w:hint="eastAsia" w:ascii="Times New Roman" w:hAnsi="Times New Roman" w:eastAsia="黑体"/>
          <w:sz w:val="28"/>
        </w:rPr>
        <w:t xml:space="preserve"> </w:t>
      </w:r>
      <w:r>
        <w:rPr>
          <w:rFonts w:ascii="Times New Roman" w:hAnsi="Times New Roman" w:eastAsia="黑体"/>
          <w:sz w:val="28"/>
        </w:rPr>
        <w:t>口</w:t>
      </w:r>
      <w:r>
        <w:rPr>
          <w:rFonts w:hint="eastAsia" w:ascii="Times New Roman" w:hAnsi="Times New Roman" w:eastAsia="黑体"/>
          <w:sz w:val="28"/>
        </w:rPr>
        <w:t xml:space="preserve"> </w:t>
      </w:r>
      <w:r>
        <w:rPr>
          <w:rFonts w:ascii="Times New Roman" w:hAnsi="Times New Roman" w:eastAsia="黑体"/>
          <w:sz w:val="28"/>
        </w:rPr>
        <w:t>单</w:t>
      </w:r>
      <w:r>
        <w:rPr>
          <w:rFonts w:hint="eastAsia" w:ascii="Times New Roman" w:hAnsi="Times New Roman" w:eastAsia="黑体"/>
          <w:sz w:val="28"/>
        </w:rPr>
        <w:t xml:space="preserve"> </w:t>
      </w:r>
      <w:r>
        <w:rPr>
          <w:rFonts w:ascii="Times New Roman" w:hAnsi="Times New Roman" w:eastAsia="黑体"/>
          <w:sz w:val="28"/>
        </w:rPr>
        <w:t xml:space="preserve">位: </w:t>
      </w:r>
      <w:r>
        <w:rPr>
          <w:rFonts w:hint="eastAsia" w:ascii="Times New Roman" w:hAnsi="Times New Roman" w:eastAsia="黑体"/>
          <w:sz w:val="28"/>
        </w:rPr>
        <w:t>广东省碳达峰碳中和计量技术委员会</w:t>
      </w:r>
    </w:p>
    <w:p w14:paraId="27C57C59">
      <w:pPr>
        <w:pStyle w:val="14"/>
        <w:spacing w:line="360" w:lineRule="auto"/>
        <w:ind w:left="0" w:leftChars="0" w:firstLine="1680" w:firstLineChars="600"/>
        <w:rPr>
          <w:rFonts w:hint="eastAsia" w:ascii="Times New Roman" w:hAnsi="Times New Roman" w:eastAsia="黑体"/>
          <w:sz w:val="28"/>
        </w:rPr>
      </w:pPr>
    </w:p>
    <w:p w14:paraId="68CF2F61">
      <w:pPr>
        <w:pStyle w:val="14"/>
        <w:spacing w:line="360" w:lineRule="auto"/>
        <w:ind w:left="0" w:leftChars="0" w:firstLine="1680" w:firstLineChars="600"/>
        <w:rPr>
          <w:rFonts w:hint="eastAsia" w:ascii="Times New Roman" w:hAnsi="Times New Roman" w:eastAsia="黑体"/>
          <w:sz w:val="28"/>
          <w:lang w:val="en-US" w:eastAsia="zh-CN"/>
        </w:rPr>
      </w:pPr>
      <w:r>
        <w:rPr>
          <w:rFonts w:hint="eastAsia" w:ascii="Times New Roman" w:hAnsi="Times New Roman" w:eastAsia="黑体"/>
          <w:sz w:val="28"/>
          <w:lang w:eastAsia="zh-CN"/>
        </w:rPr>
        <w:t>主要</w:t>
      </w:r>
      <w:r>
        <w:rPr>
          <w:rFonts w:ascii="Times New Roman" w:hAnsi="Times New Roman" w:eastAsia="黑体"/>
          <w:sz w:val="28"/>
        </w:rPr>
        <w:t xml:space="preserve">起草单位: </w:t>
      </w:r>
      <w:r>
        <w:rPr>
          <w:rFonts w:hint="eastAsia" w:ascii="Times New Roman" w:hAnsi="Times New Roman" w:eastAsia="黑体"/>
          <w:b w:val="0"/>
          <w:bCs w:val="0"/>
          <w:sz w:val="28"/>
          <w:lang w:val="en-US" w:eastAsia="zh-CN"/>
        </w:rPr>
        <w:t>广东省计量科学研究院</w:t>
      </w:r>
    </w:p>
    <w:p w14:paraId="11FB29E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3578" w:firstLineChars="1278"/>
        <w:jc w:val="left"/>
        <w:textAlignment w:val="auto"/>
        <w:rPr>
          <w:rFonts w:hint="eastAsia" w:ascii="黑体" w:hAnsi="黑体" w:eastAsia="黑体" w:cs="黑体"/>
          <w:sz w:val="28"/>
        </w:rPr>
      </w:pPr>
    </w:p>
    <w:p w14:paraId="73D6CCC7">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3578" w:firstLineChars="1278"/>
        <w:jc w:val="left"/>
        <w:textAlignment w:val="auto"/>
        <w:rPr>
          <w:rFonts w:hint="eastAsia" w:ascii="黑体" w:hAnsi="黑体" w:eastAsia="黑体" w:cs="黑体"/>
          <w:sz w:val="28"/>
        </w:rPr>
      </w:pPr>
    </w:p>
    <w:p w14:paraId="43C65BF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1680" w:firstLineChars="600"/>
        <w:textAlignment w:val="auto"/>
        <w:rPr>
          <w:rFonts w:ascii="Times New Roman" w:hAnsi="Times New Roman" w:eastAsia="黑体"/>
          <w:sz w:val="28"/>
        </w:rPr>
      </w:pPr>
      <w:r>
        <w:rPr>
          <w:rFonts w:ascii="Times New Roman" w:hAnsi="Times New Roman" w:eastAsia="黑体"/>
          <w:sz w:val="28"/>
        </w:rPr>
        <w:t>参加</w:t>
      </w:r>
      <w:r>
        <w:rPr>
          <w:rFonts w:hint="eastAsia" w:ascii="Times New Roman" w:hAnsi="Times New Roman" w:eastAsia="黑体"/>
          <w:sz w:val="28"/>
          <w:lang w:eastAsia="zh-CN"/>
        </w:rPr>
        <w:t>起草</w:t>
      </w:r>
      <w:r>
        <w:rPr>
          <w:rFonts w:ascii="Times New Roman" w:hAnsi="Times New Roman" w:eastAsia="黑体"/>
          <w:sz w:val="28"/>
        </w:rPr>
        <w:t xml:space="preserve">单位: </w:t>
      </w:r>
    </w:p>
    <w:p w14:paraId="2754391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3578" w:firstLineChars="1278"/>
        <w:jc w:val="left"/>
        <w:textAlignment w:val="auto"/>
        <w:rPr>
          <w:rFonts w:hint="eastAsia" w:ascii="黑体" w:hAnsi="黑体" w:eastAsia="黑体" w:cs="黑体"/>
          <w:sz w:val="28"/>
        </w:rPr>
      </w:pPr>
    </w:p>
    <w:p w14:paraId="0556C84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3578" w:firstLineChars="1278"/>
        <w:jc w:val="left"/>
        <w:textAlignment w:val="auto"/>
        <w:rPr>
          <w:rFonts w:hint="eastAsia" w:ascii="黑体" w:hAnsi="黑体" w:eastAsia="黑体" w:cs="黑体"/>
          <w:sz w:val="28"/>
        </w:rPr>
      </w:pPr>
    </w:p>
    <w:p w14:paraId="6609E8D1">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3578" w:firstLineChars="1278"/>
        <w:jc w:val="left"/>
        <w:textAlignment w:val="auto"/>
        <w:rPr>
          <w:rFonts w:hint="eastAsia" w:ascii="黑体" w:hAnsi="黑体" w:eastAsia="黑体" w:cs="黑体"/>
          <w:sz w:val="28"/>
        </w:rPr>
      </w:pPr>
    </w:p>
    <w:p w14:paraId="438B3D1A">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3578" w:firstLineChars="1278"/>
        <w:jc w:val="left"/>
        <w:textAlignment w:val="auto"/>
        <w:rPr>
          <w:rFonts w:hint="eastAsia" w:ascii="黑体" w:hAnsi="黑体" w:eastAsia="黑体" w:cs="黑体"/>
          <w:sz w:val="28"/>
        </w:rPr>
      </w:pPr>
    </w:p>
    <w:p w14:paraId="7FB44B75">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3578" w:firstLineChars="1278"/>
        <w:jc w:val="left"/>
        <w:textAlignment w:val="auto"/>
        <w:rPr>
          <w:rFonts w:hint="eastAsia" w:ascii="黑体" w:hAnsi="黑体" w:eastAsia="黑体" w:cs="黑体"/>
          <w:sz w:val="28"/>
        </w:rPr>
      </w:pPr>
    </w:p>
    <w:p w14:paraId="73B48859">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3578" w:firstLineChars="1278"/>
        <w:jc w:val="left"/>
        <w:textAlignment w:val="auto"/>
        <w:rPr>
          <w:rFonts w:hint="eastAsia" w:ascii="黑体" w:hAnsi="黑体" w:eastAsia="黑体" w:cs="黑体"/>
          <w:sz w:val="28"/>
        </w:rPr>
      </w:pPr>
    </w:p>
    <w:p w14:paraId="0F58B67A">
      <w:pPr>
        <w:pStyle w:val="14"/>
        <w:jc w:val="center"/>
        <w:rPr>
          <w:rFonts w:ascii="Times New Roman" w:hAnsi="Times New Roman"/>
          <w:sz w:val="24"/>
        </w:rPr>
      </w:pPr>
      <w:r>
        <w:rPr>
          <w:rFonts w:ascii="Times New Roman" w:hAnsi="Times New Roman" w:eastAsia="黑体"/>
          <w:sz w:val="28"/>
        </w:rPr>
        <w:t>本规范委托</w:t>
      </w:r>
      <w:r>
        <w:rPr>
          <w:rFonts w:hint="eastAsia" w:ascii="Times New Roman" w:hAnsi="Times New Roman" w:eastAsia="黑体"/>
          <w:sz w:val="28"/>
        </w:rPr>
        <w:t>广东省碳达峰碳中和计量技术委员会</w:t>
      </w:r>
      <w:r>
        <w:rPr>
          <w:rFonts w:ascii="Times New Roman" w:hAnsi="Times New Roman" w:eastAsia="黑体"/>
          <w:sz w:val="28"/>
        </w:rPr>
        <w:t>负责解释</w:t>
      </w:r>
    </w:p>
    <w:p w14:paraId="311F21F8">
      <w:pPr>
        <w:pStyle w:val="14"/>
        <w:rPr>
          <w:rFonts w:ascii="Times New Roman" w:hAnsi="Times New Roman"/>
          <w:sz w:val="24"/>
        </w:rPr>
        <w:sectPr>
          <w:footerReference r:id="rId7" w:type="first"/>
          <w:footerReference r:id="rId6" w:type="default"/>
          <w:pgSz w:w="11906" w:h="16838"/>
          <w:pgMar w:top="1440" w:right="1752" w:bottom="1440" w:left="1752" w:header="851" w:footer="992" w:gutter="0"/>
          <w:pgNumType w:fmt="upperRoman" w:start="1"/>
          <w:cols w:space="720" w:num="1"/>
          <w:docGrid w:linePitch="312" w:charSpace="0"/>
        </w:sectPr>
      </w:pPr>
    </w:p>
    <w:p w14:paraId="59071F1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53" w:firstLineChars="1519"/>
        <w:textAlignment w:val="auto"/>
        <w:rPr>
          <w:rFonts w:hint="eastAsia" w:ascii="Times New Roman" w:hAnsi="Times New Roman" w:eastAsia="黑体" w:cs="Times New Roman"/>
          <w:sz w:val="28"/>
          <w:lang w:val="en-US" w:eastAsia="zh-CN"/>
        </w:rPr>
      </w:pPr>
    </w:p>
    <w:p w14:paraId="51DA07F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53" w:firstLineChars="1519"/>
        <w:textAlignment w:val="auto"/>
        <w:rPr>
          <w:rFonts w:hint="default" w:ascii="Times New Roman" w:hAnsi="Times New Roman" w:eastAsia="黑体" w:cs="Times New Roman"/>
          <w:sz w:val="28"/>
          <w:lang w:val="en-US" w:eastAsia="zh-CN"/>
        </w:rPr>
      </w:pPr>
    </w:p>
    <w:p w14:paraId="5291E01C">
      <w:pPr>
        <w:pStyle w:val="14"/>
        <w:spacing w:line="360" w:lineRule="auto"/>
        <w:ind w:firstLine="1724" w:firstLineChars="616"/>
        <w:rPr>
          <w:rFonts w:hint="eastAsia" w:ascii="Times New Roman" w:hAnsi="Times New Roman" w:eastAsia="黑体"/>
          <w:sz w:val="28"/>
          <w:lang w:val="en-US" w:eastAsia="zh-CN"/>
        </w:rPr>
      </w:pPr>
      <w:r>
        <w:rPr>
          <w:rFonts w:ascii="Times New Roman" w:hAnsi="Times New Roman" w:eastAsia="黑体"/>
          <w:sz w:val="28"/>
        </w:rPr>
        <w:t>本规范主要起草人：</w:t>
      </w:r>
    </w:p>
    <w:p w14:paraId="33AC56AD">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53" w:firstLineChars="1519"/>
        <w:textAlignment w:val="auto"/>
        <w:rPr>
          <w:rFonts w:hint="default" w:ascii="Times New Roman" w:hAnsi="Times New Roman" w:eastAsia="黑体" w:cs="Times New Roman"/>
          <w:sz w:val="28"/>
          <w:lang w:val="en-US" w:eastAsia="zh-CN"/>
        </w:rPr>
      </w:pPr>
    </w:p>
    <w:p w14:paraId="6A2F1483">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53" w:firstLineChars="1519"/>
        <w:textAlignment w:val="auto"/>
        <w:rPr>
          <w:rFonts w:hint="eastAsia" w:ascii="Times New Roman" w:hAnsi="Times New Roman" w:eastAsia="黑体" w:cs="Times New Roman"/>
          <w:sz w:val="28"/>
          <w:lang w:val="en-US" w:eastAsia="zh-CN"/>
        </w:rPr>
      </w:pPr>
    </w:p>
    <w:p w14:paraId="50C4210F">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4253" w:firstLineChars="1519"/>
        <w:textAlignment w:val="auto"/>
        <w:rPr>
          <w:rFonts w:hint="eastAsia" w:ascii="Times New Roman" w:hAnsi="Times New Roman" w:eastAsia="黑体" w:cs="Times New Roman"/>
          <w:sz w:val="28"/>
          <w:lang w:val="en-US" w:eastAsia="zh-CN"/>
        </w:rPr>
      </w:pPr>
    </w:p>
    <w:p w14:paraId="7E140056">
      <w:pPr>
        <w:pStyle w:val="14"/>
        <w:spacing w:line="360" w:lineRule="auto"/>
        <w:ind w:firstLine="2559" w:firstLineChars="914"/>
        <w:rPr>
          <w:rFonts w:ascii="Times New Roman" w:hAnsi="Times New Roman" w:eastAsia="黑体"/>
          <w:sz w:val="28"/>
        </w:rPr>
      </w:pPr>
      <w:r>
        <w:rPr>
          <w:rFonts w:ascii="Times New Roman" w:hAnsi="Times New Roman" w:eastAsia="黑体"/>
          <w:sz w:val="28"/>
        </w:rPr>
        <w:t>参加起草人：</w:t>
      </w:r>
    </w:p>
    <w:bookmarkEnd w:id="0"/>
    <w:p w14:paraId="4DD11D71">
      <w:pPr>
        <w:tabs>
          <w:tab w:val="left" w:pos="4500"/>
        </w:tabs>
        <w:ind w:firstLine="2660" w:firstLineChars="950"/>
        <w:rPr>
          <w:rFonts w:asciiTheme="minorEastAsia" w:hAnsiTheme="minorEastAsia" w:eastAsiaTheme="minorEastAsia"/>
          <w:sz w:val="28"/>
        </w:rPr>
      </w:pPr>
    </w:p>
    <w:p w14:paraId="77C4C116">
      <w:pPr>
        <w:tabs>
          <w:tab w:val="left" w:pos="4500"/>
        </w:tabs>
        <w:rPr>
          <w:rFonts w:ascii="黑体" w:hAnsi="黑体" w:eastAsia="黑体"/>
          <w:sz w:val="28"/>
        </w:rPr>
      </w:pPr>
    </w:p>
    <w:p w14:paraId="200A60C7">
      <w:pPr>
        <w:tabs>
          <w:tab w:val="left" w:pos="4500"/>
        </w:tabs>
        <w:ind w:firstLine="2240" w:firstLineChars="800"/>
        <w:rPr>
          <w:rFonts w:ascii="黑体" w:hAnsi="黑体" w:eastAsia="黑体"/>
          <w:sz w:val="28"/>
        </w:rPr>
      </w:pPr>
    </w:p>
    <w:p w14:paraId="3EC02A04">
      <w:pPr>
        <w:tabs>
          <w:tab w:val="left" w:pos="4500"/>
        </w:tabs>
        <w:ind w:firstLine="570"/>
        <w:rPr>
          <w:sz w:val="28"/>
        </w:rPr>
        <w:sectPr>
          <w:headerReference r:id="rId8" w:type="default"/>
          <w:footerReference r:id="rId10" w:type="default"/>
          <w:headerReference r:id="rId9" w:type="even"/>
          <w:footerReference r:id="rId11" w:type="even"/>
          <w:pgSz w:w="11906" w:h="16838"/>
          <w:pgMar w:top="1588" w:right="1134" w:bottom="1361" w:left="1418" w:header="851" w:footer="992" w:gutter="0"/>
          <w:pgNumType w:fmt="upperRoman" w:start="1"/>
          <w:cols w:space="425" w:num="1"/>
          <w:docGrid w:type="lines" w:linePitch="312" w:charSpace="0"/>
        </w:sectPr>
      </w:pPr>
      <w:bookmarkStart w:id="219" w:name="_GoBack"/>
      <w:bookmarkEnd w:id="219"/>
    </w:p>
    <w:p w14:paraId="4668FB9F">
      <w:pPr>
        <w:jc w:val="center"/>
        <w:rPr>
          <w:rFonts w:ascii="黑体" w:eastAsia="黑体"/>
          <w:sz w:val="44"/>
          <w:szCs w:val="44"/>
        </w:rPr>
      </w:pPr>
      <w:r>
        <w:rPr>
          <w:rFonts w:hint="eastAsia" w:ascii="黑体" w:eastAsia="黑体"/>
          <w:sz w:val="44"/>
          <w:szCs w:val="44"/>
        </w:rPr>
        <w:t>目    录</w:t>
      </w:r>
    </w:p>
    <w:p w14:paraId="7D064EC4">
      <w:pPr>
        <w:pStyle w:val="21"/>
        <w:tabs>
          <w:tab w:val="right" w:leader="dot" w:pos="9354"/>
          <w:tab w:val="clear" w:pos="210"/>
          <w:tab w:val="clear" w:pos="8302"/>
        </w:tabs>
        <w:spacing w:line="360" w:lineRule="auto"/>
        <w:rPr>
          <w:rFonts w:ascii="宋体" w:hAnsi="宋体" w:cs="宋体"/>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TOC \h \z \u \t "标题 1,1,标题 2,2,标题 3,3"</w:instrText>
      </w:r>
      <w:r>
        <w:rPr>
          <w:rFonts w:hint="eastAsia" w:ascii="宋体" w:hAnsi="宋体" w:cs="宋体"/>
          <w:sz w:val="24"/>
          <w:szCs w:val="24"/>
        </w:rPr>
        <w:fldChar w:fldCharType="separate"/>
      </w:r>
      <w:r>
        <w:fldChar w:fldCharType="begin"/>
      </w:r>
      <w:r>
        <w:instrText xml:space="preserve"> HYPERLINK \l "_Toc7295" </w:instrText>
      </w:r>
      <w:r>
        <w:fldChar w:fldCharType="separate"/>
      </w:r>
      <w:r>
        <w:rPr>
          <w:rFonts w:hint="eastAsia" w:ascii="宋体" w:hAnsi="宋体" w:cs="宋体"/>
          <w:sz w:val="24"/>
          <w:szCs w:val="24"/>
        </w:rPr>
        <w:t>引言</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_Toc7295 </w:instrText>
      </w:r>
      <w:r>
        <w:rPr>
          <w:rFonts w:hint="eastAsia" w:ascii="宋体" w:hAnsi="宋体" w:cs="宋体"/>
          <w:sz w:val="24"/>
          <w:szCs w:val="24"/>
        </w:rPr>
        <w:fldChar w:fldCharType="separate"/>
      </w:r>
      <w:r>
        <w:rPr>
          <w:rFonts w:hint="eastAsia" w:ascii="宋体" w:hAnsi="宋体" w:cs="宋体"/>
          <w:sz w:val="24"/>
          <w:szCs w:val="24"/>
        </w:rPr>
        <w:t>II</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6FC92ECB">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"_Toc6377" </w:instrText>
      </w:r>
      <w:r>
        <w:fldChar w:fldCharType="separate"/>
      </w:r>
      <w:r>
        <w:rPr>
          <w:rFonts w:hint="eastAsia" w:ascii="宋体" w:hAnsi="宋体" w:cs="宋体"/>
          <w:sz w:val="24"/>
          <w:szCs w:val="24"/>
        </w:rPr>
        <w:t>1 范围</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_Toc6377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4055C6A2">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"_Toc21768" </w:instrText>
      </w:r>
      <w:r>
        <w:fldChar w:fldCharType="separate"/>
      </w:r>
      <w:r>
        <w:rPr>
          <w:rFonts w:hint="eastAsia" w:ascii="宋体" w:hAnsi="宋体" w:cs="宋体"/>
          <w:sz w:val="24"/>
          <w:szCs w:val="24"/>
        </w:rPr>
        <w:t>2 引用文件</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_Toc21768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5F141E82">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"_Toc1799" </w:instrText>
      </w:r>
      <w:r>
        <w:fldChar w:fldCharType="separate"/>
      </w:r>
      <w:r>
        <w:rPr>
          <w:rFonts w:hint="eastAsia" w:ascii="宋体" w:hAnsi="宋体" w:cs="宋体"/>
          <w:sz w:val="24"/>
          <w:szCs w:val="24"/>
        </w:rPr>
        <w:t>3 术语和计量单位</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_Toc1799 </w:instrText>
      </w:r>
      <w:r>
        <w:rPr>
          <w:rFonts w:hint="eastAsia" w:ascii="宋体" w:hAnsi="宋体" w:cs="宋体"/>
          <w:sz w:val="24"/>
          <w:szCs w:val="24"/>
        </w:rPr>
        <w:fldChar w:fldCharType="separate"/>
      </w:r>
      <w:r>
        <w:rPr>
          <w:rFonts w:hint="eastAsia"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748E6FC1">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"_Toc3749" </w:instrText>
      </w:r>
      <w:r>
        <w:fldChar w:fldCharType="separate"/>
      </w:r>
      <w:r>
        <w:rPr>
          <w:rFonts w:hint="eastAsia" w:ascii="宋体" w:hAnsi="宋体" w:cs="宋体"/>
          <w:sz w:val="24"/>
          <w:szCs w:val="24"/>
        </w:rPr>
        <w:t>4 概述</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_Toc3749 </w:instrText>
      </w:r>
      <w:r>
        <w:rPr>
          <w:rFonts w:hint="eastAsia" w:ascii="宋体" w:hAnsi="宋体" w:cs="宋体"/>
          <w:sz w:val="24"/>
          <w:szCs w:val="24"/>
        </w:rPr>
        <w:fldChar w:fldCharType="separate"/>
      </w:r>
      <w:r>
        <w:rPr>
          <w:rFonts w:hint="eastAsia"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39427AC4">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"_Toc27882" </w:instrText>
      </w:r>
      <w:r>
        <w:fldChar w:fldCharType="separate"/>
      </w:r>
      <w:r>
        <w:rPr>
          <w:rFonts w:hint="eastAsia" w:ascii="宋体" w:hAnsi="宋体" w:cs="宋体"/>
          <w:sz w:val="24"/>
          <w:szCs w:val="24"/>
        </w:rPr>
        <w:t>5 计量性能要求</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_Toc27882 </w:instrText>
      </w:r>
      <w:r>
        <w:rPr>
          <w:rFonts w:hint="eastAsia" w:ascii="宋体" w:hAnsi="宋体" w:cs="宋体"/>
          <w:sz w:val="24"/>
          <w:szCs w:val="24"/>
        </w:rPr>
        <w:fldChar w:fldCharType="separate"/>
      </w:r>
      <w:r>
        <w:rPr>
          <w:rFonts w:hint="eastAsia"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2C82A0C8">
      <w:pPr>
        <w:pStyle w:val="24"/>
        <w:tabs>
          <w:tab w:val="right" w:leader="dot" w:pos="9354"/>
          <w:tab w:val="clear" w:pos="510"/>
          <w:tab w:val="clear" w:pos="8302"/>
        </w:tabs>
        <w:spacing w:line="360" w:lineRule="auto"/>
        <w:rPr>
          <w:rFonts w:ascii="宋体" w:hAnsi="宋体" w:cs="宋体"/>
          <w:sz w:val="24"/>
          <w:szCs w:val="24"/>
        </w:rPr>
      </w:pPr>
      <w:r>
        <w:fldChar w:fldCharType="begin"/>
      </w:r>
      <w:r>
        <w:instrText xml:space="preserve"> HYPERLINK \l "_Toc18668" </w:instrText>
      </w:r>
      <w:r>
        <w:fldChar w:fldCharType="separate"/>
      </w:r>
      <w:r>
        <w:rPr>
          <w:rFonts w:hint="eastAsia" w:ascii="宋体" w:hAnsi="宋体" w:cs="宋体"/>
          <w:sz w:val="24"/>
          <w:szCs w:val="24"/>
        </w:rPr>
        <w:t>5.1 准确度等级</w:t>
      </w:r>
      <w:r>
        <w:rPr>
          <w:rFonts w:hint="eastAsia" w:ascii="宋体" w:hAnsi="宋体" w:cs="宋体"/>
          <w:sz w:val="24"/>
          <w:szCs w:val="24"/>
        </w:rPr>
        <w:tab/>
      </w:r>
      <w:r>
        <w:rPr>
          <w:rFonts w:hint="eastAsia" w:ascii="宋体" w:hAnsi="宋体" w:cs="宋体"/>
          <w:sz w:val="24"/>
          <w:szCs w:val="24"/>
        </w:rPr>
        <w:t>（2</w:t>
      </w:r>
      <w:r>
        <w:rPr>
          <w:rFonts w:hint="eastAsia" w:ascii="宋体" w:hAnsi="宋体" w:cs="宋体"/>
          <w:sz w:val="24"/>
          <w:szCs w:val="24"/>
        </w:rPr>
        <w:fldChar w:fldCharType="end"/>
      </w:r>
      <w:r>
        <w:rPr>
          <w:rFonts w:hint="eastAsia" w:ascii="宋体" w:hAnsi="宋体" w:cs="宋体"/>
          <w:sz w:val="24"/>
          <w:szCs w:val="24"/>
        </w:rPr>
        <w:t>）</w:t>
      </w:r>
    </w:p>
    <w:p w14:paraId="5E3FB00B">
      <w:pPr>
        <w:pStyle w:val="24"/>
        <w:tabs>
          <w:tab w:val="right" w:leader="dot" w:pos="9354"/>
          <w:tab w:val="clear" w:pos="510"/>
          <w:tab w:val="clear" w:pos="8302"/>
        </w:tabs>
        <w:spacing w:line="360" w:lineRule="auto"/>
        <w:rPr>
          <w:rFonts w:ascii="宋体" w:hAnsi="宋体" w:cs="宋体"/>
          <w:sz w:val="24"/>
          <w:szCs w:val="24"/>
        </w:rPr>
      </w:pPr>
      <w:r>
        <w:fldChar w:fldCharType="begin"/>
      </w:r>
      <w:r>
        <w:instrText xml:space="preserve"> HYPERLINK \l "_Toc15281" </w:instrText>
      </w:r>
      <w:r>
        <w:fldChar w:fldCharType="separate"/>
      </w:r>
      <w:r>
        <w:rPr>
          <w:rFonts w:hint="eastAsia" w:ascii="宋体" w:hAnsi="宋体" w:cs="宋体"/>
          <w:sz w:val="24"/>
          <w:szCs w:val="24"/>
        </w:rPr>
        <w:t>5.2 分度值的形式</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_Toc15281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50B7F559">
      <w:pPr>
        <w:pStyle w:val="24"/>
        <w:tabs>
          <w:tab w:val="right" w:leader="dot" w:pos="9354"/>
          <w:tab w:val="clear" w:pos="510"/>
          <w:tab w:val="clear" w:pos="8302"/>
        </w:tabs>
        <w:spacing w:line="360" w:lineRule="auto"/>
        <w:rPr>
          <w:rFonts w:hint="eastAsia" w:ascii="宋体" w:hAnsi="宋体" w:cs="宋体"/>
          <w:sz w:val="24"/>
          <w:szCs w:val="24"/>
        </w:rPr>
      </w:pPr>
      <w:r>
        <w:fldChar w:fldCharType="begin"/>
      </w:r>
      <w:r>
        <w:instrText xml:space="preserve"> HYPERLINK \l "_Toc25883" </w:instrText>
      </w:r>
      <w:r>
        <w:fldChar w:fldCharType="separate"/>
      </w:r>
      <w:r>
        <w:rPr>
          <w:rFonts w:hint="eastAsia" w:ascii="宋体" w:hAnsi="宋体" w:cs="宋体"/>
          <w:sz w:val="24"/>
          <w:szCs w:val="24"/>
        </w:rPr>
        <w:t>5.3 最小累计载荷</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_Toc25883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4793C506">
      <w:pPr>
        <w:pStyle w:val="24"/>
        <w:tabs>
          <w:tab w:val="right" w:leader="dot" w:pos="9354"/>
          <w:tab w:val="clear" w:pos="510"/>
          <w:tab w:val="clear" w:pos="8302"/>
        </w:tabs>
        <w:spacing w:line="360" w:lineRule="auto"/>
        <w:rPr>
          <w:rFonts w:hint="eastAsia" w:ascii="宋体" w:hAnsi="宋体" w:cs="宋体"/>
          <w:sz w:val="24"/>
          <w:szCs w:val="24"/>
        </w:rPr>
      </w:pPr>
      <w:r>
        <w:fldChar w:fldCharType="begin"/>
      </w:r>
      <w:r>
        <w:instrText xml:space="preserve"> HYPERLINK \l "_Toc25883" </w:instrText>
      </w:r>
      <w:r>
        <w:fldChar w:fldCharType="separate"/>
      </w:r>
      <w:r>
        <w:rPr>
          <w:rFonts w:hint="eastAsia" w:ascii="宋体" w:hAnsi="宋体" w:cs="宋体"/>
          <w:sz w:val="24"/>
          <w:szCs w:val="24"/>
        </w:rPr>
        <w:t>5.</w:t>
      </w:r>
      <w:r>
        <w:rPr>
          <w:rFonts w:hint="eastAsia" w:ascii="宋体" w:hAnsi="宋体" w:cs="宋体"/>
          <w:sz w:val="24"/>
          <w:szCs w:val="24"/>
          <w:lang w:val="en-US" w:eastAsia="zh-CN"/>
        </w:rPr>
        <w:t>4</w:t>
      </w:r>
      <w:r>
        <w:rPr>
          <w:rFonts w:hint="eastAsia" w:ascii="宋体" w:hAnsi="宋体" w:cs="宋体"/>
          <w:sz w:val="24"/>
          <w:szCs w:val="24"/>
        </w:rPr>
        <w:t xml:space="preserve"> 零点核查</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_Toc25883 </w:instrText>
      </w:r>
      <w:r>
        <w:rPr>
          <w:rFonts w:hint="eastAsia" w:ascii="宋体" w:hAnsi="宋体" w:cs="宋体"/>
          <w:sz w:val="24"/>
          <w:szCs w:val="24"/>
        </w:rPr>
        <w:fldChar w:fldCharType="separate"/>
      </w:r>
      <w:r>
        <w:rPr>
          <w:rFonts w:hint="eastAsia" w:ascii="宋体" w:hAnsi="宋体" w:cs="宋体"/>
          <w:sz w:val="24"/>
          <w:szCs w:val="24"/>
        </w:rPr>
        <w:t>3</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625FE7CD">
      <w:pPr>
        <w:pStyle w:val="24"/>
        <w:tabs>
          <w:tab w:val="right" w:leader="dot" w:pos="9354"/>
          <w:tab w:val="clear" w:pos="510"/>
          <w:tab w:val="clear" w:pos="8302"/>
        </w:tabs>
        <w:spacing w:line="360" w:lineRule="auto"/>
        <w:rPr>
          <w:rFonts w:hint="eastAsia" w:ascii="宋体" w:hAnsi="宋体" w:cs="宋体"/>
          <w:sz w:val="24"/>
          <w:szCs w:val="24"/>
        </w:rPr>
      </w:pPr>
      <w:r>
        <w:fldChar w:fldCharType="begin"/>
      </w:r>
      <w:r>
        <w:instrText xml:space="preserve"> HYPERLINK \l "_Toc25883" </w:instrText>
      </w:r>
      <w:r>
        <w:fldChar w:fldCharType="separate"/>
      </w:r>
      <w:r>
        <w:rPr>
          <w:rFonts w:hint="eastAsia" w:ascii="宋体" w:hAnsi="宋体" w:cs="宋体"/>
          <w:sz w:val="24"/>
          <w:szCs w:val="24"/>
        </w:rPr>
        <w:t>5.</w:t>
      </w:r>
      <w:r>
        <w:rPr>
          <w:rFonts w:hint="eastAsia" w:ascii="宋体" w:hAnsi="宋体" w:cs="宋体"/>
          <w:sz w:val="24"/>
          <w:szCs w:val="24"/>
          <w:lang w:val="en-US" w:eastAsia="zh-CN"/>
        </w:rPr>
        <w:t>5</w:t>
      </w:r>
      <w:r>
        <w:rPr>
          <w:rFonts w:hint="eastAsia" w:ascii="宋体" w:hAnsi="宋体" w:cs="宋体"/>
          <w:sz w:val="24"/>
          <w:szCs w:val="24"/>
        </w:rPr>
        <w:t xml:space="preserve"> 模拟载荷试验参考值的重复性</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4</w:t>
      </w:r>
      <w:r>
        <w:rPr>
          <w:rFonts w:hint="eastAsia" w:ascii="宋体" w:hAnsi="宋体" w:cs="宋体"/>
          <w:sz w:val="24"/>
          <w:szCs w:val="24"/>
        </w:rPr>
        <w:fldChar w:fldCharType="end"/>
      </w:r>
      <w:r>
        <w:rPr>
          <w:rFonts w:hint="eastAsia" w:ascii="宋体" w:hAnsi="宋体" w:cs="宋体"/>
          <w:sz w:val="24"/>
          <w:szCs w:val="24"/>
        </w:rPr>
        <w:t>）</w:t>
      </w:r>
    </w:p>
    <w:p w14:paraId="7F7EBB2C">
      <w:pPr>
        <w:pStyle w:val="24"/>
        <w:tabs>
          <w:tab w:val="right" w:leader="dot" w:pos="9354"/>
          <w:tab w:val="clear" w:pos="510"/>
          <w:tab w:val="clear" w:pos="8302"/>
        </w:tabs>
        <w:spacing w:line="360" w:lineRule="auto"/>
        <w:rPr>
          <w:rFonts w:hint="eastAsia" w:ascii="宋体" w:hAnsi="宋体" w:cs="宋体"/>
          <w:sz w:val="24"/>
          <w:szCs w:val="24"/>
        </w:rPr>
      </w:pPr>
      <w:r>
        <w:fldChar w:fldCharType="begin"/>
      </w:r>
      <w:r>
        <w:instrText xml:space="preserve"> HYPERLINK \l "_Toc25883" </w:instrText>
      </w:r>
      <w:r>
        <w:fldChar w:fldCharType="separate"/>
      </w:r>
      <w:r>
        <w:rPr>
          <w:rFonts w:hint="eastAsia" w:ascii="宋体" w:hAnsi="宋体" w:cs="宋体"/>
          <w:sz w:val="24"/>
          <w:szCs w:val="24"/>
        </w:rPr>
        <w:t>5.</w:t>
      </w:r>
      <w:r>
        <w:rPr>
          <w:rFonts w:hint="eastAsia" w:ascii="宋体" w:hAnsi="宋体" w:cs="宋体"/>
          <w:sz w:val="24"/>
          <w:szCs w:val="24"/>
          <w:lang w:val="en-US" w:eastAsia="zh-CN"/>
        </w:rPr>
        <w:t>6</w:t>
      </w:r>
      <w:r>
        <w:rPr>
          <w:rFonts w:hint="eastAsia" w:ascii="宋体" w:hAnsi="宋体" w:cs="宋体"/>
          <w:sz w:val="24"/>
          <w:szCs w:val="24"/>
        </w:rPr>
        <w:t xml:space="preserve"> 基于物料校验参数修正的模拟载荷试验法相对误差</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4</w:t>
      </w:r>
      <w:r>
        <w:rPr>
          <w:rFonts w:hint="eastAsia" w:ascii="宋体" w:hAnsi="宋体" w:cs="宋体"/>
          <w:sz w:val="24"/>
          <w:szCs w:val="24"/>
        </w:rPr>
        <w:fldChar w:fldCharType="end"/>
      </w:r>
      <w:r>
        <w:rPr>
          <w:rFonts w:hint="eastAsia" w:ascii="宋体" w:hAnsi="宋体" w:cs="宋体"/>
          <w:sz w:val="24"/>
          <w:szCs w:val="24"/>
        </w:rPr>
        <w:t>）</w:t>
      </w:r>
    </w:p>
    <w:p w14:paraId="36675D14">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"_Toc5534" </w:instrText>
      </w:r>
      <w:r>
        <w:fldChar w:fldCharType="separate"/>
      </w:r>
      <w:r>
        <w:rPr>
          <w:rFonts w:hint="eastAsia" w:ascii="宋体" w:hAnsi="宋体" w:cs="宋体"/>
          <w:sz w:val="24"/>
          <w:szCs w:val="24"/>
        </w:rPr>
        <w:t>6 核查条件</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4</w:t>
      </w:r>
      <w:r>
        <w:rPr>
          <w:rFonts w:hint="eastAsia" w:ascii="宋体" w:hAnsi="宋体" w:cs="宋体"/>
          <w:sz w:val="24"/>
          <w:szCs w:val="24"/>
        </w:rPr>
        <w:fldChar w:fldCharType="end"/>
      </w:r>
      <w:r>
        <w:rPr>
          <w:rFonts w:hint="eastAsia" w:ascii="宋体" w:hAnsi="宋体" w:cs="宋体"/>
          <w:sz w:val="24"/>
          <w:szCs w:val="24"/>
        </w:rPr>
        <w:t>）</w:t>
      </w:r>
    </w:p>
    <w:p w14:paraId="7BBB60BB">
      <w:pPr>
        <w:pStyle w:val="24"/>
        <w:tabs>
          <w:tab w:val="right" w:leader="dot" w:pos="9354"/>
          <w:tab w:val="clear" w:pos="510"/>
          <w:tab w:val="clear" w:pos="8302"/>
        </w:tabs>
        <w:spacing w:line="360" w:lineRule="auto"/>
        <w:rPr>
          <w:rFonts w:ascii="宋体" w:hAnsi="宋体" w:cs="宋体"/>
          <w:sz w:val="24"/>
          <w:szCs w:val="24"/>
        </w:rPr>
      </w:pPr>
      <w:r>
        <w:fldChar w:fldCharType="begin"/>
      </w:r>
      <w:r>
        <w:instrText xml:space="preserve"> HYPERLINK \l "_Toc28225" </w:instrText>
      </w:r>
      <w:r>
        <w:fldChar w:fldCharType="separate"/>
      </w:r>
      <w:r>
        <w:rPr>
          <w:rFonts w:hint="eastAsia" w:ascii="宋体" w:hAnsi="宋体" w:cs="宋体"/>
          <w:sz w:val="24"/>
          <w:szCs w:val="24"/>
        </w:rPr>
        <w:t>6.1 环境条件</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4</w:t>
      </w:r>
      <w:r>
        <w:rPr>
          <w:rFonts w:hint="eastAsia" w:ascii="宋体" w:hAnsi="宋体" w:cs="宋体"/>
          <w:sz w:val="24"/>
          <w:szCs w:val="24"/>
        </w:rPr>
        <w:fldChar w:fldCharType="end"/>
      </w:r>
      <w:r>
        <w:rPr>
          <w:rFonts w:hint="eastAsia" w:ascii="宋体" w:hAnsi="宋体" w:cs="宋体"/>
          <w:sz w:val="24"/>
          <w:szCs w:val="24"/>
        </w:rPr>
        <w:t>）</w:t>
      </w:r>
    </w:p>
    <w:p w14:paraId="1CA509C1">
      <w:pPr>
        <w:pStyle w:val="24"/>
        <w:tabs>
          <w:tab w:val="right" w:leader="dot" w:pos="9354"/>
          <w:tab w:val="clear" w:pos="510"/>
          <w:tab w:val="clear" w:pos="8302"/>
        </w:tabs>
        <w:spacing w:line="360" w:lineRule="auto"/>
        <w:rPr>
          <w:rFonts w:ascii="宋体" w:hAnsi="宋体" w:cs="宋体"/>
          <w:sz w:val="24"/>
          <w:szCs w:val="24"/>
        </w:rPr>
      </w:pPr>
      <w:r>
        <w:fldChar w:fldCharType="begin"/>
      </w:r>
      <w:r>
        <w:instrText xml:space="preserve"> HYPERLINK \l "_Toc5252" </w:instrText>
      </w:r>
      <w:r>
        <w:fldChar w:fldCharType="separate"/>
      </w:r>
      <w:r>
        <w:rPr>
          <w:rFonts w:hint="eastAsia" w:ascii="宋体" w:hAnsi="宋体" w:cs="宋体"/>
          <w:sz w:val="24"/>
          <w:szCs w:val="24"/>
        </w:rPr>
        <w:t>6.2 标准器及其他设备</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4</w:t>
      </w:r>
      <w:r>
        <w:rPr>
          <w:rFonts w:hint="eastAsia" w:ascii="宋体" w:hAnsi="宋体" w:cs="宋体"/>
          <w:sz w:val="24"/>
          <w:szCs w:val="24"/>
        </w:rPr>
        <w:fldChar w:fldCharType="end"/>
      </w:r>
      <w:r>
        <w:rPr>
          <w:rFonts w:hint="eastAsia" w:ascii="宋体" w:hAnsi="宋体" w:cs="宋体"/>
          <w:sz w:val="24"/>
          <w:szCs w:val="24"/>
        </w:rPr>
        <w:t>）</w:t>
      </w:r>
    </w:p>
    <w:p w14:paraId="28E0D6FB">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"_Toc1320" </w:instrText>
      </w:r>
      <w:r>
        <w:fldChar w:fldCharType="separate"/>
      </w:r>
      <w:r>
        <w:rPr>
          <w:rFonts w:hint="eastAsia" w:ascii="宋体" w:hAnsi="宋体" w:cs="宋体"/>
          <w:sz w:val="24"/>
          <w:szCs w:val="24"/>
        </w:rPr>
        <w:t>7 核查项目和方法</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fldChar w:fldCharType="end"/>
      </w:r>
      <w:r>
        <w:rPr>
          <w:rFonts w:hint="eastAsia" w:ascii="宋体" w:hAnsi="宋体" w:cs="宋体"/>
          <w:sz w:val="24"/>
          <w:szCs w:val="24"/>
        </w:rPr>
        <w:t>）</w:t>
      </w:r>
    </w:p>
    <w:p w14:paraId="72987E8B">
      <w:pPr>
        <w:pStyle w:val="24"/>
        <w:tabs>
          <w:tab w:val="right" w:leader="dot" w:pos="9354"/>
          <w:tab w:val="clear" w:pos="510"/>
          <w:tab w:val="clear" w:pos="8302"/>
        </w:tabs>
        <w:spacing w:line="360" w:lineRule="auto"/>
        <w:rPr>
          <w:rFonts w:ascii="宋体" w:hAnsi="宋体" w:cs="宋体"/>
          <w:sz w:val="24"/>
          <w:szCs w:val="24"/>
        </w:rPr>
      </w:pPr>
      <w:r>
        <w:fldChar w:fldCharType="begin"/>
      </w:r>
      <w:r>
        <w:instrText xml:space="preserve"> HYPERLINK \l "_Toc27946" </w:instrText>
      </w:r>
      <w:r>
        <w:fldChar w:fldCharType="separate"/>
      </w:r>
      <w:r>
        <w:rPr>
          <w:rFonts w:hint="eastAsia" w:ascii="宋体" w:hAnsi="宋体" w:cs="宋体"/>
          <w:sz w:val="24"/>
          <w:szCs w:val="24"/>
        </w:rPr>
        <w:t>7.1 核查项目</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fldChar w:fldCharType="end"/>
      </w:r>
      <w:r>
        <w:rPr>
          <w:rFonts w:hint="eastAsia" w:ascii="宋体" w:hAnsi="宋体" w:cs="宋体"/>
          <w:sz w:val="24"/>
          <w:szCs w:val="24"/>
        </w:rPr>
        <w:t>）</w:t>
      </w:r>
    </w:p>
    <w:p w14:paraId="35B29187">
      <w:pPr>
        <w:pStyle w:val="24"/>
        <w:tabs>
          <w:tab w:val="right" w:leader="dot" w:pos="9354"/>
          <w:tab w:val="clear" w:pos="510"/>
          <w:tab w:val="clear" w:pos="8302"/>
        </w:tabs>
        <w:spacing w:line="360" w:lineRule="auto"/>
        <w:rPr>
          <w:rFonts w:ascii="宋体" w:hAnsi="宋体" w:cs="宋体"/>
          <w:sz w:val="24"/>
          <w:szCs w:val="24"/>
        </w:rPr>
      </w:pPr>
      <w:r>
        <w:fldChar w:fldCharType="begin"/>
      </w:r>
      <w:r>
        <w:instrText xml:space="preserve"> HYPERLINK \l "_Toc6857" </w:instrText>
      </w:r>
      <w:r>
        <w:fldChar w:fldCharType="separate"/>
      </w:r>
      <w:r>
        <w:rPr>
          <w:rFonts w:hint="eastAsia" w:ascii="宋体" w:hAnsi="宋体" w:cs="宋体"/>
          <w:sz w:val="24"/>
          <w:szCs w:val="24"/>
        </w:rPr>
        <w:t>7.2 核查方法</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fldChar w:fldCharType="end"/>
      </w:r>
      <w:r>
        <w:rPr>
          <w:rFonts w:hint="eastAsia" w:ascii="宋体" w:hAnsi="宋体" w:cs="宋体"/>
          <w:sz w:val="24"/>
          <w:szCs w:val="24"/>
        </w:rPr>
        <w:t>）</w:t>
      </w:r>
    </w:p>
    <w:p w14:paraId="05C141D2">
      <w:pPr>
        <w:pStyle w:val="24"/>
        <w:tabs>
          <w:tab w:val="right" w:leader="dot" w:pos="9354"/>
          <w:tab w:val="clear" w:pos="510"/>
          <w:tab w:val="clear" w:pos="8302"/>
        </w:tabs>
        <w:spacing w:line="360" w:lineRule="auto"/>
        <w:rPr>
          <w:rFonts w:ascii="宋体" w:hAnsi="宋体" w:cs="宋体"/>
          <w:sz w:val="24"/>
          <w:szCs w:val="24"/>
        </w:rPr>
      </w:pPr>
      <w:r>
        <w:fldChar w:fldCharType="begin"/>
      </w:r>
      <w:r>
        <w:instrText xml:space="preserve"> HYPERLINK \l "_Toc26281" </w:instrText>
      </w:r>
      <w:r>
        <w:fldChar w:fldCharType="separate"/>
      </w:r>
      <w:r>
        <w:rPr>
          <w:rFonts w:hint="eastAsia" w:ascii="宋体" w:hAnsi="宋体" w:cs="宋体"/>
          <w:sz w:val="24"/>
          <w:szCs w:val="24"/>
        </w:rPr>
        <w:t>8 核查结果</w:t>
      </w:r>
      <w:r>
        <w:rPr>
          <w:rFonts w:hint="eastAsia" w:ascii="宋体" w:hAnsi="宋体" w:cs="宋体"/>
          <w:sz w:val="24"/>
          <w:szCs w:val="24"/>
        </w:rPr>
        <w:tab/>
      </w:r>
      <w:r>
        <w:rPr>
          <w:rFonts w:hint="eastAsia" w:ascii="宋体" w:hAnsi="宋体" w:cs="宋体"/>
          <w:sz w:val="24"/>
          <w:szCs w:val="24"/>
        </w:rPr>
        <w:t>（7</w:t>
      </w:r>
      <w:r>
        <w:rPr>
          <w:rFonts w:hint="eastAsia" w:ascii="宋体" w:hAnsi="宋体" w:cs="宋体"/>
          <w:sz w:val="24"/>
          <w:szCs w:val="24"/>
        </w:rPr>
        <w:fldChar w:fldCharType="end"/>
      </w:r>
      <w:r>
        <w:rPr>
          <w:rFonts w:hint="eastAsia" w:ascii="宋体" w:hAnsi="宋体" w:cs="宋体"/>
          <w:sz w:val="24"/>
          <w:szCs w:val="24"/>
        </w:rPr>
        <w:t>）</w:t>
      </w:r>
    </w:p>
    <w:p w14:paraId="65E3DE44">
      <w:pPr>
        <w:pStyle w:val="24"/>
        <w:tabs>
          <w:tab w:val="right" w:leader="dot" w:pos="9354"/>
          <w:tab w:val="clear" w:pos="510"/>
          <w:tab w:val="clear" w:pos="8302"/>
        </w:tabs>
        <w:spacing w:line="360" w:lineRule="auto"/>
        <w:rPr>
          <w:rFonts w:ascii="宋体" w:hAnsi="宋体" w:cs="宋体"/>
          <w:sz w:val="24"/>
          <w:szCs w:val="24"/>
        </w:rPr>
      </w:pPr>
      <w:r>
        <w:fldChar w:fldCharType="begin"/>
      </w:r>
      <w:r>
        <w:instrText xml:space="preserve"> HYPERLINK \l "_Toc28055" </w:instrText>
      </w:r>
      <w:r>
        <w:fldChar w:fldCharType="separate"/>
      </w:r>
      <w:r>
        <w:rPr>
          <w:rFonts w:hint="eastAsia" w:ascii="宋体" w:hAnsi="宋体" w:cs="宋体"/>
          <w:sz w:val="24"/>
          <w:szCs w:val="24"/>
        </w:rPr>
        <w:t>8.</w:t>
      </w:r>
      <w:r>
        <w:rPr>
          <w:rFonts w:hint="eastAsia" w:ascii="宋体" w:hAnsi="宋体" w:cs="宋体"/>
          <w:sz w:val="24"/>
          <w:szCs w:val="24"/>
          <w:lang w:val="en-US" w:eastAsia="zh-CN"/>
        </w:rPr>
        <w:t>1</w:t>
      </w:r>
      <w:r>
        <w:rPr>
          <w:rFonts w:hint="eastAsia" w:ascii="宋体" w:hAnsi="宋体" w:cs="宋体"/>
          <w:sz w:val="24"/>
          <w:szCs w:val="24"/>
        </w:rPr>
        <w:t xml:space="preserve"> 核查证书及周期</w:t>
      </w:r>
      <w:r>
        <w:rPr>
          <w:rFonts w:hint="eastAsia" w:ascii="宋体" w:hAnsi="宋体" w:cs="宋体"/>
          <w:sz w:val="24"/>
          <w:szCs w:val="24"/>
        </w:rPr>
        <w:tab/>
      </w:r>
      <w:r>
        <w:rPr>
          <w:rFonts w:hint="eastAsia" w:ascii="宋体" w:hAnsi="宋体" w:cs="宋体"/>
          <w:sz w:val="24"/>
          <w:szCs w:val="24"/>
        </w:rPr>
        <w:t>（7</w:t>
      </w:r>
      <w:r>
        <w:rPr>
          <w:rFonts w:hint="eastAsia" w:ascii="宋体" w:hAnsi="宋体" w:cs="宋体"/>
          <w:sz w:val="24"/>
          <w:szCs w:val="24"/>
        </w:rPr>
        <w:fldChar w:fldCharType="end"/>
      </w:r>
      <w:r>
        <w:rPr>
          <w:rFonts w:hint="eastAsia" w:ascii="宋体" w:hAnsi="宋体" w:cs="宋体"/>
          <w:sz w:val="24"/>
          <w:szCs w:val="24"/>
        </w:rPr>
        <w:t>）</w:t>
      </w:r>
    </w:p>
    <w:p w14:paraId="52713004">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"_Toc820" </w:instrText>
      </w:r>
      <w:r>
        <w:fldChar w:fldCharType="separate"/>
      </w:r>
      <w:r>
        <w:rPr>
          <w:rFonts w:hint="eastAsia" w:ascii="宋体" w:hAnsi="宋体" w:cs="宋体"/>
          <w:sz w:val="24"/>
          <w:szCs w:val="24"/>
        </w:rPr>
        <w:t>附录A 电子皮带秤状态核查原始记录格式（供参考）</w:t>
      </w:r>
      <w:r>
        <w:rPr>
          <w:rFonts w:hint="eastAsia" w:ascii="宋体" w:hAnsi="宋体" w:cs="宋体"/>
          <w:sz w:val="24"/>
          <w:szCs w:val="24"/>
        </w:rPr>
        <w:tab/>
      </w:r>
      <w:r>
        <w:rPr>
          <w:rFonts w:hint="eastAsia" w:ascii="宋体" w:hAnsi="宋体" w:cs="宋体"/>
          <w:sz w:val="24"/>
          <w:szCs w:val="24"/>
        </w:rPr>
        <w:t>（9</w:t>
      </w:r>
      <w:r>
        <w:rPr>
          <w:rFonts w:hint="eastAsia" w:ascii="宋体" w:hAnsi="宋体" w:cs="宋体"/>
          <w:sz w:val="24"/>
          <w:szCs w:val="24"/>
        </w:rPr>
        <w:fldChar w:fldCharType="end"/>
      </w:r>
      <w:r>
        <w:rPr>
          <w:rFonts w:hint="eastAsia" w:ascii="宋体" w:hAnsi="宋体" w:cs="宋体"/>
          <w:sz w:val="24"/>
          <w:szCs w:val="24"/>
        </w:rPr>
        <w:t>）</w:t>
      </w:r>
    </w:p>
    <w:p w14:paraId="03DA656A">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"_Toc17803" </w:instrText>
      </w:r>
      <w:r>
        <w:fldChar w:fldCharType="separate"/>
      </w:r>
      <w:r>
        <w:rPr>
          <w:rFonts w:hint="eastAsia" w:ascii="宋体" w:hAnsi="宋体" w:cs="宋体"/>
          <w:sz w:val="24"/>
          <w:szCs w:val="24"/>
        </w:rPr>
        <w:t>附录B 电子皮带秤状态核查证书内页格式（供参考）</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_Toc17803 </w:instrText>
      </w:r>
      <w:r>
        <w:rPr>
          <w:rFonts w:hint="eastAsia" w:ascii="宋体" w:hAnsi="宋体" w:cs="宋体"/>
          <w:sz w:val="24"/>
          <w:szCs w:val="24"/>
        </w:rPr>
        <w:fldChar w:fldCharType="separate"/>
      </w:r>
      <w:r>
        <w:rPr>
          <w:rFonts w:hint="eastAsia" w:ascii="宋体" w:hAnsi="宋体" w:cs="宋体"/>
          <w:sz w:val="24"/>
          <w:szCs w:val="24"/>
        </w:rPr>
        <w:t>12</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44A912E7">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"_Toc20206" </w:instrText>
      </w:r>
      <w:r>
        <w:fldChar w:fldCharType="separate"/>
      </w:r>
      <w:r>
        <w:rPr>
          <w:rFonts w:hint="eastAsia" w:ascii="宋体" w:hAnsi="宋体" w:cs="宋体"/>
          <w:sz w:val="24"/>
          <w:szCs w:val="24"/>
        </w:rPr>
        <w:t>附录C 物料试验误差测量结果的不确定度分析与评定</w:t>
      </w:r>
      <w:r>
        <w:rPr>
          <w:rFonts w:hint="eastAsia" w:ascii="宋体" w:hAnsi="宋体" w:cs="宋体"/>
          <w:sz w:val="24"/>
          <w:szCs w:val="24"/>
        </w:rPr>
        <w:tab/>
      </w:r>
      <w:r>
        <w:rPr>
          <w:rFonts w:hint="eastAsia" w:ascii="宋体" w:hAnsi="宋体" w:cs="宋体"/>
          <w:sz w:val="24"/>
          <w:szCs w:val="24"/>
        </w:rPr>
        <w:t>（13</w:t>
      </w:r>
      <w:r>
        <w:rPr>
          <w:rFonts w:hint="eastAsia" w:ascii="宋体" w:hAnsi="宋体" w:cs="宋体"/>
          <w:sz w:val="24"/>
          <w:szCs w:val="24"/>
        </w:rPr>
        <w:fldChar w:fldCharType="end"/>
      </w:r>
      <w:r>
        <w:rPr>
          <w:rFonts w:hint="eastAsia" w:ascii="宋体" w:hAnsi="宋体" w:cs="宋体"/>
          <w:sz w:val="24"/>
          <w:szCs w:val="24"/>
        </w:rPr>
        <w:t>）</w:t>
      </w:r>
    </w:p>
    <w:p w14:paraId="01510CF1">
      <w:pPr>
        <w:pStyle w:val="21"/>
        <w:tabs>
          <w:tab w:val="right" w:leader="dot" w:pos="9354"/>
          <w:tab w:val="clear" w:pos="210"/>
          <w:tab w:val="clear" w:pos="8302"/>
        </w:tabs>
        <w:spacing w:line="360" w:lineRule="auto"/>
        <w:rPr>
          <w:rFonts w:ascii="宋体" w:hAnsi="宋体" w:cs="宋体"/>
          <w:sz w:val="24"/>
          <w:szCs w:val="24"/>
        </w:rPr>
      </w:pPr>
      <w:r>
        <w:fldChar w:fldCharType="begin"/>
      </w:r>
      <w:r>
        <w:instrText xml:space="preserve"> HYPERLINK \l "_Toc29632" </w:instrText>
      </w:r>
      <w:r>
        <w:fldChar w:fldCharType="separate"/>
      </w:r>
      <w:r>
        <w:rPr>
          <w:rFonts w:hint="eastAsia" w:ascii="宋体" w:hAnsi="宋体" w:cs="宋体"/>
          <w:sz w:val="24"/>
          <w:szCs w:val="24"/>
        </w:rPr>
        <w:t>附录D 模拟载荷试验误差测量结果的不确定度分析与评定</w:t>
      </w:r>
      <w:r>
        <w:rPr>
          <w:rFonts w:hint="eastAsia" w:ascii="宋体" w:hAnsi="宋体" w:cs="宋体"/>
          <w:sz w:val="24"/>
          <w:szCs w:val="24"/>
        </w:rPr>
        <w:tab/>
      </w:r>
      <w:r>
        <w:rPr>
          <w:rFonts w:hint="eastAsia" w:ascii="宋体" w:hAnsi="宋体" w:cs="宋体"/>
          <w:sz w:val="24"/>
          <w:szCs w:val="24"/>
        </w:rPr>
        <w:t>（</w:t>
      </w:r>
      <w:r>
        <w:rPr>
          <w:rFonts w:hint="eastAsia" w:ascii="宋体" w:hAnsi="宋体" w:cs="宋体"/>
          <w:sz w:val="24"/>
          <w:szCs w:val="24"/>
        </w:rPr>
        <w:fldChar w:fldCharType="begin"/>
      </w:r>
      <w:r>
        <w:rPr>
          <w:rFonts w:hint="eastAsia" w:ascii="宋体" w:hAnsi="宋体" w:cs="宋体"/>
          <w:sz w:val="24"/>
          <w:szCs w:val="24"/>
        </w:rPr>
        <w:instrText xml:space="preserve"> PAGEREF _Toc29632 </w:instrText>
      </w:r>
      <w:r>
        <w:rPr>
          <w:rFonts w:hint="eastAsia" w:ascii="宋体" w:hAnsi="宋体" w:cs="宋体"/>
          <w:sz w:val="24"/>
          <w:szCs w:val="24"/>
        </w:rPr>
        <w:fldChar w:fldCharType="separate"/>
      </w:r>
      <w:r>
        <w:rPr>
          <w:rFonts w:hint="eastAsia" w:ascii="宋体" w:hAnsi="宋体" w:cs="宋体"/>
          <w:sz w:val="24"/>
          <w:szCs w:val="24"/>
        </w:rPr>
        <w:t>17</w:t>
      </w:r>
      <w:r>
        <w:rPr>
          <w:rFonts w:hint="eastAsia" w:ascii="宋体" w:hAnsi="宋体" w:cs="宋体"/>
          <w:sz w:val="24"/>
          <w:szCs w:val="24"/>
        </w:rPr>
        <w:fldChar w:fldCharType="end"/>
      </w:r>
      <w:r>
        <w:rPr>
          <w:rFonts w:hint="eastAsia" w:ascii="宋体" w:hAnsi="宋体" w:cs="宋体"/>
          <w:sz w:val="24"/>
          <w:szCs w:val="24"/>
        </w:rPr>
        <w:fldChar w:fldCharType="end"/>
      </w:r>
      <w:r>
        <w:rPr>
          <w:rFonts w:hint="eastAsia" w:ascii="宋体" w:hAnsi="宋体" w:cs="宋体"/>
          <w:sz w:val="24"/>
          <w:szCs w:val="24"/>
        </w:rPr>
        <w:t>）</w:t>
      </w:r>
    </w:p>
    <w:p w14:paraId="32B695EA">
      <w:pPr>
        <w:tabs>
          <w:tab w:val="left" w:pos="4500"/>
        </w:tabs>
        <w:spacing w:line="360" w:lineRule="auto"/>
        <w:rPr>
          <w:sz w:val="24"/>
        </w:rPr>
      </w:pPr>
      <w:r>
        <w:rPr>
          <w:rFonts w:hint="eastAsia" w:ascii="宋体" w:hAnsi="宋体" w:cs="宋体"/>
          <w:sz w:val="24"/>
        </w:rPr>
        <w:fldChar w:fldCharType="end"/>
      </w:r>
    </w:p>
    <w:p w14:paraId="060174E7">
      <w:pPr>
        <w:spacing w:afterLines="50" w:line="360" w:lineRule="auto"/>
        <w:jc w:val="center"/>
        <w:outlineLvl w:val="0"/>
        <w:rPr>
          <w:rFonts w:eastAsia="黑体"/>
          <w:sz w:val="44"/>
          <w:szCs w:val="44"/>
        </w:rPr>
      </w:pPr>
      <w:r>
        <w:rPr>
          <w:rFonts w:ascii="宋体" w:hAnsi="宋体"/>
          <w:sz w:val="24"/>
        </w:rPr>
        <w:br w:type="page"/>
      </w:r>
      <w:bookmarkStart w:id="1" w:name="_Toc465926385"/>
      <w:bookmarkStart w:id="2" w:name="_Toc298321430"/>
      <w:bookmarkStart w:id="3" w:name="_Toc298163476"/>
      <w:bookmarkStart w:id="4" w:name="_Toc7295"/>
      <w:r>
        <w:rPr>
          <w:rFonts w:hint="eastAsia" w:eastAsia="黑体"/>
          <w:sz w:val="48"/>
          <w:szCs w:val="48"/>
        </w:rPr>
        <w:t>引言</w:t>
      </w:r>
      <w:bookmarkEnd w:id="1"/>
      <w:bookmarkEnd w:id="2"/>
      <w:bookmarkEnd w:id="3"/>
      <w:bookmarkEnd w:id="4"/>
    </w:p>
    <w:p w14:paraId="4089C65F">
      <w:pPr>
        <w:spacing w:line="360" w:lineRule="auto"/>
        <w:ind w:firstLine="480" w:firstLineChars="200"/>
        <w:rPr>
          <w:sz w:val="24"/>
        </w:rPr>
      </w:pPr>
      <w:r>
        <w:rPr>
          <w:rFonts w:hint="eastAsia" w:hAnsiTheme="minorEastAsia"/>
          <w:sz w:val="24"/>
        </w:rPr>
        <w:t>本规范依据JJF 1001-2011《通用计量术语及定义》、JJF 1059.1-2012《测量不确定度评定与表示》、JJF 1071-2010《国家计量校准规范编写规则》共同构成支撑本规范制定工作的基础性系列规范</w:t>
      </w:r>
      <w:r>
        <w:rPr>
          <w:rFonts w:hint="eastAsia" w:hAnsiTheme="minorEastAsia"/>
          <w:sz w:val="24"/>
          <w:lang w:eastAsia="zh-CN"/>
        </w:rPr>
        <w:t>，</w:t>
      </w:r>
      <w:r>
        <w:rPr>
          <w:rFonts w:hint="eastAsia" w:hAnsiTheme="minorEastAsia"/>
          <w:sz w:val="24"/>
          <w:lang w:val="en-US" w:eastAsia="zh-CN"/>
        </w:rPr>
        <w:t>同时</w:t>
      </w:r>
      <w:r>
        <w:rPr>
          <w:rFonts w:hint="eastAsia" w:hAnsiTheme="minorEastAsia"/>
          <w:sz w:val="24"/>
        </w:rPr>
        <w:t>参考了GB/T 7721-2017《连续累计自动衡器(皮带秤)》中现场空载试验、使用中核查的相关内容。</w:t>
      </w:r>
    </w:p>
    <w:p w14:paraId="6784DCEE">
      <w:pPr>
        <w:spacing w:line="360" w:lineRule="auto"/>
        <w:ind w:firstLine="480" w:firstLineChars="200"/>
        <w:rPr>
          <w:sz w:val="24"/>
        </w:rPr>
      </w:pPr>
      <w:r>
        <w:rPr>
          <w:rFonts w:hint="eastAsia"/>
          <w:sz w:val="24"/>
        </w:rPr>
        <w:t>《连续累计自动衡器(皮带秤)检定规程》用于判断电子皮带秤的测量项目是否符合检定规程的要求，给出电子皮带秤合格与否的判定，属于法制计量的要求。《电子皮带秤状态核查计量技术规范》适用于计量技术机构或皮带秤使用用户的状态核查，能兼顾日常核查所需的成本，有效缩短失准后的追溯时间。</w:t>
      </w:r>
    </w:p>
    <w:p w14:paraId="4B4138EA">
      <w:pPr>
        <w:spacing w:line="360" w:lineRule="auto"/>
        <w:ind w:firstLine="480" w:firstLineChars="200"/>
        <w:rPr>
          <w:sz w:val="24"/>
        </w:rPr>
      </w:pPr>
      <w:r>
        <w:rPr>
          <w:rFonts w:hint="eastAsia"/>
          <w:sz w:val="24"/>
        </w:rPr>
        <w:t>本核查规范给出了电子皮带秤核查条件、核查项目、核查方法及不确定度评定方法。</w:t>
      </w:r>
    </w:p>
    <w:p w14:paraId="560F8CCD">
      <w:pPr>
        <w:spacing w:line="360" w:lineRule="auto"/>
        <w:ind w:firstLine="480" w:firstLineChars="200"/>
        <w:rPr>
          <w:sz w:val="24"/>
        </w:rPr>
      </w:pPr>
      <w:r>
        <w:rPr>
          <w:rFonts w:hint="eastAsia"/>
          <w:sz w:val="24"/>
        </w:rPr>
        <w:t>本规范为首次制定。</w:t>
      </w:r>
    </w:p>
    <w:p w14:paraId="46511557">
      <w:pPr>
        <w:tabs>
          <w:tab w:val="left" w:pos="4500"/>
        </w:tabs>
        <w:spacing w:line="360" w:lineRule="auto"/>
        <w:rPr>
          <w:sz w:val="24"/>
        </w:rPr>
      </w:pPr>
    </w:p>
    <w:p w14:paraId="12804068">
      <w:pPr>
        <w:tabs>
          <w:tab w:val="left" w:pos="4500"/>
        </w:tabs>
        <w:spacing w:line="360" w:lineRule="auto"/>
        <w:rPr>
          <w:rFonts w:ascii="宋体" w:hAnsi="宋体"/>
          <w:sz w:val="24"/>
        </w:rPr>
      </w:pPr>
    </w:p>
    <w:p w14:paraId="3909E800">
      <w:pPr>
        <w:tabs>
          <w:tab w:val="left" w:pos="4500"/>
        </w:tabs>
        <w:spacing w:line="360" w:lineRule="auto"/>
        <w:rPr>
          <w:rFonts w:ascii="宋体" w:hAnsi="宋体"/>
          <w:b/>
          <w:bCs/>
          <w:sz w:val="24"/>
        </w:rPr>
      </w:pPr>
    </w:p>
    <w:p w14:paraId="4E636EA7">
      <w:pPr>
        <w:tabs>
          <w:tab w:val="left" w:pos="4500"/>
        </w:tabs>
        <w:ind w:firstLine="2560" w:firstLineChars="800"/>
        <w:rPr>
          <w:rFonts w:ascii="黑体" w:hAnsi="黑体" w:eastAsia="黑体"/>
          <w:bCs/>
          <w:sz w:val="32"/>
        </w:rPr>
      </w:pPr>
    </w:p>
    <w:p w14:paraId="26882D6D">
      <w:pPr>
        <w:autoSpaceDE w:val="0"/>
        <w:autoSpaceDN w:val="0"/>
        <w:adjustRightInd w:val="0"/>
        <w:spacing w:line="840" w:lineRule="auto"/>
        <w:jc w:val="center"/>
        <w:rPr>
          <w:rFonts w:ascii="黑体" w:hAnsi="宋体" w:eastAsia="黑体"/>
          <w:sz w:val="32"/>
          <w:szCs w:val="32"/>
        </w:rPr>
        <w:sectPr>
          <w:headerReference r:id="rId12" w:type="default"/>
          <w:footerReference r:id="rId14" w:type="default"/>
          <w:headerReference r:id="rId13" w:type="even"/>
          <w:footerReference r:id="rId15" w:type="even"/>
          <w:pgSz w:w="11906" w:h="16838"/>
          <w:pgMar w:top="1588" w:right="1276" w:bottom="1361" w:left="1276" w:header="850" w:footer="850" w:gutter="0"/>
          <w:pgNumType w:fmt="upperRoman" w:start="1"/>
          <w:cols w:space="425" w:num="1"/>
          <w:docGrid w:type="lines" w:linePitch="312" w:charSpace="0"/>
        </w:sectPr>
      </w:pPr>
    </w:p>
    <w:p w14:paraId="7C638A3E">
      <w:pPr>
        <w:autoSpaceDE w:val="0"/>
        <w:autoSpaceDN w:val="0"/>
        <w:adjustRightInd w:val="0"/>
        <w:spacing w:line="840" w:lineRule="auto"/>
        <w:jc w:val="center"/>
        <w:rPr>
          <w:rFonts w:ascii="黑体" w:hAnsi="宋体" w:eastAsia="黑体"/>
          <w:sz w:val="32"/>
          <w:szCs w:val="32"/>
        </w:rPr>
      </w:pPr>
      <w:r>
        <w:rPr>
          <w:rFonts w:hint="eastAsia" w:ascii="黑体" w:hAnsi="宋体" w:eastAsia="黑体"/>
          <w:sz w:val="32"/>
          <w:szCs w:val="32"/>
        </w:rPr>
        <w:t>电子皮带秤状态核查计量技术规范</w:t>
      </w:r>
    </w:p>
    <w:p w14:paraId="0EB69D61">
      <w:pPr>
        <w:pStyle w:val="2"/>
        <w:keepNext w:val="0"/>
        <w:numPr>
          <w:ilvl w:val="0"/>
          <w:numId w:val="1"/>
        </w:numPr>
        <w:snapToGrid w:val="0"/>
        <w:spacing w:beforeLines="100" w:afterLines="100"/>
        <w:ind w:firstLineChars="0"/>
        <w:jc w:val="left"/>
        <w:rPr>
          <w:rFonts w:eastAsia="黑体"/>
          <w:sz w:val="24"/>
        </w:rPr>
      </w:pPr>
      <w:bookmarkStart w:id="5" w:name="_Toc6377"/>
      <w:bookmarkStart w:id="6" w:name="_Toc465926386"/>
      <w:r>
        <w:rPr>
          <w:rFonts w:hint="eastAsia" w:eastAsia="黑体"/>
          <w:sz w:val="24"/>
        </w:rPr>
        <w:t>1  范围</w:t>
      </w:r>
      <w:bookmarkEnd w:id="5"/>
      <w:bookmarkEnd w:id="6"/>
    </w:p>
    <w:p w14:paraId="1773428D">
      <w:pPr>
        <w:spacing w:line="360" w:lineRule="auto"/>
        <w:ind w:firstLine="480" w:firstLineChars="200"/>
        <w:rPr>
          <w:snapToGrid w:val="0"/>
          <w:kern w:val="0"/>
          <w:sz w:val="24"/>
        </w:rPr>
      </w:pPr>
      <w:r>
        <w:rPr>
          <w:rFonts w:hint="eastAsia"/>
          <w:snapToGrid w:val="0"/>
          <w:kern w:val="0"/>
          <w:sz w:val="24"/>
        </w:rPr>
        <w:t>本规范适用于各类电子皮带秤状态核查。</w:t>
      </w:r>
    </w:p>
    <w:p w14:paraId="5BDEAEDE">
      <w:pPr>
        <w:pStyle w:val="2"/>
        <w:keepNext w:val="0"/>
        <w:numPr>
          <w:ilvl w:val="0"/>
          <w:numId w:val="1"/>
        </w:numPr>
        <w:snapToGrid w:val="0"/>
        <w:spacing w:beforeLines="100" w:afterLines="100"/>
        <w:ind w:firstLineChars="0"/>
        <w:jc w:val="left"/>
        <w:rPr>
          <w:rFonts w:eastAsia="黑体"/>
          <w:sz w:val="24"/>
        </w:rPr>
      </w:pPr>
      <w:bookmarkStart w:id="7" w:name="_Toc21768"/>
      <w:bookmarkStart w:id="8" w:name="_Toc465926387"/>
      <w:r>
        <w:rPr>
          <w:rFonts w:hint="eastAsia" w:eastAsia="黑体"/>
          <w:sz w:val="24"/>
        </w:rPr>
        <w:t>2  引用文件</w:t>
      </w:r>
      <w:bookmarkEnd w:id="7"/>
      <w:bookmarkEnd w:id="8"/>
    </w:p>
    <w:p w14:paraId="767DD5DA">
      <w:pPr>
        <w:spacing w:line="360" w:lineRule="auto"/>
        <w:ind w:firstLine="480" w:firstLineChars="200"/>
        <w:rPr>
          <w:snapToGrid w:val="0"/>
          <w:kern w:val="0"/>
          <w:sz w:val="24"/>
        </w:rPr>
      </w:pPr>
      <w:r>
        <w:rPr>
          <w:rFonts w:hint="eastAsia"/>
          <w:snapToGrid w:val="0"/>
          <w:kern w:val="0"/>
          <w:sz w:val="24"/>
        </w:rPr>
        <w:t>本规程引用了下列文件：</w:t>
      </w:r>
    </w:p>
    <w:p w14:paraId="1D1B3B7B">
      <w:pPr>
        <w:spacing w:line="360" w:lineRule="auto"/>
        <w:ind w:firstLine="480" w:firstLineChars="200"/>
        <w:rPr>
          <w:rFonts w:asciiTheme="minorEastAsia" w:hAnsiTheme="minorEastAsia" w:eastAsiaTheme="minorEastAsia"/>
          <w:sz w:val="24"/>
        </w:rPr>
      </w:pPr>
      <w:r>
        <w:rPr>
          <w:rFonts w:eastAsiaTheme="minorEastAsia"/>
          <w:sz w:val="24"/>
        </w:rPr>
        <w:t>JJ</w:t>
      </w:r>
      <w:r>
        <w:rPr>
          <w:rFonts w:hint="eastAsia" w:eastAsiaTheme="minorEastAsia"/>
          <w:sz w:val="24"/>
        </w:rPr>
        <w:t xml:space="preserve">G </w:t>
      </w:r>
      <w:r>
        <w:rPr>
          <w:rFonts w:eastAsiaTheme="minorEastAsia"/>
          <w:sz w:val="24"/>
        </w:rPr>
        <w:t>195</w:t>
      </w:r>
      <w:r>
        <w:rPr>
          <w:rFonts w:hint="eastAsia" w:eastAsiaTheme="minorEastAsia"/>
          <w:sz w:val="24"/>
          <w:lang w:val="en-US" w:eastAsia="zh-CN"/>
        </w:rPr>
        <w:t xml:space="preserve"> </w:t>
      </w:r>
      <w:r>
        <w:rPr>
          <w:rFonts w:hint="eastAsia" w:asciiTheme="minorEastAsia" w:hAnsiTheme="minorEastAsia" w:eastAsiaTheme="minorEastAsia"/>
          <w:sz w:val="24"/>
        </w:rPr>
        <w:t>连续累计自动衡器(皮带秤)</w:t>
      </w:r>
    </w:p>
    <w:p w14:paraId="03A9B493">
      <w:pPr>
        <w:spacing w:line="360" w:lineRule="auto"/>
        <w:ind w:firstLine="480" w:firstLineChars="200"/>
        <w:rPr>
          <w:rFonts w:asciiTheme="minorEastAsia" w:hAnsiTheme="minorEastAsia" w:eastAsiaTheme="minorEastAsia"/>
          <w:sz w:val="24"/>
        </w:rPr>
      </w:pPr>
      <w:r>
        <w:rPr>
          <w:rFonts w:hint="eastAsia" w:eastAsiaTheme="minorEastAsia"/>
          <w:sz w:val="24"/>
        </w:rPr>
        <w:t>GB/T 7721 连续累计自动衡器(皮带秤)</w:t>
      </w:r>
    </w:p>
    <w:p w14:paraId="45BC0EA6">
      <w:pPr>
        <w:tabs>
          <w:tab w:val="left" w:pos="1898"/>
        </w:tabs>
        <w:autoSpaceDE w:val="0"/>
        <w:autoSpaceDN w:val="0"/>
        <w:adjustRightInd w:val="0"/>
        <w:spacing w:line="360" w:lineRule="auto"/>
        <w:ind w:firstLine="480" w:firstLineChars="200"/>
        <w:rPr>
          <w:snapToGrid w:val="0"/>
          <w:kern w:val="0"/>
          <w:sz w:val="24"/>
        </w:rPr>
      </w:pPr>
      <w:r>
        <w:rPr>
          <w:rFonts w:hint="eastAsia"/>
          <w:snapToGrid w:val="0"/>
          <w:kern w:val="0"/>
          <w:sz w:val="24"/>
        </w:rPr>
        <w:t>JJ</w:t>
      </w:r>
      <w:r>
        <w:rPr>
          <w:rFonts w:hint="eastAsia"/>
          <w:snapToGrid w:val="0"/>
          <w:kern w:val="0"/>
          <w:sz w:val="24"/>
          <w:lang w:val="en-US" w:eastAsia="zh-CN"/>
        </w:rPr>
        <w:t>G</w:t>
      </w:r>
      <w:r>
        <w:rPr>
          <w:rFonts w:hint="eastAsia"/>
          <w:snapToGrid w:val="0"/>
          <w:kern w:val="0"/>
          <w:sz w:val="24"/>
        </w:rPr>
        <w:t xml:space="preserve"> 99 砝码</w:t>
      </w:r>
    </w:p>
    <w:p w14:paraId="3DEA87C8">
      <w:pPr>
        <w:tabs>
          <w:tab w:val="left" w:pos="1898"/>
        </w:tabs>
        <w:autoSpaceDE w:val="0"/>
        <w:autoSpaceDN w:val="0"/>
        <w:adjustRightInd w:val="0"/>
        <w:spacing w:line="360" w:lineRule="auto"/>
        <w:ind w:firstLine="480" w:firstLineChars="200"/>
        <w:rPr>
          <w:snapToGrid w:val="0"/>
          <w:kern w:val="0"/>
          <w:sz w:val="24"/>
        </w:rPr>
      </w:pPr>
      <w:r>
        <w:rPr>
          <w:rFonts w:hint="eastAsia" w:eastAsiaTheme="minorEastAsia"/>
          <w:sz w:val="24"/>
        </w:rPr>
        <w:t xml:space="preserve">JJF 1181 </w:t>
      </w:r>
      <w:r>
        <w:rPr>
          <w:rFonts w:hint="eastAsia"/>
          <w:snapToGrid w:val="0"/>
          <w:kern w:val="0"/>
          <w:sz w:val="24"/>
        </w:rPr>
        <w:t>衡器计量名词术语及定义</w:t>
      </w:r>
    </w:p>
    <w:p w14:paraId="028EEA1C">
      <w:pPr>
        <w:tabs>
          <w:tab w:val="left" w:pos="1898"/>
        </w:tabs>
        <w:autoSpaceDE w:val="0"/>
        <w:autoSpaceDN w:val="0"/>
        <w:adjustRightInd w:val="0"/>
        <w:spacing w:line="360" w:lineRule="auto"/>
        <w:ind w:firstLine="480" w:firstLineChars="200"/>
        <w:rPr>
          <w:snapToGrid w:val="0"/>
          <w:kern w:val="0"/>
          <w:sz w:val="24"/>
        </w:rPr>
      </w:pPr>
      <w:r>
        <w:rPr>
          <w:rFonts w:hint="eastAsia" w:eastAsiaTheme="minorEastAsia"/>
          <w:bCs/>
          <w:sz w:val="24"/>
        </w:rPr>
        <w:t>JJF 1229 质量密度计量名词术语及定义</w:t>
      </w:r>
    </w:p>
    <w:p w14:paraId="7CDB71FC">
      <w:pPr>
        <w:tabs>
          <w:tab w:val="left" w:pos="1898"/>
        </w:tabs>
        <w:autoSpaceDE w:val="0"/>
        <w:autoSpaceDN w:val="0"/>
        <w:adjustRightInd w:val="0"/>
        <w:spacing w:line="360" w:lineRule="auto"/>
        <w:ind w:firstLine="480" w:firstLineChars="200"/>
        <w:rPr>
          <w:snapToGrid w:val="0"/>
          <w:kern w:val="0"/>
          <w:sz w:val="24"/>
        </w:rPr>
      </w:pPr>
      <w:r>
        <w:rPr>
          <w:rFonts w:hint="eastAsia"/>
          <w:snapToGrid w:val="0"/>
          <w:kern w:val="0"/>
          <w:sz w:val="24"/>
        </w:rPr>
        <w:t>凡是注日期的引用文件，仅注日期的版本适应于本规程；凡是不注日期的引用文件，其最新版本（包括所有的修改单）适应于本规程。</w:t>
      </w:r>
    </w:p>
    <w:p w14:paraId="7C04780F">
      <w:pPr>
        <w:pStyle w:val="2"/>
        <w:keepNext w:val="0"/>
        <w:numPr>
          <w:ilvl w:val="0"/>
          <w:numId w:val="1"/>
        </w:numPr>
        <w:snapToGrid w:val="0"/>
        <w:spacing w:beforeLines="100" w:afterLines="100"/>
        <w:ind w:firstLineChars="0"/>
        <w:jc w:val="left"/>
        <w:rPr>
          <w:rFonts w:ascii="Times New Roman" w:eastAsia="黑体"/>
          <w:sz w:val="24"/>
        </w:rPr>
      </w:pPr>
      <w:bookmarkStart w:id="9" w:name="_Toc1799"/>
      <w:bookmarkStart w:id="10" w:name="_Toc465926388"/>
      <w:r>
        <w:rPr>
          <w:rFonts w:hint="eastAsia" w:hAnsi="黑体" w:eastAsia="黑体"/>
          <w:sz w:val="24"/>
        </w:rPr>
        <w:t>3</w:t>
      </w:r>
      <w:bookmarkEnd w:id="9"/>
      <w:r>
        <w:rPr>
          <w:rFonts w:hint="eastAsia" w:ascii="Times New Roman" w:eastAsia="黑体"/>
          <w:sz w:val="24"/>
        </w:rPr>
        <w:t>术语和计量单位</w:t>
      </w:r>
    </w:p>
    <w:p w14:paraId="6D20B544">
      <w:pPr>
        <w:spacing w:line="360" w:lineRule="auto"/>
        <w:rPr>
          <w:rFonts w:eastAsiaTheme="minorEastAsia"/>
          <w:sz w:val="24"/>
        </w:rPr>
      </w:pPr>
      <w:r>
        <w:rPr>
          <w:rFonts w:eastAsiaTheme="minorEastAsia"/>
          <w:sz w:val="24"/>
        </w:rPr>
        <w:t>3.</w:t>
      </w:r>
      <w:bookmarkStart w:id="11" w:name="_Toc25806"/>
      <w:bookmarkStart w:id="12" w:name="_Toc530040588"/>
      <w:r>
        <w:rPr>
          <w:rFonts w:hint="eastAsia" w:eastAsiaTheme="minorEastAsia"/>
          <w:sz w:val="24"/>
        </w:rPr>
        <w:t>1</w:t>
      </w:r>
      <w:bookmarkEnd w:id="11"/>
      <w:bookmarkEnd w:id="12"/>
      <w:r>
        <w:rPr>
          <w:rFonts w:hint="eastAsia" w:eastAsiaTheme="minorEastAsia"/>
          <w:sz w:val="24"/>
        </w:rPr>
        <w:t xml:space="preserve"> 术语</w:t>
      </w:r>
    </w:p>
    <w:p w14:paraId="428C7A86">
      <w:pPr>
        <w:spacing w:line="360" w:lineRule="auto"/>
        <w:ind w:firstLine="480" w:firstLineChars="200"/>
        <w:rPr>
          <w:rFonts w:asciiTheme="minorEastAsia" w:hAnsiTheme="minorEastAsia" w:eastAsiaTheme="minorEastAsia"/>
          <w:sz w:val="24"/>
        </w:rPr>
      </w:pPr>
      <w:r>
        <w:rPr>
          <w:rFonts w:hint="eastAsia" w:eastAsiaTheme="minorEastAsia"/>
          <w:bCs/>
          <w:sz w:val="24"/>
        </w:rPr>
        <w:t>相关术语参照JJF 1001《通用计量术语及定义》、JJF 1181《衡器计量名词术语及定义》、JJF 1229《质量密度计量名词术语及定义》、</w:t>
      </w:r>
      <w:r>
        <w:rPr>
          <w:rFonts w:eastAsiaTheme="minorEastAsia"/>
          <w:sz w:val="24"/>
        </w:rPr>
        <w:t>JJ</w:t>
      </w:r>
      <w:r>
        <w:rPr>
          <w:rFonts w:hint="eastAsia" w:eastAsiaTheme="minorEastAsia"/>
          <w:sz w:val="24"/>
        </w:rPr>
        <w:t xml:space="preserve">G </w:t>
      </w:r>
      <w:r>
        <w:rPr>
          <w:rFonts w:eastAsiaTheme="minorEastAsia"/>
          <w:sz w:val="24"/>
        </w:rPr>
        <w:t>195</w:t>
      </w:r>
      <w:r>
        <w:rPr>
          <w:rFonts w:hint="eastAsia" w:eastAsiaTheme="minorEastAsia"/>
          <w:bCs/>
          <w:sz w:val="24"/>
        </w:rPr>
        <w:t>《</w:t>
      </w:r>
      <w:r>
        <w:rPr>
          <w:rFonts w:hint="eastAsia" w:asciiTheme="minorEastAsia" w:hAnsiTheme="minorEastAsia" w:eastAsiaTheme="minorEastAsia"/>
          <w:sz w:val="24"/>
        </w:rPr>
        <w:t>连续累计自动衡器(皮带秤)</w:t>
      </w:r>
      <w:r>
        <w:rPr>
          <w:rFonts w:hint="eastAsia" w:eastAsiaTheme="minorEastAsia"/>
          <w:bCs/>
          <w:sz w:val="24"/>
        </w:rPr>
        <w:t>》。以下术语和计量单位适用于本规范。</w:t>
      </w:r>
    </w:p>
    <w:p w14:paraId="635968D3">
      <w:pPr>
        <w:spacing w:line="360" w:lineRule="auto"/>
        <w:rPr>
          <w:rFonts w:eastAsiaTheme="minorEastAsia"/>
          <w:bCs/>
          <w:sz w:val="24"/>
        </w:rPr>
      </w:pPr>
      <w:r>
        <w:rPr>
          <w:rFonts w:hint="eastAsia" w:eastAsiaTheme="minorEastAsia"/>
          <w:bCs/>
          <w:sz w:val="24"/>
        </w:rPr>
        <w:t>3.1.1 模拟载荷试验法 simulation load test</w:t>
      </w:r>
    </w:p>
    <w:p w14:paraId="72504D6D">
      <w:pPr>
        <w:spacing w:line="360" w:lineRule="auto"/>
        <w:ind w:firstLine="480" w:firstLineChars="200"/>
        <w:rPr>
          <w:sz w:val="24"/>
        </w:rPr>
      </w:pPr>
      <w:r>
        <w:rPr>
          <w:rFonts w:hint="eastAsia"/>
          <w:sz w:val="24"/>
        </w:rPr>
        <w:t>模拟载荷试验指的是采用挂码、链码等模拟载荷装置模拟物料通过皮带秤（具有皮带输送机）的方式而进行的试验。</w:t>
      </w:r>
    </w:p>
    <w:p w14:paraId="1E2D028C">
      <w:pPr>
        <w:spacing w:line="360" w:lineRule="auto"/>
        <w:rPr>
          <w:rFonts w:eastAsiaTheme="minorEastAsia"/>
          <w:bCs/>
          <w:sz w:val="24"/>
        </w:rPr>
      </w:pPr>
      <w:r>
        <w:rPr>
          <w:rFonts w:hint="eastAsia" w:eastAsiaTheme="minorEastAsia"/>
          <w:bCs/>
          <w:sz w:val="24"/>
        </w:rPr>
        <w:t>3.1.2 物料试验 product test</w:t>
      </w:r>
    </w:p>
    <w:p w14:paraId="342A7513">
      <w:pPr>
        <w:spacing w:line="360" w:lineRule="auto"/>
        <w:ind w:firstLine="480" w:firstLineChars="200"/>
        <w:rPr>
          <w:sz w:val="24"/>
        </w:rPr>
      </w:pPr>
      <w:r>
        <w:rPr>
          <w:rFonts w:hint="eastAsia"/>
          <w:sz w:val="24"/>
        </w:rPr>
        <w:t>在完整的皮带秤上，使用皮带秤预期称量的物料对皮带秤整机所进行的一种试验。</w:t>
      </w:r>
    </w:p>
    <w:p w14:paraId="09CF57B2">
      <w:pPr>
        <w:spacing w:line="360" w:lineRule="auto"/>
        <w:rPr>
          <w:rFonts w:eastAsiaTheme="minorEastAsia"/>
          <w:sz w:val="24"/>
        </w:rPr>
      </w:pPr>
      <w:r>
        <w:rPr>
          <w:rFonts w:eastAsiaTheme="minorEastAsia"/>
          <w:sz w:val="24"/>
        </w:rPr>
        <w:t>3.</w:t>
      </w:r>
      <w:bookmarkStart w:id="13" w:name="_Toc11040"/>
      <w:r>
        <w:rPr>
          <w:rFonts w:hint="eastAsia" w:eastAsiaTheme="minorEastAsia"/>
          <w:sz w:val="24"/>
        </w:rPr>
        <w:t>1.</w:t>
      </w:r>
      <w:bookmarkEnd w:id="13"/>
      <w:r>
        <w:rPr>
          <w:rFonts w:hint="eastAsia" w:eastAsiaTheme="minorEastAsia"/>
          <w:sz w:val="24"/>
        </w:rPr>
        <w:t>3 状态核查 intermediate check</w:t>
      </w:r>
    </w:p>
    <w:p w14:paraId="6CB08F97">
      <w:pPr>
        <w:spacing w:line="360" w:lineRule="auto"/>
        <w:ind w:firstLine="480" w:firstLineChars="200"/>
        <w:rPr>
          <w:rFonts w:hint="eastAsia" w:eastAsiaTheme="minorEastAsia"/>
          <w:sz w:val="24"/>
          <w:lang w:val="en-US" w:eastAsia="zh-CN"/>
        </w:rPr>
      </w:pPr>
      <w:r>
        <w:rPr>
          <w:rFonts w:hint="eastAsia" w:eastAsiaTheme="minorEastAsia"/>
          <w:bCs/>
          <w:sz w:val="24"/>
        </w:rPr>
        <w:t>根据规定程序，为了确定测量仪器的计量特性有无明显变化而进行的操作</w:t>
      </w:r>
      <w:r>
        <w:rPr>
          <w:rFonts w:hint="eastAsia" w:eastAsiaTheme="minorEastAsia"/>
          <w:bCs/>
          <w:sz w:val="24"/>
          <w:lang w:eastAsia="zh-CN"/>
        </w:rPr>
        <w:t>。</w:t>
      </w:r>
    </w:p>
    <w:p w14:paraId="485D6C35">
      <w:pPr>
        <w:spacing w:line="360" w:lineRule="auto"/>
        <w:rPr>
          <w:rFonts w:eastAsiaTheme="minorEastAsia"/>
          <w:sz w:val="24"/>
        </w:rPr>
      </w:pPr>
      <w:r>
        <w:rPr>
          <w:rFonts w:eastAsiaTheme="minorEastAsia"/>
          <w:sz w:val="24"/>
        </w:rPr>
        <w:t>3.</w:t>
      </w:r>
      <w:r>
        <w:rPr>
          <w:rFonts w:hint="eastAsia" w:eastAsiaTheme="minorEastAsia"/>
          <w:sz w:val="24"/>
        </w:rPr>
        <w:t xml:space="preserve">1.4 基于物料校验参数修正的模拟载荷试验 </w:t>
      </w:r>
      <w:r>
        <w:rPr>
          <w:rFonts w:eastAsiaTheme="minorEastAsia"/>
          <w:sz w:val="24"/>
        </w:rPr>
        <w:t>Analogue load test Based on Material Verification Parameter Correction</w:t>
      </w:r>
    </w:p>
    <w:p w14:paraId="4FA2F4FB">
      <w:pPr>
        <w:spacing w:line="360" w:lineRule="auto"/>
        <w:ind w:firstLine="480" w:firstLineChars="200"/>
        <w:rPr>
          <w:rFonts w:eastAsiaTheme="minorEastAsia"/>
          <w:bCs/>
          <w:sz w:val="24"/>
        </w:rPr>
      </w:pPr>
      <w:r>
        <w:rPr>
          <w:rFonts w:hint="eastAsia" w:ascii="宋体" w:hAnsi="宋体"/>
          <w:sz w:val="24"/>
        </w:rPr>
        <w:t>规范中针对模拟载荷试验法提出新的在线状态核查方法，</w:t>
      </w:r>
      <w:r>
        <w:rPr>
          <w:rFonts w:hint="eastAsia" w:ascii="宋体" w:hAnsi="宋体"/>
          <w:bCs/>
          <w:sz w:val="24"/>
        </w:rPr>
        <w:t>利用</w:t>
      </w:r>
      <w:r>
        <w:rPr>
          <w:rFonts w:ascii="宋体" w:hAnsi="宋体"/>
          <w:sz w:val="24"/>
        </w:rPr>
        <w:t>皮带秤周期检定或者定期进行物料试验的相对误差</w:t>
      </w:r>
      <w:r>
        <w:rPr>
          <w:rFonts w:hint="eastAsia" w:ascii="宋体" w:hAnsi="宋体"/>
          <w:sz w:val="24"/>
        </w:rPr>
        <w:t>和</w:t>
      </w:r>
      <w:r>
        <w:rPr>
          <w:rFonts w:ascii="宋体" w:hAnsi="宋体"/>
          <w:sz w:val="24"/>
        </w:rPr>
        <w:t>皮带秤物料试验后首次进行模拟载荷试验的相对误差</w:t>
      </w:r>
      <w:r>
        <w:rPr>
          <w:rFonts w:hint="eastAsia" w:ascii="宋体" w:hAnsi="宋体"/>
          <w:sz w:val="24"/>
        </w:rPr>
        <w:t>对</w:t>
      </w:r>
      <w:r>
        <w:rPr>
          <w:rFonts w:ascii="宋体" w:hAnsi="宋体"/>
          <w:sz w:val="24"/>
        </w:rPr>
        <w:t>皮带秤日常校准中进行模拟载荷试验的相对误差</w:t>
      </w:r>
      <w:r>
        <w:rPr>
          <w:rFonts w:hint="eastAsia" w:ascii="宋体" w:hAnsi="宋体"/>
          <w:sz w:val="24"/>
        </w:rPr>
        <w:t>进行修正。</w:t>
      </w:r>
    </w:p>
    <w:p w14:paraId="6EE4C0C9">
      <w:pPr>
        <w:spacing w:line="360" w:lineRule="auto"/>
        <w:rPr>
          <w:rFonts w:eastAsiaTheme="minorEastAsia"/>
          <w:bCs/>
          <w:sz w:val="24"/>
        </w:rPr>
      </w:pPr>
      <w:r>
        <w:rPr>
          <w:rFonts w:hint="eastAsia" w:eastAsiaTheme="minorEastAsia"/>
          <w:bCs/>
          <w:sz w:val="24"/>
        </w:rPr>
        <w:t>3.1.5 常用给料流量 common feeding flowrate</w:t>
      </w:r>
    </w:p>
    <w:p w14:paraId="37421246">
      <w:pPr>
        <w:spacing w:line="360" w:lineRule="auto"/>
        <w:ind w:firstLine="480" w:firstLineChars="200"/>
        <w:rPr>
          <w:sz w:val="24"/>
        </w:rPr>
      </w:pPr>
      <w:r>
        <w:rPr>
          <w:rFonts w:hint="eastAsia"/>
          <w:sz w:val="24"/>
        </w:rPr>
        <w:t>皮带秤在实际使用工况下，物料从前一个装置到输送机上的流量。</w:t>
      </w:r>
    </w:p>
    <w:p w14:paraId="5B0469F7">
      <w:pPr>
        <w:spacing w:line="360" w:lineRule="auto"/>
        <w:rPr>
          <w:sz w:val="24"/>
        </w:rPr>
      </w:pPr>
      <w:r>
        <w:rPr>
          <w:rFonts w:hint="eastAsia" w:eastAsiaTheme="minorEastAsia"/>
          <w:bCs/>
          <w:sz w:val="24"/>
        </w:rPr>
        <w:t xml:space="preserve">3.1.6 </w:t>
      </w:r>
      <w:r>
        <w:rPr>
          <w:rFonts w:ascii="宋体" w:hAnsi="宋体"/>
          <w:kern w:val="0"/>
          <w:sz w:val="24"/>
        </w:rPr>
        <w:t>最大</w:t>
      </w:r>
      <w:r>
        <w:rPr>
          <w:sz w:val="24"/>
        </w:rPr>
        <w:t>流量(</w:t>
      </w:r>
      <w:r>
        <w:rPr>
          <w:i/>
          <w:sz w:val="24"/>
        </w:rPr>
        <w:t>Q</w:t>
      </w:r>
      <w:r>
        <w:rPr>
          <w:sz w:val="24"/>
          <w:vertAlign w:val="subscript"/>
        </w:rPr>
        <w:t>max</w:t>
      </w:r>
      <w:r>
        <w:rPr>
          <w:sz w:val="24"/>
        </w:rPr>
        <w:t>)   maximum flowrate (</w:t>
      </w:r>
      <w:r>
        <w:rPr>
          <w:i/>
          <w:sz w:val="24"/>
        </w:rPr>
        <w:t>Q</w:t>
      </w:r>
      <w:r>
        <w:rPr>
          <w:sz w:val="24"/>
          <w:vertAlign w:val="subscript"/>
        </w:rPr>
        <w:t>max</w:t>
      </w:r>
      <w:r>
        <w:rPr>
          <w:sz w:val="24"/>
        </w:rPr>
        <w:t>)</w:t>
      </w:r>
    </w:p>
    <w:p w14:paraId="4702048E">
      <w:pPr>
        <w:spacing w:line="360" w:lineRule="auto"/>
        <w:ind w:firstLine="480" w:firstLineChars="200"/>
        <w:rPr>
          <w:sz w:val="24"/>
        </w:rPr>
      </w:pPr>
      <w:r>
        <w:rPr>
          <w:rFonts w:hint="eastAsia"/>
          <w:sz w:val="24"/>
        </w:rPr>
        <w:t>由连续累计自动衡器称量单元的最大秤量与皮带输送机的最高速度得出的流量。</w:t>
      </w:r>
    </w:p>
    <w:p w14:paraId="04AF3B26">
      <w:pPr>
        <w:spacing w:line="360" w:lineRule="auto"/>
        <w:rPr>
          <w:sz w:val="24"/>
        </w:rPr>
      </w:pPr>
      <w:r>
        <w:rPr>
          <w:rFonts w:hint="eastAsia" w:eastAsiaTheme="minorEastAsia"/>
          <w:bCs/>
          <w:sz w:val="24"/>
        </w:rPr>
        <w:t xml:space="preserve">3.1.7 </w:t>
      </w:r>
      <w:r>
        <w:rPr>
          <w:sz w:val="24"/>
        </w:rPr>
        <w:t>最小流量(</w:t>
      </w:r>
      <w:r>
        <w:rPr>
          <w:i/>
          <w:sz w:val="24"/>
        </w:rPr>
        <w:t>Q</w:t>
      </w:r>
      <w:r>
        <w:rPr>
          <w:sz w:val="24"/>
          <w:vertAlign w:val="subscript"/>
        </w:rPr>
        <w:t>min</w:t>
      </w:r>
      <w:r>
        <w:rPr>
          <w:sz w:val="24"/>
        </w:rPr>
        <w:t>)   minimum flowrate (</w:t>
      </w:r>
      <w:r>
        <w:rPr>
          <w:i/>
          <w:sz w:val="24"/>
        </w:rPr>
        <w:t>Q</w:t>
      </w:r>
      <w:r>
        <w:rPr>
          <w:sz w:val="24"/>
          <w:vertAlign w:val="subscript"/>
        </w:rPr>
        <w:t>min</w:t>
      </w:r>
      <w:r>
        <w:rPr>
          <w:sz w:val="24"/>
        </w:rPr>
        <w:t>)</w:t>
      </w:r>
    </w:p>
    <w:p w14:paraId="05027E0A">
      <w:pPr>
        <w:spacing w:line="360" w:lineRule="auto"/>
        <w:ind w:firstLine="480" w:firstLineChars="200"/>
        <w:rPr>
          <w:color w:val="000000"/>
          <w:sz w:val="24"/>
        </w:rPr>
      </w:pPr>
      <w:r>
        <w:rPr>
          <w:rFonts w:hint="eastAsia"/>
          <w:color w:val="000000"/>
          <w:sz w:val="24"/>
        </w:rPr>
        <w:t>高于此流量，称量结果就能符合本规范要求的流量。</w:t>
      </w:r>
    </w:p>
    <w:p w14:paraId="27159905">
      <w:pPr>
        <w:spacing w:line="360" w:lineRule="auto"/>
        <w:rPr>
          <w:rFonts w:eastAsiaTheme="minorEastAsia"/>
          <w:sz w:val="24"/>
        </w:rPr>
      </w:pPr>
      <w:r>
        <w:rPr>
          <w:rFonts w:eastAsiaTheme="minorEastAsia"/>
          <w:sz w:val="24"/>
        </w:rPr>
        <w:t>3.</w:t>
      </w:r>
      <w:r>
        <w:rPr>
          <w:rFonts w:hint="eastAsia" w:eastAsiaTheme="minorEastAsia"/>
          <w:sz w:val="24"/>
        </w:rPr>
        <w:t>2 计量单位</w:t>
      </w:r>
    </w:p>
    <w:p w14:paraId="04CAF658">
      <w:pPr>
        <w:spacing w:line="360" w:lineRule="auto"/>
        <w:ind w:firstLine="480" w:firstLineChars="200"/>
        <w:rPr>
          <w:sz w:val="24"/>
        </w:rPr>
      </w:pPr>
      <w:r>
        <w:rPr>
          <w:sz w:val="24"/>
        </w:rPr>
        <w:t xml:space="preserve">适用于皮带秤的计量单位涉及有质量、流量和皮带速度: </w:t>
      </w:r>
    </w:p>
    <w:p w14:paraId="0E521A2A">
      <w:pPr>
        <w:spacing w:line="360" w:lineRule="auto"/>
        <w:ind w:firstLine="480" w:firstLineChars="200"/>
        <w:rPr>
          <w:sz w:val="24"/>
        </w:rPr>
      </w:pPr>
      <w:r>
        <w:rPr>
          <w:sz w:val="24"/>
        </w:rPr>
        <w:t>a)质量单位为：克（g）、千克（kg）和吨（t）；</w:t>
      </w:r>
    </w:p>
    <w:p w14:paraId="6C2BF879">
      <w:pPr>
        <w:spacing w:line="360" w:lineRule="auto"/>
        <w:ind w:firstLine="480" w:firstLineChars="200"/>
        <w:rPr>
          <w:sz w:val="24"/>
        </w:rPr>
      </w:pPr>
      <w:r>
        <w:rPr>
          <w:sz w:val="24"/>
        </w:rPr>
        <w:t>b)流量单位：克/小时(g/h)、千克/小时(kg/h)和吨/小时(t/h)；</w:t>
      </w:r>
    </w:p>
    <w:p w14:paraId="71B87CDB">
      <w:pPr>
        <w:spacing w:line="360" w:lineRule="auto"/>
        <w:ind w:firstLine="480" w:firstLineChars="200"/>
        <w:rPr>
          <w:sz w:val="24"/>
        </w:rPr>
      </w:pPr>
      <w:r>
        <w:rPr>
          <w:sz w:val="24"/>
        </w:rPr>
        <w:t>c) 皮带速度单位：米/秒(m/s)。</w:t>
      </w:r>
    </w:p>
    <w:p w14:paraId="1ADF7C56">
      <w:pPr>
        <w:spacing w:beforeLines="100" w:afterLines="100"/>
        <w:jc w:val="left"/>
        <w:outlineLvl w:val="0"/>
        <w:rPr>
          <w:rFonts w:eastAsia="黑体"/>
          <w:sz w:val="24"/>
        </w:rPr>
      </w:pPr>
      <w:bookmarkStart w:id="14" w:name="_Toc3749"/>
      <w:r>
        <w:rPr>
          <w:rFonts w:hint="eastAsia" w:hAnsi="黑体" w:eastAsia="黑体"/>
          <w:sz w:val="24"/>
        </w:rPr>
        <w:t xml:space="preserve">4  </w:t>
      </w:r>
      <w:r>
        <w:rPr>
          <w:rFonts w:eastAsia="黑体"/>
          <w:sz w:val="24"/>
        </w:rPr>
        <w:t>概述</w:t>
      </w:r>
      <w:bookmarkEnd w:id="10"/>
      <w:bookmarkEnd w:id="14"/>
    </w:p>
    <w:p w14:paraId="3DBE4E43">
      <w:pPr>
        <w:autoSpaceDE w:val="0"/>
        <w:autoSpaceDN w:val="0"/>
        <w:adjustRightInd w:val="0"/>
        <w:spacing w:line="360" w:lineRule="auto"/>
        <w:ind w:firstLine="480" w:firstLineChars="200"/>
        <w:rPr>
          <w:sz w:val="24"/>
        </w:rPr>
      </w:pPr>
      <w:bookmarkStart w:id="15" w:name="_Toc535439998"/>
      <w:bookmarkStart w:id="16" w:name="_Toc535439751"/>
      <w:bookmarkStart w:id="17" w:name="_Toc535439447"/>
      <w:bookmarkStart w:id="18" w:name="_Toc535439830"/>
      <w:bookmarkStart w:id="19" w:name="_Toc465926389"/>
      <w:r>
        <w:rPr>
          <w:rFonts w:hint="eastAsia"/>
          <w:sz w:val="24"/>
        </w:rPr>
        <w:t>皮带秤是一种安装在皮带输送机的适当位置上，对散装物料自动进行连续称量、累计的计量器具。</w:t>
      </w:r>
    </w:p>
    <w:bookmarkEnd w:id="15"/>
    <w:bookmarkEnd w:id="16"/>
    <w:bookmarkEnd w:id="17"/>
    <w:bookmarkEnd w:id="18"/>
    <w:p w14:paraId="3C2E101C">
      <w:pPr>
        <w:autoSpaceDE w:val="0"/>
        <w:autoSpaceDN w:val="0"/>
        <w:adjustRightInd w:val="0"/>
        <w:spacing w:line="360" w:lineRule="auto"/>
        <w:ind w:firstLine="480" w:firstLineChars="200"/>
        <w:rPr>
          <w:kern w:val="0"/>
          <w:sz w:val="24"/>
        </w:rPr>
      </w:pPr>
      <w:r>
        <w:rPr>
          <w:rFonts w:hint="eastAsia"/>
          <w:kern w:val="0"/>
          <w:sz w:val="24"/>
        </w:rPr>
        <w:t>用途：广泛用于散装物料贸易结算、生产工艺流程中的配料计量及检测控制。</w:t>
      </w:r>
    </w:p>
    <w:p w14:paraId="179FAF34">
      <w:pPr>
        <w:autoSpaceDE w:val="0"/>
        <w:autoSpaceDN w:val="0"/>
        <w:adjustRightInd w:val="0"/>
        <w:spacing w:line="360" w:lineRule="auto"/>
        <w:ind w:firstLine="480" w:firstLineChars="200"/>
        <w:rPr>
          <w:kern w:val="0"/>
          <w:sz w:val="24"/>
        </w:rPr>
      </w:pPr>
      <w:r>
        <w:rPr>
          <w:rFonts w:hint="eastAsia"/>
          <w:kern w:val="0"/>
          <w:sz w:val="24"/>
        </w:rPr>
        <w:t>原理：将皮带秤称重桥架安装于输送机架上，当物料经过皮带时，计量托辊检测到物料重量并作用于称重传感器，产生一个正比于物料载荷的电压信号。同时由速度传感器提供一系列脉冲，每个脉冲表示一个皮带运动单元，脉冲的频率与皮带速度成正比。累计指示装置从称重传感器和速度传感器接收信号，通过积分运算得出一个瞬时流量值和累积重量值，并分别显示出来。</w:t>
      </w:r>
    </w:p>
    <w:p w14:paraId="19D2572E">
      <w:pPr>
        <w:autoSpaceDE w:val="0"/>
        <w:autoSpaceDN w:val="0"/>
        <w:adjustRightInd w:val="0"/>
        <w:spacing w:line="360" w:lineRule="auto"/>
        <w:ind w:firstLine="480" w:firstLineChars="200"/>
        <w:rPr>
          <w:kern w:val="0"/>
          <w:sz w:val="24"/>
        </w:rPr>
      </w:pPr>
      <w:r>
        <w:rPr>
          <w:rFonts w:hint="eastAsia"/>
          <w:kern w:val="0"/>
          <w:sz w:val="24"/>
        </w:rPr>
        <w:t>结构：皮带秤由承载器、称重传感器、速度传感器、累计指示装置及控制系统等组成。</w:t>
      </w:r>
    </w:p>
    <w:p w14:paraId="1E238345">
      <w:pPr>
        <w:pStyle w:val="2"/>
        <w:keepNext w:val="0"/>
        <w:numPr>
          <w:ilvl w:val="0"/>
          <w:numId w:val="1"/>
        </w:numPr>
        <w:snapToGrid w:val="0"/>
        <w:spacing w:beforeLines="100" w:afterLines="100"/>
        <w:ind w:firstLineChars="0"/>
        <w:jc w:val="left"/>
        <w:rPr>
          <w:rFonts w:hAnsi="黑体" w:eastAsia="黑体"/>
          <w:sz w:val="24"/>
        </w:rPr>
      </w:pPr>
      <w:bookmarkStart w:id="20" w:name="_Toc27882"/>
      <w:r>
        <w:rPr>
          <w:rFonts w:hint="eastAsia" w:hAnsi="黑体" w:eastAsia="黑体"/>
          <w:sz w:val="24"/>
        </w:rPr>
        <w:t>5</w:t>
      </w:r>
      <w:r>
        <w:rPr>
          <w:rFonts w:hAnsi="黑体" w:eastAsia="黑体"/>
          <w:sz w:val="24"/>
        </w:rPr>
        <w:t xml:space="preserve">  计量</w:t>
      </w:r>
      <w:bookmarkEnd w:id="19"/>
      <w:r>
        <w:rPr>
          <w:rFonts w:hint="eastAsia" w:hAnsi="黑体" w:eastAsia="黑体"/>
          <w:sz w:val="24"/>
        </w:rPr>
        <w:t>性能要求</w:t>
      </w:r>
      <w:bookmarkEnd w:id="20"/>
    </w:p>
    <w:p w14:paraId="1D056274">
      <w:pPr>
        <w:pStyle w:val="3"/>
        <w:keepNext w:val="0"/>
        <w:snapToGrid w:val="0"/>
        <w:spacing w:beforeLines="25" w:line="360" w:lineRule="auto"/>
        <w:ind w:firstLine="0" w:firstLineChars="0"/>
        <w:jc w:val="left"/>
        <w:rPr>
          <w:rFonts w:ascii="Times New Roman"/>
          <w:color w:val="auto"/>
          <w:sz w:val="24"/>
        </w:rPr>
      </w:pPr>
      <w:bookmarkStart w:id="21" w:name="_Toc18668"/>
      <w:r>
        <w:rPr>
          <w:rFonts w:ascii="Times New Roman" w:eastAsiaTheme="minorEastAsia"/>
          <w:color w:val="auto"/>
          <w:sz w:val="24"/>
        </w:rPr>
        <w:t>5.1</w:t>
      </w:r>
      <w:bookmarkEnd w:id="21"/>
      <w:r>
        <w:rPr>
          <w:rFonts w:hint="eastAsia" w:ascii="Times New Roman" w:eastAsiaTheme="minorEastAsia"/>
          <w:color w:val="auto"/>
          <w:sz w:val="24"/>
          <w:lang w:val="en-US" w:eastAsia="zh-CN"/>
        </w:rPr>
        <w:t xml:space="preserve"> </w:t>
      </w:r>
      <w:r>
        <w:rPr>
          <w:rFonts w:hint="eastAsia" w:ascii="Times New Roman" w:hAnsi="宋体"/>
          <w:color w:val="auto"/>
          <w:sz w:val="24"/>
        </w:rPr>
        <w:t>准确度等级</w:t>
      </w:r>
    </w:p>
    <w:p w14:paraId="05ECEF6B">
      <w:pPr>
        <w:autoSpaceDE w:val="0"/>
        <w:autoSpaceDN w:val="0"/>
        <w:adjustRightInd w:val="0"/>
        <w:spacing w:line="360" w:lineRule="auto"/>
        <w:ind w:firstLine="480" w:firstLineChars="200"/>
        <w:rPr>
          <w:rFonts w:hAnsi="宋体"/>
          <w:sz w:val="24"/>
        </w:rPr>
      </w:pPr>
      <w:r>
        <w:rPr>
          <w:rFonts w:hint="eastAsia" w:ascii="宋体" w:hAnsi="宋体"/>
          <w:sz w:val="24"/>
        </w:rPr>
        <w:t>皮带秤的准确度等级分为四个级别：</w:t>
      </w:r>
      <w:r>
        <w:rPr>
          <w:sz w:val="24"/>
        </w:rPr>
        <w:t>0.2</w:t>
      </w:r>
      <w:r>
        <w:rPr>
          <w:rFonts w:hAnsi="宋体"/>
          <w:sz w:val="24"/>
        </w:rPr>
        <w:t>级，</w:t>
      </w:r>
      <w:r>
        <w:rPr>
          <w:sz w:val="24"/>
        </w:rPr>
        <w:t>0.5</w:t>
      </w:r>
      <w:r>
        <w:rPr>
          <w:rFonts w:hAnsi="宋体"/>
          <w:sz w:val="24"/>
        </w:rPr>
        <w:t>级，</w:t>
      </w:r>
      <w:r>
        <w:rPr>
          <w:sz w:val="24"/>
        </w:rPr>
        <w:t>1</w:t>
      </w:r>
      <w:r>
        <w:rPr>
          <w:rFonts w:hAnsi="宋体"/>
          <w:sz w:val="24"/>
        </w:rPr>
        <w:t>级和</w:t>
      </w:r>
      <w:r>
        <w:rPr>
          <w:sz w:val="24"/>
        </w:rPr>
        <w:t>2</w:t>
      </w:r>
      <w:r>
        <w:rPr>
          <w:rFonts w:hAnsi="宋体"/>
          <w:sz w:val="24"/>
        </w:rPr>
        <w:t>级</w:t>
      </w:r>
      <w:r>
        <w:rPr>
          <w:rFonts w:hint="eastAsia" w:ascii="宋体" w:hAnsi="宋体"/>
          <w:sz w:val="24"/>
        </w:rPr>
        <w:t>。</w:t>
      </w:r>
    </w:p>
    <w:p w14:paraId="306EA0E3">
      <w:pPr>
        <w:pStyle w:val="3"/>
        <w:keepNext w:val="0"/>
        <w:snapToGrid w:val="0"/>
        <w:spacing w:beforeLines="50" w:line="360" w:lineRule="auto"/>
        <w:ind w:firstLine="0" w:firstLineChars="0"/>
        <w:jc w:val="left"/>
        <w:rPr>
          <w:rFonts w:ascii="Times New Roman"/>
          <w:color w:val="auto"/>
          <w:sz w:val="24"/>
        </w:rPr>
      </w:pPr>
      <w:bookmarkStart w:id="22" w:name="_Toc15281"/>
      <w:r>
        <w:rPr>
          <w:rFonts w:ascii="Times New Roman" w:eastAsiaTheme="minorEastAsia"/>
          <w:color w:val="auto"/>
          <w:sz w:val="24"/>
        </w:rPr>
        <w:t>5.</w:t>
      </w:r>
      <w:bookmarkEnd w:id="22"/>
      <w:r>
        <w:rPr>
          <w:rFonts w:hint="eastAsia" w:ascii="Times New Roman" w:eastAsiaTheme="minorEastAsia"/>
          <w:color w:val="auto"/>
          <w:sz w:val="24"/>
        </w:rPr>
        <w:t xml:space="preserve">2 </w:t>
      </w:r>
      <w:r>
        <w:rPr>
          <w:rFonts w:hint="eastAsia" w:ascii="Times New Roman" w:hAnsi="宋体"/>
          <w:color w:val="auto"/>
          <w:sz w:val="24"/>
        </w:rPr>
        <w:t>分度值的形式</w:t>
      </w:r>
    </w:p>
    <w:p w14:paraId="795290A6">
      <w:pPr>
        <w:autoSpaceDE w:val="0"/>
        <w:autoSpaceDN w:val="0"/>
        <w:adjustRightInd w:val="0"/>
        <w:spacing w:line="360" w:lineRule="auto"/>
        <w:ind w:firstLine="480" w:firstLineChars="200"/>
        <w:rPr>
          <w:rFonts w:asciiTheme="minorEastAsia" w:hAnsiTheme="minorEastAsia" w:eastAsiaTheme="minorEastAsia"/>
          <w:sz w:val="24"/>
        </w:rPr>
      </w:pPr>
      <w:r>
        <w:rPr>
          <w:rFonts w:asciiTheme="minorEastAsia" w:hAnsiTheme="minorEastAsia" w:eastAsiaTheme="minorEastAsia"/>
          <w:kern w:val="0"/>
          <w:sz w:val="24"/>
        </w:rPr>
        <w:t>指示装置和打印装置的分度值应是</w:t>
      </w:r>
      <w:r>
        <w:rPr>
          <w:rFonts w:eastAsiaTheme="minorEastAsia"/>
          <w:kern w:val="0"/>
          <w:sz w:val="24"/>
        </w:rPr>
        <w:t>1×10</w:t>
      </w:r>
      <w:r>
        <w:rPr>
          <w:rFonts w:eastAsiaTheme="minorEastAsia"/>
          <w:kern w:val="0"/>
          <w:sz w:val="24"/>
          <w:vertAlign w:val="superscript"/>
        </w:rPr>
        <w:t>k</w:t>
      </w:r>
      <w:r>
        <w:rPr>
          <w:rFonts w:hAnsiTheme="minorEastAsia" w:eastAsiaTheme="minorEastAsia"/>
          <w:kern w:val="0"/>
          <w:sz w:val="24"/>
        </w:rPr>
        <w:t>，</w:t>
      </w:r>
      <w:r>
        <w:rPr>
          <w:rFonts w:eastAsiaTheme="minorEastAsia"/>
          <w:kern w:val="0"/>
          <w:sz w:val="24"/>
        </w:rPr>
        <w:t>2×10</w:t>
      </w:r>
      <w:r>
        <w:rPr>
          <w:rFonts w:eastAsiaTheme="minorEastAsia"/>
          <w:kern w:val="0"/>
          <w:sz w:val="24"/>
          <w:vertAlign w:val="superscript"/>
        </w:rPr>
        <w:t xml:space="preserve"> k</w:t>
      </w:r>
      <w:r>
        <w:rPr>
          <w:rFonts w:hAnsiTheme="minorEastAsia" w:eastAsiaTheme="minorEastAsia"/>
          <w:kern w:val="0"/>
          <w:sz w:val="24"/>
        </w:rPr>
        <w:t>或</w:t>
      </w:r>
      <w:r>
        <w:rPr>
          <w:rFonts w:eastAsiaTheme="minorEastAsia"/>
          <w:kern w:val="0"/>
          <w:sz w:val="24"/>
        </w:rPr>
        <w:t>5×10</w:t>
      </w:r>
      <w:r>
        <w:rPr>
          <w:rFonts w:eastAsiaTheme="minorEastAsia"/>
          <w:kern w:val="0"/>
          <w:sz w:val="24"/>
          <w:vertAlign w:val="superscript"/>
        </w:rPr>
        <w:t>k</w:t>
      </w:r>
      <w:r>
        <w:rPr>
          <w:rFonts w:asciiTheme="minorEastAsia" w:hAnsiTheme="minorEastAsia" w:eastAsiaTheme="minorEastAsia"/>
          <w:kern w:val="0"/>
          <w:sz w:val="24"/>
        </w:rPr>
        <w:t>的形式，其中“</w:t>
      </w:r>
      <w:r>
        <w:rPr>
          <w:rFonts w:eastAsiaTheme="minorEastAsia"/>
          <w:kern w:val="0"/>
          <w:sz w:val="24"/>
        </w:rPr>
        <w:t>k</w:t>
      </w:r>
      <w:r>
        <w:rPr>
          <w:rFonts w:asciiTheme="minorEastAsia" w:hAnsiTheme="minorEastAsia" w:eastAsiaTheme="minorEastAsia"/>
          <w:kern w:val="0"/>
          <w:sz w:val="24"/>
        </w:rPr>
        <w:t>”是正整数、负整数或零。</w:t>
      </w:r>
    </w:p>
    <w:p w14:paraId="7DB0A70D">
      <w:pPr>
        <w:pStyle w:val="3"/>
        <w:keepNext w:val="0"/>
        <w:snapToGrid w:val="0"/>
        <w:spacing w:beforeLines="50" w:line="360" w:lineRule="auto"/>
        <w:ind w:firstLine="0" w:firstLineChars="0"/>
        <w:jc w:val="left"/>
        <w:rPr>
          <w:rFonts w:ascii="Times New Roman"/>
          <w:color w:val="auto"/>
          <w:sz w:val="24"/>
        </w:rPr>
      </w:pPr>
      <w:bookmarkStart w:id="23" w:name="_Toc25883"/>
      <w:r>
        <w:rPr>
          <w:rFonts w:ascii="Times New Roman" w:eastAsiaTheme="minorEastAsia"/>
          <w:color w:val="auto"/>
          <w:sz w:val="24"/>
        </w:rPr>
        <w:t>5.</w:t>
      </w:r>
      <w:bookmarkEnd w:id="23"/>
      <w:r>
        <w:rPr>
          <w:rFonts w:hint="eastAsia" w:ascii="Times New Roman" w:eastAsiaTheme="minorEastAsia"/>
          <w:color w:val="auto"/>
          <w:sz w:val="24"/>
        </w:rPr>
        <w:t xml:space="preserve">3 </w:t>
      </w:r>
      <w:r>
        <w:rPr>
          <w:rFonts w:hint="eastAsia" w:ascii="Times New Roman" w:hAnsi="宋体"/>
          <w:color w:val="auto"/>
          <w:sz w:val="24"/>
        </w:rPr>
        <w:t>最小累计载荷</w:t>
      </w:r>
    </w:p>
    <w:p w14:paraId="3566582B">
      <w:pPr>
        <w:autoSpaceDE w:val="0"/>
        <w:autoSpaceDN w:val="0"/>
        <w:adjustRightInd w:val="0"/>
        <w:spacing w:line="360" w:lineRule="auto"/>
        <w:ind w:firstLine="480" w:firstLineChars="200"/>
        <w:rPr>
          <w:kern w:val="0"/>
          <w:sz w:val="24"/>
        </w:rPr>
      </w:pPr>
      <w:r>
        <w:rPr>
          <w:kern w:val="0"/>
          <w:sz w:val="24"/>
        </w:rPr>
        <w:t>最小累计载荷应不小于下列各值的最大者：</w:t>
      </w:r>
    </w:p>
    <w:p w14:paraId="171D22FC">
      <w:pPr>
        <w:autoSpaceDE w:val="0"/>
        <w:autoSpaceDN w:val="0"/>
        <w:adjustRightInd w:val="0"/>
        <w:spacing w:line="360" w:lineRule="auto"/>
        <w:ind w:firstLine="480" w:firstLineChars="200"/>
        <w:rPr>
          <w:rFonts w:hint="eastAsia" w:eastAsia="宋体"/>
          <w:kern w:val="0"/>
          <w:sz w:val="24"/>
          <w:lang w:eastAsia="zh-CN"/>
        </w:rPr>
      </w:pPr>
      <w:r>
        <w:rPr>
          <w:kern w:val="0"/>
          <w:sz w:val="24"/>
        </w:rPr>
        <w:t>——在最大流量下1h累计载荷的2%</w:t>
      </w:r>
      <w:r>
        <w:rPr>
          <w:rFonts w:hint="eastAsia"/>
          <w:kern w:val="0"/>
          <w:sz w:val="24"/>
          <w:lang w:eastAsia="zh-CN"/>
        </w:rPr>
        <w:t>；</w:t>
      </w:r>
    </w:p>
    <w:p w14:paraId="4A5C7B8A">
      <w:pPr>
        <w:autoSpaceDE w:val="0"/>
        <w:autoSpaceDN w:val="0"/>
        <w:adjustRightInd w:val="0"/>
        <w:spacing w:line="360" w:lineRule="auto"/>
        <w:ind w:firstLine="480" w:firstLineChars="200"/>
        <w:rPr>
          <w:kern w:val="0"/>
          <w:sz w:val="24"/>
        </w:rPr>
      </w:pPr>
      <w:r>
        <w:rPr>
          <w:kern w:val="0"/>
          <w:sz w:val="24"/>
        </w:rPr>
        <w:t>——在最大流量下皮带转动一圈获得的载荷；</w:t>
      </w:r>
    </w:p>
    <w:p w14:paraId="0DBF2A58">
      <w:pPr>
        <w:autoSpaceDE w:val="0"/>
        <w:autoSpaceDN w:val="0"/>
        <w:adjustRightInd w:val="0"/>
        <w:spacing w:afterLines="50" w:line="360" w:lineRule="auto"/>
        <w:ind w:firstLine="480" w:firstLineChars="200"/>
        <w:rPr>
          <w:kern w:val="0"/>
          <w:sz w:val="24"/>
        </w:rPr>
      </w:pPr>
      <w:r>
        <w:rPr>
          <w:kern w:val="0"/>
          <w:sz w:val="24"/>
        </w:rPr>
        <w:t>——对应于表1中相应累计分度数的载荷。</w:t>
      </w:r>
    </w:p>
    <w:p w14:paraId="5B67BE8A">
      <w:pPr>
        <w:snapToGrid w:val="0"/>
        <w:spacing w:line="360" w:lineRule="auto"/>
        <w:jc w:val="center"/>
        <w:rPr>
          <w:rFonts w:ascii="黑体" w:hAnsi="宋体" w:eastAsia="黑体"/>
        </w:rPr>
      </w:pPr>
      <w:r>
        <w:rPr>
          <w:rFonts w:hint="eastAsia" w:ascii="黑体" w:hAnsi="宋体" w:eastAsia="黑体"/>
        </w:rPr>
        <w:t>表1  最小累计载荷的累计分度数</w:t>
      </w:r>
    </w:p>
    <w:tbl>
      <w:tblPr>
        <w:tblStyle w:val="218"/>
        <w:tblW w:w="499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610"/>
        <w:gridCol w:w="5752"/>
      </w:tblGrid>
      <w:tr w14:paraId="43495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jc w:val="center"/>
        </w:trPr>
        <w:tc>
          <w:tcPr>
            <w:tcW w:w="1928" w:type="pct"/>
            <w:vAlign w:val="center"/>
          </w:tcPr>
          <w:p w14:paraId="2B5304F8">
            <w:pPr>
              <w:widowControl/>
              <w:autoSpaceDE w:val="0"/>
              <w:autoSpaceDN w:val="0"/>
              <w:jc w:val="center"/>
              <w:rPr>
                <w:rFonts w:asciiTheme="minorHAnsi" w:hAnsiTheme="minorHAnsi" w:eastAsiaTheme="minorEastAsia" w:cstheme="minorBidi"/>
                <w:kern w:val="0"/>
                <w:sz w:val="21"/>
                <w:szCs w:val="21"/>
                <w:lang w:eastAsia="en-US"/>
              </w:rPr>
            </w:pPr>
            <w:r>
              <w:rPr>
                <w:rFonts w:asciiTheme="minorHAnsi" w:hAnsiTheme="minorEastAsia" w:eastAsiaTheme="minorEastAsia" w:cstheme="minorBidi"/>
                <w:kern w:val="0"/>
                <w:sz w:val="21"/>
                <w:szCs w:val="21"/>
                <w:lang w:eastAsia="en-US"/>
              </w:rPr>
              <w:t>准确度等级</w:t>
            </w:r>
          </w:p>
        </w:tc>
        <w:tc>
          <w:tcPr>
            <w:tcW w:w="3072" w:type="pct"/>
            <w:vAlign w:val="center"/>
          </w:tcPr>
          <w:p w14:paraId="2C188043">
            <w:pPr>
              <w:widowControl/>
              <w:autoSpaceDE w:val="0"/>
              <w:autoSpaceDN w:val="0"/>
              <w:jc w:val="center"/>
              <w:rPr>
                <w:rFonts w:asciiTheme="minorHAnsi" w:hAnsiTheme="minorHAnsi" w:eastAsiaTheme="minorEastAsia" w:cstheme="minorBidi"/>
                <w:kern w:val="0"/>
                <w:sz w:val="21"/>
                <w:szCs w:val="21"/>
                <w:lang w:eastAsia="en-US"/>
              </w:rPr>
            </w:pPr>
            <w:r>
              <w:rPr>
                <w:rFonts w:asciiTheme="minorHAnsi" w:hAnsiTheme="minorEastAsia" w:eastAsiaTheme="minorEastAsia" w:cstheme="minorBidi"/>
                <w:kern w:val="0"/>
                <w:sz w:val="21"/>
                <w:szCs w:val="21"/>
                <w:lang w:eastAsia="en-US"/>
              </w:rPr>
              <w:t>累计分度数</w:t>
            </w:r>
            <w:r>
              <w:rPr>
                <w:rFonts w:asciiTheme="minorHAnsi" w:hAnsiTheme="minorHAnsi" w:eastAsiaTheme="minorEastAsia" w:cstheme="minorBidi"/>
                <w:kern w:val="0"/>
                <w:sz w:val="21"/>
                <w:szCs w:val="21"/>
                <w:lang w:eastAsia="en-US"/>
              </w:rPr>
              <w:t>(</w:t>
            </w:r>
            <w:r>
              <w:rPr>
                <w:rFonts w:asciiTheme="minorHAnsi" w:hAnsiTheme="minorHAnsi" w:eastAsiaTheme="minorEastAsia" w:cstheme="minorBidi"/>
                <w:i/>
                <w:iCs/>
                <w:kern w:val="0"/>
                <w:sz w:val="21"/>
                <w:szCs w:val="21"/>
                <w:lang w:eastAsia="en-US"/>
              </w:rPr>
              <w:t>d</w:t>
            </w:r>
            <w:r>
              <w:rPr>
                <w:rFonts w:asciiTheme="minorHAnsi" w:hAnsiTheme="minorHAnsi" w:eastAsiaTheme="minorEastAsia" w:cstheme="minorBidi"/>
                <w:kern w:val="0"/>
                <w:sz w:val="21"/>
                <w:szCs w:val="21"/>
                <w:vertAlign w:val="subscript"/>
                <w:lang w:eastAsia="en-US"/>
              </w:rPr>
              <w:t>t</w:t>
            </w:r>
            <w:r>
              <w:rPr>
                <w:rFonts w:asciiTheme="minorHAnsi" w:hAnsiTheme="minorHAnsi" w:eastAsiaTheme="minorEastAsia" w:cstheme="minorBidi"/>
                <w:kern w:val="0"/>
                <w:sz w:val="21"/>
                <w:szCs w:val="21"/>
                <w:lang w:eastAsia="en-US"/>
              </w:rPr>
              <w:t>)</w:t>
            </w:r>
          </w:p>
        </w:tc>
      </w:tr>
      <w:tr w14:paraId="1C4F0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jc w:val="center"/>
        </w:trPr>
        <w:tc>
          <w:tcPr>
            <w:tcW w:w="1928" w:type="pct"/>
            <w:vAlign w:val="center"/>
          </w:tcPr>
          <w:p w14:paraId="66C9611C">
            <w:pPr>
              <w:widowControl/>
              <w:autoSpaceDE w:val="0"/>
              <w:autoSpaceDN w:val="0"/>
              <w:jc w:val="center"/>
              <w:rPr>
                <w:rFonts w:asciiTheme="minorHAnsi" w:hAnsiTheme="minorHAnsi" w:eastAsiaTheme="minorEastAsia" w:cstheme="minorBidi"/>
                <w:bCs/>
                <w:color w:val="000000"/>
                <w:kern w:val="0"/>
                <w:sz w:val="21"/>
                <w:szCs w:val="21"/>
                <w:lang w:eastAsia="en-US"/>
              </w:rPr>
            </w:pPr>
            <w:r>
              <w:rPr>
                <w:rFonts w:asciiTheme="minorHAnsi" w:hAnsiTheme="minorHAnsi" w:eastAsiaTheme="minorEastAsia" w:cstheme="minorBidi"/>
                <w:bCs/>
                <w:color w:val="000000"/>
                <w:kern w:val="0"/>
                <w:sz w:val="21"/>
                <w:szCs w:val="21"/>
                <w:lang w:eastAsia="en-US"/>
              </w:rPr>
              <w:t>0.2</w:t>
            </w:r>
            <w:r>
              <w:rPr>
                <w:rFonts w:asciiTheme="minorHAnsi" w:hAnsiTheme="minorEastAsia" w:eastAsiaTheme="minorEastAsia" w:cstheme="minorBidi"/>
                <w:bCs/>
                <w:color w:val="000000"/>
                <w:kern w:val="0"/>
                <w:sz w:val="21"/>
                <w:szCs w:val="21"/>
                <w:lang w:eastAsia="en-US"/>
              </w:rPr>
              <w:t>级</w:t>
            </w:r>
          </w:p>
        </w:tc>
        <w:tc>
          <w:tcPr>
            <w:tcW w:w="3072" w:type="pct"/>
            <w:vAlign w:val="center"/>
          </w:tcPr>
          <w:p w14:paraId="75DDE344">
            <w:pPr>
              <w:widowControl/>
              <w:autoSpaceDE w:val="0"/>
              <w:autoSpaceDN w:val="0"/>
              <w:jc w:val="center"/>
              <w:rPr>
                <w:rFonts w:asciiTheme="minorHAnsi" w:hAnsiTheme="minorHAnsi" w:eastAsiaTheme="minorEastAsia" w:cstheme="minorBidi"/>
                <w:bCs/>
                <w:color w:val="000000"/>
                <w:kern w:val="0"/>
                <w:sz w:val="21"/>
                <w:szCs w:val="21"/>
                <w:lang w:eastAsia="en-US"/>
              </w:rPr>
            </w:pPr>
            <w:r>
              <w:rPr>
                <w:rFonts w:asciiTheme="minorHAnsi" w:hAnsiTheme="minorHAnsi" w:eastAsiaTheme="minorEastAsia" w:cstheme="minorBidi"/>
                <w:bCs/>
                <w:color w:val="000000"/>
                <w:kern w:val="0"/>
                <w:sz w:val="21"/>
                <w:szCs w:val="21"/>
                <w:lang w:eastAsia="en-US"/>
              </w:rPr>
              <w:t>2000</w:t>
            </w:r>
          </w:p>
        </w:tc>
      </w:tr>
      <w:tr w14:paraId="0909D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jc w:val="center"/>
        </w:trPr>
        <w:tc>
          <w:tcPr>
            <w:tcW w:w="1928" w:type="pct"/>
            <w:vAlign w:val="center"/>
          </w:tcPr>
          <w:p w14:paraId="3D711645">
            <w:pPr>
              <w:widowControl/>
              <w:autoSpaceDE w:val="0"/>
              <w:autoSpaceDN w:val="0"/>
              <w:jc w:val="center"/>
              <w:rPr>
                <w:rFonts w:asciiTheme="minorHAnsi" w:hAnsiTheme="minorHAnsi" w:eastAsiaTheme="minorEastAsia" w:cstheme="minorBidi"/>
                <w:bCs/>
                <w:color w:val="000000"/>
                <w:kern w:val="0"/>
                <w:sz w:val="21"/>
                <w:szCs w:val="21"/>
                <w:lang w:eastAsia="en-US"/>
              </w:rPr>
            </w:pPr>
            <w:r>
              <w:rPr>
                <w:rFonts w:asciiTheme="minorHAnsi" w:hAnsiTheme="minorHAnsi" w:eastAsiaTheme="minorEastAsia" w:cstheme="minorBidi"/>
                <w:bCs/>
                <w:color w:val="000000"/>
                <w:kern w:val="0"/>
                <w:sz w:val="21"/>
                <w:szCs w:val="21"/>
                <w:lang w:eastAsia="en-US"/>
              </w:rPr>
              <w:t>0.5</w:t>
            </w:r>
            <w:r>
              <w:rPr>
                <w:rFonts w:asciiTheme="minorHAnsi" w:hAnsiTheme="minorEastAsia" w:eastAsiaTheme="minorEastAsia" w:cstheme="minorBidi"/>
                <w:bCs/>
                <w:color w:val="000000"/>
                <w:kern w:val="0"/>
                <w:sz w:val="21"/>
                <w:szCs w:val="21"/>
                <w:lang w:eastAsia="en-US"/>
              </w:rPr>
              <w:t>级</w:t>
            </w:r>
          </w:p>
        </w:tc>
        <w:tc>
          <w:tcPr>
            <w:tcW w:w="3072" w:type="pct"/>
            <w:vAlign w:val="center"/>
          </w:tcPr>
          <w:p w14:paraId="77A8CCA1">
            <w:pPr>
              <w:widowControl/>
              <w:autoSpaceDE w:val="0"/>
              <w:autoSpaceDN w:val="0"/>
              <w:jc w:val="center"/>
              <w:rPr>
                <w:rFonts w:asciiTheme="minorHAnsi" w:hAnsiTheme="minorHAnsi" w:eastAsiaTheme="minorEastAsia" w:cstheme="minorBidi"/>
                <w:bCs/>
                <w:color w:val="000000"/>
                <w:kern w:val="0"/>
                <w:sz w:val="21"/>
                <w:szCs w:val="21"/>
                <w:lang w:eastAsia="en-US"/>
              </w:rPr>
            </w:pPr>
            <w:r>
              <w:rPr>
                <w:rFonts w:asciiTheme="minorHAnsi" w:hAnsiTheme="minorHAnsi" w:eastAsiaTheme="minorEastAsia" w:cstheme="minorBidi"/>
                <w:bCs/>
                <w:color w:val="000000"/>
                <w:kern w:val="0"/>
                <w:sz w:val="21"/>
                <w:szCs w:val="21"/>
                <w:lang w:eastAsia="en-US"/>
              </w:rPr>
              <w:t>800</w:t>
            </w:r>
          </w:p>
        </w:tc>
      </w:tr>
      <w:tr w14:paraId="75FF3A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jc w:val="center"/>
        </w:trPr>
        <w:tc>
          <w:tcPr>
            <w:tcW w:w="1928" w:type="pct"/>
            <w:vAlign w:val="center"/>
          </w:tcPr>
          <w:p w14:paraId="46B66804">
            <w:pPr>
              <w:widowControl/>
              <w:autoSpaceDE w:val="0"/>
              <w:autoSpaceDN w:val="0"/>
              <w:jc w:val="center"/>
              <w:rPr>
                <w:rFonts w:asciiTheme="minorHAnsi" w:hAnsiTheme="minorHAnsi" w:eastAsiaTheme="minorEastAsia" w:cstheme="minorBidi"/>
                <w:bCs/>
                <w:color w:val="000000"/>
                <w:kern w:val="0"/>
                <w:sz w:val="21"/>
                <w:szCs w:val="21"/>
                <w:lang w:eastAsia="en-US"/>
              </w:rPr>
            </w:pPr>
            <w:r>
              <w:rPr>
                <w:rFonts w:asciiTheme="minorHAnsi" w:hAnsiTheme="minorHAnsi" w:eastAsiaTheme="minorEastAsia" w:cstheme="minorBidi"/>
                <w:bCs/>
                <w:color w:val="000000"/>
                <w:kern w:val="0"/>
                <w:sz w:val="21"/>
                <w:szCs w:val="21"/>
                <w:lang w:eastAsia="en-US"/>
              </w:rPr>
              <w:t>1</w:t>
            </w:r>
            <w:r>
              <w:rPr>
                <w:rFonts w:asciiTheme="minorHAnsi" w:hAnsiTheme="minorEastAsia" w:eastAsiaTheme="minorEastAsia" w:cstheme="minorBidi"/>
                <w:bCs/>
                <w:color w:val="000000"/>
                <w:kern w:val="0"/>
                <w:sz w:val="21"/>
                <w:szCs w:val="21"/>
                <w:lang w:eastAsia="en-US"/>
              </w:rPr>
              <w:t>级</w:t>
            </w:r>
          </w:p>
        </w:tc>
        <w:tc>
          <w:tcPr>
            <w:tcW w:w="3072" w:type="pct"/>
            <w:vAlign w:val="center"/>
          </w:tcPr>
          <w:p w14:paraId="0D5DDA11">
            <w:pPr>
              <w:widowControl/>
              <w:autoSpaceDE w:val="0"/>
              <w:autoSpaceDN w:val="0"/>
              <w:jc w:val="center"/>
              <w:rPr>
                <w:rFonts w:asciiTheme="minorHAnsi" w:hAnsiTheme="minorHAnsi" w:eastAsiaTheme="minorEastAsia" w:cstheme="minorBidi"/>
                <w:bCs/>
                <w:color w:val="000000"/>
                <w:kern w:val="0"/>
                <w:sz w:val="21"/>
                <w:szCs w:val="21"/>
                <w:lang w:eastAsia="en-US"/>
              </w:rPr>
            </w:pPr>
            <w:r>
              <w:rPr>
                <w:rFonts w:asciiTheme="minorHAnsi" w:hAnsiTheme="minorHAnsi" w:eastAsiaTheme="minorEastAsia" w:cstheme="minorBidi"/>
                <w:bCs/>
                <w:color w:val="000000"/>
                <w:kern w:val="0"/>
                <w:sz w:val="21"/>
                <w:szCs w:val="21"/>
                <w:lang w:eastAsia="en-US"/>
              </w:rPr>
              <w:t>400</w:t>
            </w:r>
          </w:p>
        </w:tc>
      </w:tr>
      <w:tr w14:paraId="0DAF70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jc w:val="center"/>
        </w:trPr>
        <w:tc>
          <w:tcPr>
            <w:tcW w:w="1928" w:type="pct"/>
            <w:vAlign w:val="center"/>
          </w:tcPr>
          <w:p w14:paraId="4D19FA1F">
            <w:pPr>
              <w:widowControl/>
              <w:autoSpaceDE w:val="0"/>
              <w:autoSpaceDN w:val="0"/>
              <w:jc w:val="center"/>
              <w:rPr>
                <w:rFonts w:asciiTheme="minorHAnsi" w:hAnsiTheme="minorHAnsi" w:eastAsiaTheme="minorEastAsia" w:cstheme="minorBidi"/>
                <w:bCs/>
                <w:color w:val="000000"/>
                <w:kern w:val="0"/>
                <w:sz w:val="21"/>
                <w:szCs w:val="21"/>
                <w:lang w:eastAsia="en-US"/>
              </w:rPr>
            </w:pPr>
            <w:r>
              <w:rPr>
                <w:rFonts w:asciiTheme="minorHAnsi" w:hAnsiTheme="minorHAnsi" w:eastAsiaTheme="minorEastAsia" w:cstheme="minorBidi"/>
                <w:bCs/>
                <w:color w:val="000000"/>
                <w:kern w:val="0"/>
                <w:sz w:val="21"/>
                <w:szCs w:val="21"/>
                <w:lang w:eastAsia="en-US"/>
              </w:rPr>
              <w:t>2</w:t>
            </w:r>
            <w:r>
              <w:rPr>
                <w:rFonts w:asciiTheme="minorHAnsi" w:hAnsiTheme="minorEastAsia" w:eastAsiaTheme="minorEastAsia" w:cstheme="minorBidi"/>
                <w:bCs/>
                <w:color w:val="000000"/>
                <w:kern w:val="0"/>
                <w:sz w:val="21"/>
                <w:szCs w:val="21"/>
                <w:lang w:eastAsia="en-US"/>
              </w:rPr>
              <w:t>级</w:t>
            </w:r>
          </w:p>
        </w:tc>
        <w:tc>
          <w:tcPr>
            <w:tcW w:w="3072" w:type="pct"/>
            <w:vAlign w:val="center"/>
          </w:tcPr>
          <w:p w14:paraId="565A7CDA">
            <w:pPr>
              <w:widowControl/>
              <w:autoSpaceDE w:val="0"/>
              <w:autoSpaceDN w:val="0"/>
              <w:jc w:val="center"/>
              <w:rPr>
                <w:rFonts w:asciiTheme="minorHAnsi" w:hAnsiTheme="minorHAnsi" w:eastAsiaTheme="minorEastAsia" w:cstheme="minorBidi"/>
                <w:bCs/>
                <w:color w:val="000000"/>
                <w:kern w:val="0"/>
                <w:sz w:val="21"/>
                <w:szCs w:val="21"/>
                <w:lang w:eastAsia="en-US"/>
              </w:rPr>
            </w:pPr>
            <w:r>
              <w:rPr>
                <w:rFonts w:asciiTheme="minorHAnsi" w:hAnsiTheme="minorHAnsi" w:eastAsiaTheme="minorEastAsia" w:cstheme="minorBidi"/>
                <w:bCs/>
                <w:color w:val="000000"/>
                <w:kern w:val="0"/>
                <w:sz w:val="21"/>
                <w:szCs w:val="21"/>
                <w:lang w:eastAsia="en-US"/>
              </w:rPr>
              <w:t>200</w:t>
            </w:r>
          </w:p>
        </w:tc>
      </w:tr>
    </w:tbl>
    <w:p w14:paraId="2CD2027C">
      <w:pPr>
        <w:pStyle w:val="3"/>
        <w:keepNext w:val="0"/>
        <w:snapToGrid w:val="0"/>
        <w:spacing w:beforeLines="50" w:line="360" w:lineRule="auto"/>
        <w:ind w:firstLine="0" w:firstLineChars="0"/>
        <w:jc w:val="left"/>
        <w:rPr>
          <w:rFonts w:ascii="Times New Roman"/>
          <w:color w:val="auto"/>
          <w:sz w:val="24"/>
        </w:rPr>
      </w:pPr>
      <w:bookmarkStart w:id="24" w:name="_Toc5534"/>
      <w:bookmarkStart w:id="25" w:name="_Toc536453897"/>
      <w:bookmarkStart w:id="26" w:name="_Toc465926396"/>
      <w:r>
        <w:rPr>
          <w:rFonts w:ascii="Times New Roman" w:eastAsiaTheme="minorEastAsia"/>
          <w:color w:val="auto"/>
          <w:sz w:val="24"/>
        </w:rPr>
        <w:t>5.</w:t>
      </w:r>
      <w:r>
        <w:rPr>
          <w:rFonts w:hint="eastAsia" w:ascii="Times New Roman" w:eastAsiaTheme="minorEastAsia"/>
          <w:color w:val="auto"/>
          <w:sz w:val="24"/>
          <w:lang w:val="en-US" w:eastAsia="zh-CN"/>
        </w:rPr>
        <w:t>4</w:t>
      </w:r>
      <w:r>
        <w:rPr>
          <w:rFonts w:hint="eastAsia" w:ascii="Times New Roman" w:eastAsiaTheme="minorEastAsia"/>
          <w:color w:val="auto"/>
          <w:sz w:val="24"/>
        </w:rPr>
        <w:t xml:space="preserve"> </w:t>
      </w:r>
      <w:r>
        <w:rPr>
          <w:rFonts w:hint="eastAsia" w:ascii="Times New Roman" w:hAnsi="宋体"/>
          <w:color w:val="auto"/>
          <w:sz w:val="24"/>
        </w:rPr>
        <w:t>零点核查</w:t>
      </w:r>
    </w:p>
    <w:p w14:paraId="35329266">
      <w:pPr>
        <w:spacing w:beforeLines="25" w:line="360" w:lineRule="auto"/>
        <w:jc w:val="left"/>
        <w:outlineLvl w:val="1"/>
        <w:rPr>
          <w:sz w:val="24"/>
        </w:rPr>
      </w:pPr>
      <w:r>
        <w:rPr>
          <w:rFonts w:hint="eastAsia"/>
          <w:sz w:val="24"/>
          <w:lang w:val="en-US" w:eastAsia="zh-CN"/>
        </w:rPr>
        <w:t>5</w:t>
      </w:r>
      <w:r>
        <w:rPr>
          <w:rFonts w:hint="eastAsia"/>
          <w:sz w:val="24"/>
        </w:rPr>
        <w:t>.</w:t>
      </w:r>
      <w:r>
        <w:rPr>
          <w:rFonts w:hint="eastAsia"/>
          <w:sz w:val="24"/>
          <w:lang w:val="en-US" w:eastAsia="zh-CN"/>
        </w:rPr>
        <w:t>4</w:t>
      </w:r>
      <w:r>
        <w:rPr>
          <w:rFonts w:hint="eastAsia"/>
          <w:sz w:val="24"/>
        </w:rPr>
        <w:t>.1 零点的累计误差</w:t>
      </w:r>
    </w:p>
    <w:p w14:paraId="1A16721E">
      <w:pPr>
        <w:spacing w:line="360" w:lineRule="auto"/>
        <w:ind w:firstLine="480" w:firstLineChars="200"/>
        <w:rPr>
          <w:rFonts w:hAnsi="宋体"/>
          <w:bCs/>
          <w:color w:val="000000"/>
          <w:sz w:val="24"/>
        </w:rPr>
      </w:pPr>
      <w:r>
        <w:rPr>
          <w:rFonts w:hint="eastAsia" w:hAnsi="宋体"/>
          <w:bCs/>
          <w:color w:val="000000"/>
          <w:sz w:val="24"/>
        </w:rPr>
        <w:t>零点的累计误差（用于置零的指示装置上显示的零点偏差）应不超过下面规定的核查状态最大流量下累计载荷的百分数：</w:t>
      </w:r>
    </w:p>
    <w:p w14:paraId="0ADF2473">
      <w:pPr>
        <w:spacing w:line="360" w:lineRule="auto"/>
        <w:ind w:firstLine="480" w:firstLineChars="200"/>
        <w:rPr>
          <w:rFonts w:hint="eastAsia" w:eastAsia="宋体"/>
          <w:bCs/>
          <w:color w:val="000000"/>
          <w:sz w:val="24"/>
          <w:lang w:eastAsia="zh-CN"/>
        </w:rPr>
      </w:pPr>
      <w:r>
        <w:rPr>
          <w:bCs/>
          <w:color w:val="000000"/>
          <w:sz w:val="24"/>
        </w:rPr>
        <w:t>——对于0.2级皮带秤，为0.02%</w:t>
      </w:r>
      <w:r>
        <w:rPr>
          <w:rFonts w:hint="eastAsia"/>
          <w:bCs/>
          <w:color w:val="000000"/>
          <w:sz w:val="24"/>
          <w:lang w:eastAsia="zh-CN"/>
        </w:rPr>
        <w:t>；</w:t>
      </w:r>
    </w:p>
    <w:p w14:paraId="5CF19DBC">
      <w:pPr>
        <w:spacing w:line="360" w:lineRule="auto"/>
        <w:ind w:firstLine="480" w:firstLineChars="200"/>
        <w:rPr>
          <w:rFonts w:hint="eastAsia" w:eastAsia="宋体"/>
          <w:bCs/>
          <w:color w:val="000000"/>
          <w:sz w:val="24"/>
          <w:lang w:eastAsia="zh-CN"/>
        </w:rPr>
      </w:pPr>
      <w:r>
        <w:rPr>
          <w:bCs/>
          <w:color w:val="000000"/>
          <w:sz w:val="24"/>
        </w:rPr>
        <w:t>——对于0.5级皮带秤，为0.05%</w:t>
      </w:r>
      <w:r>
        <w:rPr>
          <w:rFonts w:hint="eastAsia"/>
          <w:bCs/>
          <w:color w:val="000000"/>
          <w:sz w:val="24"/>
          <w:lang w:eastAsia="zh-CN"/>
        </w:rPr>
        <w:t>；</w:t>
      </w:r>
    </w:p>
    <w:p w14:paraId="2DCD466B">
      <w:pPr>
        <w:spacing w:line="360" w:lineRule="auto"/>
        <w:ind w:firstLine="480" w:firstLineChars="200"/>
        <w:rPr>
          <w:rFonts w:hint="eastAsia" w:eastAsia="宋体"/>
          <w:bCs/>
          <w:color w:val="000000"/>
          <w:sz w:val="24"/>
          <w:lang w:eastAsia="zh-CN"/>
        </w:rPr>
      </w:pPr>
      <w:r>
        <w:rPr>
          <w:bCs/>
          <w:color w:val="000000"/>
          <w:sz w:val="24"/>
        </w:rPr>
        <w:t>——对于1级皮带秤，为0.1%</w:t>
      </w:r>
      <w:r>
        <w:rPr>
          <w:rFonts w:hint="eastAsia"/>
          <w:bCs/>
          <w:color w:val="000000"/>
          <w:sz w:val="24"/>
          <w:lang w:eastAsia="zh-CN"/>
        </w:rPr>
        <w:t>；</w:t>
      </w:r>
    </w:p>
    <w:p w14:paraId="5D8475CE">
      <w:pPr>
        <w:spacing w:line="360" w:lineRule="auto"/>
        <w:ind w:firstLine="480" w:firstLineChars="200"/>
        <w:rPr>
          <w:rFonts w:hAnsi="宋体"/>
          <w:bCs/>
          <w:color w:val="000000"/>
          <w:sz w:val="24"/>
        </w:rPr>
      </w:pPr>
      <w:r>
        <w:rPr>
          <w:bCs/>
          <w:color w:val="000000"/>
          <w:sz w:val="24"/>
        </w:rPr>
        <w:t>——对于2级皮带秤，为0.2%。</w:t>
      </w:r>
    </w:p>
    <w:p w14:paraId="202B9D76">
      <w:pPr>
        <w:spacing w:beforeLines="25" w:line="360" w:lineRule="auto"/>
        <w:jc w:val="left"/>
        <w:outlineLvl w:val="1"/>
        <w:rPr>
          <w:sz w:val="24"/>
        </w:rPr>
      </w:pPr>
      <w:r>
        <w:rPr>
          <w:rFonts w:hint="eastAsia"/>
          <w:sz w:val="24"/>
          <w:lang w:val="en-US" w:eastAsia="zh-CN"/>
        </w:rPr>
        <w:t>5</w:t>
      </w:r>
      <w:r>
        <w:rPr>
          <w:rFonts w:hint="eastAsia"/>
          <w:sz w:val="24"/>
        </w:rPr>
        <w:t>.</w:t>
      </w:r>
      <w:r>
        <w:rPr>
          <w:rFonts w:hint="eastAsia"/>
          <w:sz w:val="24"/>
          <w:lang w:val="en-US" w:eastAsia="zh-CN"/>
        </w:rPr>
        <w:t>4</w:t>
      </w:r>
      <w:r>
        <w:rPr>
          <w:rFonts w:hint="eastAsia"/>
          <w:sz w:val="24"/>
        </w:rPr>
        <w:t>.</w:t>
      </w:r>
      <w:r>
        <w:rPr>
          <w:rFonts w:hint="eastAsia" w:ascii="Times New Roman" w:hAnsi="Times New Roman" w:cs="Times New Roman" w:eastAsiaTheme="minorEastAsia"/>
          <w:color w:val="auto"/>
          <w:kern w:val="2"/>
          <w:sz w:val="24"/>
          <w:szCs w:val="24"/>
          <w:lang w:val="en-US" w:eastAsia="zh-CN" w:bidi="ar-SA"/>
        </w:rPr>
        <w:t>2 零载荷的最大偏差</w:t>
      </w:r>
    </w:p>
    <w:p w14:paraId="74BA45B5">
      <w:pPr>
        <w:spacing w:line="360" w:lineRule="auto"/>
        <w:ind w:firstLine="480" w:firstLineChars="200"/>
        <w:rPr>
          <w:rFonts w:eastAsiaTheme="minorEastAsia"/>
          <w:bCs/>
          <w:color w:val="000000"/>
          <w:sz w:val="24"/>
        </w:rPr>
      </w:pPr>
      <w:r>
        <w:rPr>
          <w:rFonts w:hAnsiTheme="minorEastAsia" w:eastAsiaTheme="minorEastAsia"/>
          <w:bCs/>
          <w:color w:val="000000"/>
          <w:sz w:val="24"/>
        </w:rPr>
        <w:t>累计显示器的示值与初始显示值的偏差应不超过最大流量下累计载荷的下列百分数：</w:t>
      </w:r>
    </w:p>
    <w:p w14:paraId="1BD5B22E">
      <w:pPr>
        <w:spacing w:line="360" w:lineRule="auto"/>
        <w:ind w:firstLine="480" w:firstLineChars="200"/>
        <w:rPr>
          <w:rFonts w:hint="eastAsia" w:eastAsiaTheme="minorEastAsia"/>
          <w:bCs/>
          <w:color w:val="000000"/>
          <w:sz w:val="24"/>
          <w:lang w:eastAsia="zh-CN"/>
        </w:rPr>
      </w:pPr>
      <w:r>
        <w:rPr>
          <w:rFonts w:eastAsiaTheme="minorEastAsia"/>
          <w:bCs/>
          <w:color w:val="000000"/>
          <w:sz w:val="24"/>
        </w:rPr>
        <w:t>——</w:t>
      </w:r>
      <w:r>
        <w:rPr>
          <w:rFonts w:hAnsiTheme="minorEastAsia" w:eastAsiaTheme="minorEastAsia"/>
          <w:bCs/>
          <w:color w:val="000000"/>
          <w:sz w:val="24"/>
        </w:rPr>
        <w:t>对于</w:t>
      </w:r>
      <w:r>
        <w:rPr>
          <w:rFonts w:eastAsiaTheme="minorEastAsia"/>
          <w:bCs/>
          <w:color w:val="000000"/>
          <w:sz w:val="24"/>
        </w:rPr>
        <w:t>0.2</w:t>
      </w:r>
      <w:r>
        <w:rPr>
          <w:rFonts w:hAnsiTheme="minorEastAsia" w:eastAsiaTheme="minorEastAsia"/>
          <w:bCs/>
          <w:color w:val="000000"/>
          <w:sz w:val="24"/>
        </w:rPr>
        <w:t>级皮带秤，为</w:t>
      </w:r>
      <w:r>
        <w:rPr>
          <w:rFonts w:eastAsiaTheme="minorEastAsia"/>
          <w:bCs/>
          <w:color w:val="000000"/>
          <w:sz w:val="24"/>
        </w:rPr>
        <w:t>0.07%</w:t>
      </w:r>
      <w:r>
        <w:rPr>
          <w:rFonts w:hint="eastAsia" w:eastAsiaTheme="minorEastAsia"/>
          <w:bCs/>
          <w:color w:val="000000"/>
          <w:sz w:val="24"/>
          <w:lang w:eastAsia="zh-CN"/>
        </w:rPr>
        <w:t>；</w:t>
      </w:r>
    </w:p>
    <w:p w14:paraId="2C745C38">
      <w:pPr>
        <w:spacing w:line="360" w:lineRule="auto"/>
        <w:ind w:firstLine="480" w:firstLineChars="200"/>
        <w:rPr>
          <w:rFonts w:hint="eastAsia" w:eastAsiaTheme="minorEastAsia"/>
          <w:bCs/>
          <w:color w:val="000000"/>
          <w:sz w:val="24"/>
          <w:lang w:eastAsia="zh-CN"/>
        </w:rPr>
      </w:pPr>
      <w:r>
        <w:rPr>
          <w:rFonts w:eastAsiaTheme="minorEastAsia"/>
          <w:bCs/>
          <w:color w:val="000000"/>
          <w:sz w:val="24"/>
        </w:rPr>
        <w:t>——</w:t>
      </w:r>
      <w:r>
        <w:rPr>
          <w:rFonts w:hAnsiTheme="minorEastAsia" w:eastAsiaTheme="minorEastAsia"/>
          <w:bCs/>
          <w:color w:val="000000"/>
          <w:sz w:val="24"/>
        </w:rPr>
        <w:t>对于</w:t>
      </w:r>
      <w:r>
        <w:rPr>
          <w:rFonts w:eastAsiaTheme="minorEastAsia"/>
          <w:bCs/>
          <w:color w:val="000000"/>
          <w:sz w:val="24"/>
        </w:rPr>
        <w:t>0.5</w:t>
      </w:r>
      <w:r>
        <w:rPr>
          <w:rFonts w:hAnsiTheme="minorEastAsia" w:eastAsiaTheme="minorEastAsia"/>
          <w:bCs/>
          <w:color w:val="000000"/>
          <w:sz w:val="24"/>
        </w:rPr>
        <w:t>级皮带秤，为</w:t>
      </w:r>
      <w:r>
        <w:rPr>
          <w:rFonts w:eastAsiaTheme="minorEastAsia"/>
          <w:bCs/>
          <w:color w:val="000000"/>
          <w:sz w:val="24"/>
        </w:rPr>
        <w:t>0.18%</w:t>
      </w:r>
      <w:r>
        <w:rPr>
          <w:rFonts w:hint="eastAsia" w:eastAsiaTheme="minorEastAsia"/>
          <w:bCs/>
          <w:color w:val="000000"/>
          <w:sz w:val="24"/>
          <w:lang w:eastAsia="zh-CN"/>
        </w:rPr>
        <w:t>；</w:t>
      </w:r>
    </w:p>
    <w:p w14:paraId="6A6019B3">
      <w:pPr>
        <w:spacing w:line="360" w:lineRule="auto"/>
        <w:ind w:firstLine="480" w:firstLineChars="200"/>
        <w:rPr>
          <w:rFonts w:hint="eastAsia" w:eastAsiaTheme="minorEastAsia"/>
          <w:bCs/>
          <w:color w:val="000000"/>
          <w:sz w:val="24"/>
          <w:lang w:eastAsia="zh-CN"/>
        </w:rPr>
      </w:pPr>
      <w:r>
        <w:rPr>
          <w:rFonts w:eastAsiaTheme="minorEastAsia"/>
          <w:bCs/>
          <w:color w:val="000000"/>
          <w:sz w:val="24"/>
        </w:rPr>
        <w:t>——</w:t>
      </w:r>
      <w:r>
        <w:rPr>
          <w:rFonts w:hAnsiTheme="minorEastAsia" w:eastAsiaTheme="minorEastAsia"/>
          <w:bCs/>
          <w:color w:val="000000"/>
          <w:sz w:val="24"/>
        </w:rPr>
        <w:t>对于</w:t>
      </w:r>
      <w:r>
        <w:rPr>
          <w:rFonts w:eastAsiaTheme="minorEastAsia"/>
          <w:bCs/>
          <w:color w:val="000000"/>
          <w:sz w:val="24"/>
        </w:rPr>
        <w:t>1</w:t>
      </w:r>
      <w:r>
        <w:rPr>
          <w:rFonts w:hAnsiTheme="minorEastAsia" w:eastAsiaTheme="minorEastAsia"/>
          <w:bCs/>
          <w:color w:val="000000"/>
          <w:sz w:val="24"/>
        </w:rPr>
        <w:t>级皮带秤，为</w:t>
      </w:r>
      <w:r>
        <w:rPr>
          <w:rFonts w:eastAsiaTheme="minorEastAsia"/>
          <w:bCs/>
          <w:color w:val="000000"/>
          <w:sz w:val="24"/>
        </w:rPr>
        <w:t>0.35%</w:t>
      </w:r>
      <w:r>
        <w:rPr>
          <w:rFonts w:hint="eastAsia" w:eastAsiaTheme="minorEastAsia"/>
          <w:bCs/>
          <w:color w:val="000000"/>
          <w:sz w:val="24"/>
          <w:lang w:eastAsia="zh-CN"/>
        </w:rPr>
        <w:t>；</w:t>
      </w:r>
    </w:p>
    <w:p w14:paraId="2F323C89">
      <w:pPr>
        <w:spacing w:line="360" w:lineRule="auto"/>
        <w:ind w:firstLine="480" w:firstLineChars="200"/>
        <w:rPr>
          <w:rFonts w:hAnsiTheme="minorEastAsia" w:eastAsiaTheme="minorEastAsia"/>
          <w:bCs/>
          <w:color w:val="000000"/>
          <w:sz w:val="24"/>
        </w:rPr>
      </w:pPr>
      <w:r>
        <w:rPr>
          <w:rFonts w:eastAsiaTheme="minorEastAsia"/>
          <w:bCs/>
          <w:color w:val="000000"/>
          <w:sz w:val="24"/>
        </w:rPr>
        <w:t>——</w:t>
      </w:r>
      <w:r>
        <w:rPr>
          <w:rFonts w:hAnsiTheme="minorEastAsia" w:eastAsiaTheme="minorEastAsia"/>
          <w:bCs/>
          <w:color w:val="000000"/>
          <w:sz w:val="24"/>
        </w:rPr>
        <w:t>对于</w:t>
      </w:r>
      <w:r>
        <w:rPr>
          <w:rFonts w:eastAsiaTheme="minorEastAsia"/>
          <w:bCs/>
          <w:color w:val="000000"/>
          <w:sz w:val="24"/>
        </w:rPr>
        <w:t>2</w:t>
      </w:r>
      <w:r>
        <w:rPr>
          <w:rFonts w:hAnsiTheme="minorEastAsia" w:eastAsiaTheme="minorEastAsia"/>
          <w:bCs/>
          <w:color w:val="000000"/>
          <w:sz w:val="24"/>
        </w:rPr>
        <w:t>级皮带秤，为</w:t>
      </w:r>
      <w:r>
        <w:rPr>
          <w:rFonts w:eastAsiaTheme="minorEastAsia"/>
          <w:bCs/>
          <w:color w:val="000000"/>
          <w:sz w:val="24"/>
        </w:rPr>
        <w:t>0.7%</w:t>
      </w:r>
      <w:r>
        <w:rPr>
          <w:rFonts w:hAnsiTheme="minorEastAsia" w:eastAsiaTheme="minorEastAsia"/>
          <w:bCs/>
          <w:color w:val="000000"/>
          <w:sz w:val="24"/>
        </w:rPr>
        <w:t>。</w:t>
      </w:r>
    </w:p>
    <w:p w14:paraId="6568C0A0">
      <w:pPr>
        <w:pStyle w:val="3"/>
        <w:keepNext w:val="0"/>
        <w:snapToGrid w:val="0"/>
        <w:spacing w:beforeLines="50" w:line="360" w:lineRule="auto"/>
        <w:ind w:firstLine="0" w:firstLineChars="0"/>
        <w:jc w:val="left"/>
        <w:rPr>
          <w:rFonts w:ascii="Times New Roman"/>
          <w:color w:val="auto"/>
          <w:sz w:val="24"/>
        </w:rPr>
      </w:pPr>
      <w:r>
        <w:rPr>
          <w:rFonts w:ascii="Times New Roman" w:eastAsiaTheme="minorEastAsia"/>
          <w:color w:val="auto"/>
          <w:sz w:val="24"/>
        </w:rPr>
        <w:t>5.</w:t>
      </w:r>
      <w:r>
        <w:rPr>
          <w:rFonts w:hint="eastAsia" w:ascii="Times New Roman" w:eastAsiaTheme="minorEastAsia"/>
          <w:color w:val="auto"/>
          <w:sz w:val="24"/>
          <w:lang w:val="en-US" w:eastAsia="zh-CN"/>
        </w:rPr>
        <w:t>5</w:t>
      </w:r>
      <w:r>
        <w:rPr>
          <w:rFonts w:hint="eastAsia" w:ascii="Times New Roman" w:eastAsiaTheme="minorEastAsia"/>
          <w:color w:val="auto"/>
          <w:sz w:val="24"/>
        </w:rPr>
        <w:t xml:space="preserve"> </w:t>
      </w:r>
      <w:r>
        <w:rPr>
          <w:rFonts w:hint="eastAsia" w:ascii="Times New Roman" w:hAnsi="宋体"/>
          <w:color w:val="auto"/>
          <w:sz w:val="24"/>
        </w:rPr>
        <w:t>模拟载荷试验参考值的重复性</w:t>
      </w:r>
    </w:p>
    <w:p w14:paraId="3E6B1C92">
      <w:pPr>
        <w:spacing w:line="360" w:lineRule="auto"/>
        <w:ind w:firstLine="480" w:firstLineChars="200"/>
        <w:rPr>
          <w:rFonts w:hAnsi="宋体"/>
          <w:bCs/>
          <w:color w:val="000000"/>
          <w:sz w:val="24"/>
        </w:rPr>
      </w:pPr>
      <w:r>
        <w:rPr>
          <w:rFonts w:hint="eastAsia" w:ascii="宋体" w:hAnsi="宋体"/>
          <w:sz w:val="24"/>
        </w:rPr>
        <w:t>模拟载荷试验</w:t>
      </w:r>
      <w:r>
        <w:rPr>
          <w:rFonts w:hint="eastAsia"/>
          <w:sz w:val="24"/>
        </w:rPr>
        <w:t>参考值</w:t>
      </w:r>
      <w:r>
        <w:rPr>
          <w:rFonts w:hint="eastAsia" w:ascii="宋体" w:hAnsi="宋体"/>
          <w:bCs/>
          <w:sz w:val="24"/>
        </w:rPr>
        <w:t>的</w:t>
      </w:r>
      <w:r>
        <w:rPr>
          <w:rFonts w:hint="eastAsia" w:ascii="宋体" w:hAnsi="宋体"/>
          <w:sz w:val="24"/>
        </w:rPr>
        <w:t>重复性应不超过以下的百分数：</w:t>
      </w:r>
    </w:p>
    <w:p w14:paraId="069014FF">
      <w:pPr>
        <w:spacing w:line="360" w:lineRule="auto"/>
        <w:ind w:firstLine="480" w:firstLineChars="200"/>
        <w:rPr>
          <w:rFonts w:hint="eastAsia" w:eastAsiaTheme="minorEastAsia"/>
          <w:bCs/>
          <w:color w:val="000000"/>
          <w:sz w:val="24"/>
          <w:lang w:eastAsia="zh-CN"/>
        </w:rPr>
      </w:pPr>
      <w:r>
        <w:rPr>
          <w:rFonts w:eastAsiaTheme="minorEastAsia"/>
          <w:bCs/>
          <w:color w:val="000000"/>
          <w:sz w:val="24"/>
        </w:rPr>
        <w:t>——</w:t>
      </w:r>
      <w:r>
        <w:rPr>
          <w:rFonts w:hAnsiTheme="minorEastAsia" w:eastAsiaTheme="minorEastAsia"/>
          <w:bCs/>
          <w:color w:val="000000"/>
          <w:sz w:val="24"/>
        </w:rPr>
        <w:t>对于</w:t>
      </w:r>
      <w:r>
        <w:rPr>
          <w:rFonts w:eastAsiaTheme="minorEastAsia"/>
          <w:bCs/>
          <w:color w:val="000000"/>
          <w:sz w:val="24"/>
        </w:rPr>
        <w:t>0.2</w:t>
      </w:r>
      <w:r>
        <w:rPr>
          <w:rFonts w:hAnsiTheme="minorEastAsia" w:eastAsiaTheme="minorEastAsia"/>
          <w:bCs/>
          <w:color w:val="000000"/>
          <w:sz w:val="24"/>
        </w:rPr>
        <w:t>级皮带秤，为</w:t>
      </w:r>
      <w:r>
        <w:rPr>
          <w:rFonts w:eastAsiaTheme="minorEastAsia"/>
          <w:bCs/>
          <w:color w:val="000000"/>
          <w:sz w:val="24"/>
        </w:rPr>
        <w:t>0.04%</w:t>
      </w:r>
      <w:r>
        <w:rPr>
          <w:rFonts w:hint="eastAsia" w:eastAsiaTheme="minorEastAsia"/>
          <w:bCs/>
          <w:color w:val="000000"/>
          <w:sz w:val="24"/>
          <w:lang w:eastAsia="zh-CN"/>
        </w:rPr>
        <w:t>；</w:t>
      </w:r>
    </w:p>
    <w:p w14:paraId="198A11D4">
      <w:pPr>
        <w:spacing w:line="360" w:lineRule="auto"/>
        <w:ind w:firstLine="480" w:firstLineChars="200"/>
        <w:rPr>
          <w:rFonts w:hint="eastAsia" w:eastAsiaTheme="minorEastAsia"/>
          <w:bCs/>
          <w:color w:val="000000"/>
          <w:sz w:val="24"/>
          <w:lang w:eastAsia="zh-CN"/>
        </w:rPr>
      </w:pPr>
      <w:r>
        <w:rPr>
          <w:rFonts w:eastAsiaTheme="minorEastAsia"/>
          <w:bCs/>
          <w:color w:val="000000"/>
          <w:sz w:val="24"/>
        </w:rPr>
        <w:t>——</w:t>
      </w:r>
      <w:r>
        <w:rPr>
          <w:rFonts w:hAnsiTheme="minorEastAsia" w:eastAsiaTheme="minorEastAsia"/>
          <w:bCs/>
          <w:color w:val="000000"/>
          <w:sz w:val="24"/>
        </w:rPr>
        <w:t>对于</w:t>
      </w:r>
      <w:r>
        <w:rPr>
          <w:rFonts w:eastAsiaTheme="minorEastAsia"/>
          <w:bCs/>
          <w:color w:val="000000"/>
          <w:sz w:val="24"/>
        </w:rPr>
        <w:t>0.5</w:t>
      </w:r>
      <w:r>
        <w:rPr>
          <w:rFonts w:hAnsiTheme="minorEastAsia" w:eastAsiaTheme="minorEastAsia"/>
          <w:bCs/>
          <w:color w:val="000000"/>
          <w:sz w:val="24"/>
        </w:rPr>
        <w:t>级皮带秤，为</w:t>
      </w:r>
      <w:r>
        <w:rPr>
          <w:rFonts w:eastAsiaTheme="minorEastAsia"/>
          <w:bCs/>
          <w:color w:val="000000"/>
          <w:sz w:val="24"/>
        </w:rPr>
        <w:t>0.1%</w:t>
      </w:r>
      <w:r>
        <w:rPr>
          <w:rFonts w:hint="eastAsia" w:eastAsiaTheme="minorEastAsia"/>
          <w:bCs/>
          <w:color w:val="000000"/>
          <w:sz w:val="24"/>
          <w:lang w:eastAsia="zh-CN"/>
        </w:rPr>
        <w:t>；</w:t>
      </w:r>
    </w:p>
    <w:p w14:paraId="354E588A">
      <w:pPr>
        <w:spacing w:line="360" w:lineRule="auto"/>
        <w:ind w:firstLine="480" w:firstLineChars="200"/>
        <w:rPr>
          <w:rFonts w:hint="eastAsia" w:eastAsiaTheme="minorEastAsia"/>
          <w:bCs/>
          <w:color w:val="000000"/>
          <w:sz w:val="24"/>
          <w:lang w:eastAsia="zh-CN"/>
        </w:rPr>
      </w:pPr>
      <w:r>
        <w:rPr>
          <w:rFonts w:eastAsiaTheme="minorEastAsia"/>
          <w:bCs/>
          <w:color w:val="000000"/>
          <w:sz w:val="24"/>
        </w:rPr>
        <w:t>——</w:t>
      </w:r>
      <w:r>
        <w:rPr>
          <w:rFonts w:hAnsiTheme="minorEastAsia" w:eastAsiaTheme="minorEastAsia"/>
          <w:bCs/>
          <w:color w:val="000000"/>
          <w:sz w:val="24"/>
        </w:rPr>
        <w:t>对于</w:t>
      </w:r>
      <w:r>
        <w:rPr>
          <w:rFonts w:eastAsiaTheme="minorEastAsia"/>
          <w:bCs/>
          <w:color w:val="000000"/>
          <w:sz w:val="24"/>
        </w:rPr>
        <w:t>1</w:t>
      </w:r>
      <w:r>
        <w:rPr>
          <w:rFonts w:hAnsiTheme="minorEastAsia" w:eastAsiaTheme="minorEastAsia"/>
          <w:bCs/>
          <w:color w:val="000000"/>
          <w:sz w:val="24"/>
        </w:rPr>
        <w:t>级皮带秤，为</w:t>
      </w:r>
      <w:r>
        <w:rPr>
          <w:rFonts w:eastAsiaTheme="minorEastAsia"/>
          <w:bCs/>
          <w:color w:val="000000"/>
          <w:sz w:val="24"/>
        </w:rPr>
        <w:t>0.2%</w:t>
      </w:r>
      <w:r>
        <w:rPr>
          <w:rFonts w:hint="eastAsia" w:eastAsiaTheme="minorEastAsia"/>
          <w:bCs/>
          <w:color w:val="000000"/>
          <w:sz w:val="24"/>
          <w:lang w:eastAsia="zh-CN"/>
        </w:rPr>
        <w:t>；</w:t>
      </w:r>
    </w:p>
    <w:p w14:paraId="6B6D93D2">
      <w:pPr>
        <w:spacing w:line="360" w:lineRule="auto"/>
        <w:ind w:firstLine="480" w:firstLineChars="200"/>
        <w:rPr>
          <w:rFonts w:hAnsiTheme="minorEastAsia" w:eastAsiaTheme="minorEastAsia"/>
          <w:bCs/>
          <w:color w:val="000000"/>
          <w:sz w:val="24"/>
        </w:rPr>
      </w:pPr>
      <w:r>
        <w:rPr>
          <w:rFonts w:eastAsiaTheme="minorEastAsia"/>
          <w:bCs/>
          <w:color w:val="000000"/>
          <w:sz w:val="24"/>
        </w:rPr>
        <w:t>——</w:t>
      </w:r>
      <w:r>
        <w:rPr>
          <w:rFonts w:hAnsiTheme="minorEastAsia" w:eastAsiaTheme="minorEastAsia"/>
          <w:bCs/>
          <w:color w:val="000000"/>
          <w:sz w:val="24"/>
        </w:rPr>
        <w:t>对于</w:t>
      </w:r>
      <w:r>
        <w:rPr>
          <w:rFonts w:eastAsiaTheme="minorEastAsia"/>
          <w:bCs/>
          <w:color w:val="000000"/>
          <w:sz w:val="24"/>
        </w:rPr>
        <w:t>2</w:t>
      </w:r>
      <w:r>
        <w:rPr>
          <w:rFonts w:hAnsiTheme="minorEastAsia" w:eastAsiaTheme="minorEastAsia"/>
          <w:bCs/>
          <w:color w:val="000000"/>
          <w:sz w:val="24"/>
        </w:rPr>
        <w:t>级皮带秤，为</w:t>
      </w:r>
      <w:r>
        <w:rPr>
          <w:rFonts w:eastAsiaTheme="minorEastAsia"/>
          <w:bCs/>
          <w:color w:val="000000"/>
          <w:sz w:val="24"/>
        </w:rPr>
        <w:t>0.4%</w:t>
      </w:r>
      <w:r>
        <w:rPr>
          <w:rFonts w:hAnsiTheme="minorEastAsia" w:eastAsiaTheme="minorEastAsia"/>
          <w:bCs/>
          <w:color w:val="000000"/>
          <w:sz w:val="24"/>
        </w:rPr>
        <w:t>。</w:t>
      </w:r>
    </w:p>
    <w:p w14:paraId="6B9FAA99">
      <w:pPr>
        <w:pStyle w:val="3"/>
        <w:keepNext w:val="0"/>
        <w:snapToGrid w:val="0"/>
        <w:spacing w:beforeLines="50" w:line="360" w:lineRule="auto"/>
        <w:ind w:firstLine="0" w:firstLineChars="0"/>
        <w:jc w:val="left"/>
        <w:rPr>
          <w:rFonts w:ascii="Times New Roman"/>
          <w:color w:val="auto"/>
          <w:sz w:val="24"/>
        </w:rPr>
      </w:pPr>
      <w:r>
        <w:rPr>
          <w:rFonts w:ascii="Times New Roman" w:eastAsiaTheme="minorEastAsia"/>
          <w:color w:val="auto"/>
          <w:sz w:val="24"/>
        </w:rPr>
        <w:t>5.</w:t>
      </w:r>
      <w:r>
        <w:rPr>
          <w:rFonts w:hint="eastAsia" w:ascii="Times New Roman" w:eastAsiaTheme="minorEastAsia"/>
          <w:color w:val="auto"/>
          <w:sz w:val="24"/>
          <w:lang w:val="en-US" w:eastAsia="zh-CN"/>
        </w:rPr>
        <w:t>6</w:t>
      </w:r>
      <w:r>
        <w:rPr>
          <w:rFonts w:hint="eastAsia" w:ascii="Times New Roman" w:eastAsiaTheme="minorEastAsia"/>
          <w:color w:val="auto"/>
          <w:sz w:val="24"/>
        </w:rPr>
        <w:t xml:space="preserve"> </w:t>
      </w:r>
      <w:r>
        <w:rPr>
          <w:rFonts w:hint="eastAsia" w:ascii="Times New Roman" w:hAnsi="宋体"/>
          <w:color w:val="auto"/>
          <w:sz w:val="24"/>
        </w:rPr>
        <w:t>基于物料校验参数修正的模拟载荷试验法相对误差</w:t>
      </w:r>
    </w:p>
    <w:p w14:paraId="0727104C">
      <w:pPr>
        <w:autoSpaceDE w:val="0"/>
        <w:autoSpaceDN w:val="0"/>
        <w:adjustRightInd w:val="0"/>
        <w:spacing w:line="360" w:lineRule="auto"/>
        <w:ind w:firstLine="480" w:firstLineChars="200"/>
        <w:rPr>
          <w:kern w:val="0"/>
          <w:sz w:val="24"/>
        </w:rPr>
      </w:pPr>
      <w:r>
        <w:rPr>
          <w:rFonts w:hint="eastAsia"/>
          <w:kern w:val="0"/>
          <w:sz w:val="24"/>
        </w:rPr>
        <w:t>对皮带秤进行</w:t>
      </w:r>
      <w:r>
        <w:rPr>
          <w:rFonts w:hint="eastAsia" w:hAnsi="宋体"/>
          <w:bCs/>
          <w:color w:val="000000"/>
          <w:sz w:val="24"/>
        </w:rPr>
        <w:t>模拟载荷</w:t>
      </w:r>
      <w:r>
        <w:rPr>
          <w:rFonts w:hint="eastAsia"/>
          <w:kern w:val="0"/>
          <w:sz w:val="24"/>
        </w:rPr>
        <w:t>试验</w:t>
      </w:r>
      <w:r>
        <w:rPr>
          <w:rFonts w:hint="eastAsia"/>
          <w:kern w:val="0"/>
          <w:sz w:val="24"/>
          <w:lang w:eastAsia="zh-CN"/>
        </w:rPr>
        <w:t>，</w:t>
      </w:r>
      <w:r>
        <w:rPr>
          <w:rFonts w:hint="eastAsia"/>
          <w:kern w:val="0"/>
          <w:sz w:val="24"/>
        </w:rPr>
        <w:t>若皮带秤的相对误差绝对值大于以下的百分数时</w:t>
      </w:r>
      <w:r>
        <w:rPr>
          <w:rFonts w:hint="eastAsia"/>
          <w:kern w:val="0"/>
          <w:sz w:val="24"/>
          <w:lang w:eastAsia="zh-CN"/>
        </w:rPr>
        <w:t>，</w:t>
      </w:r>
      <w:r>
        <w:rPr>
          <w:rFonts w:hint="eastAsia"/>
          <w:kern w:val="0"/>
          <w:sz w:val="24"/>
        </w:rPr>
        <w:t>应进行调整，调整后的皮带秤应由计量管理机构重新进行检定。</w:t>
      </w:r>
    </w:p>
    <w:p w14:paraId="5B4EC16C">
      <w:pPr>
        <w:autoSpaceDE w:val="0"/>
        <w:autoSpaceDN w:val="0"/>
        <w:adjustRightInd w:val="0"/>
        <w:spacing w:line="360" w:lineRule="auto"/>
        <w:ind w:firstLine="480" w:firstLineChars="200"/>
        <w:rPr>
          <w:kern w:val="0"/>
          <w:sz w:val="24"/>
        </w:rPr>
      </w:pPr>
      <w:r>
        <w:rPr>
          <w:rFonts w:hint="eastAsia"/>
          <w:kern w:val="0"/>
          <w:sz w:val="24"/>
        </w:rPr>
        <w:t>——对0.2级皮带秤为0.</w:t>
      </w:r>
      <w:r>
        <w:rPr>
          <w:kern w:val="0"/>
          <w:sz w:val="24"/>
        </w:rPr>
        <w:t>1</w:t>
      </w:r>
      <w:r>
        <w:rPr>
          <w:rFonts w:hint="eastAsia"/>
          <w:kern w:val="0"/>
          <w:sz w:val="24"/>
        </w:rPr>
        <w:t>%；</w:t>
      </w:r>
    </w:p>
    <w:p w14:paraId="6EB5A24F">
      <w:pPr>
        <w:autoSpaceDE w:val="0"/>
        <w:autoSpaceDN w:val="0"/>
        <w:adjustRightInd w:val="0"/>
        <w:spacing w:line="360" w:lineRule="auto"/>
        <w:ind w:firstLine="480" w:firstLineChars="200"/>
        <w:rPr>
          <w:kern w:val="0"/>
          <w:sz w:val="24"/>
        </w:rPr>
      </w:pPr>
      <w:r>
        <w:rPr>
          <w:rFonts w:hint="eastAsia"/>
          <w:kern w:val="0"/>
          <w:sz w:val="24"/>
        </w:rPr>
        <w:t>——对0.5级皮带秤为0.</w:t>
      </w:r>
      <w:r>
        <w:rPr>
          <w:kern w:val="0"/>
          <w:sz w:val="24"/>
        </w:rPr>
        <w:t>25</w:t>
      </w:r>
      <w:r>
        <w:rPr>
          <w:rFonts w:hint="eastAsia"/>
          <w:kern w:val="0"/>
          <w:sz w:val="24"/>
        </w:rPr>
        <w:t>%；</w:t>
      </w:r>
    </w:p>
    <w:p w14:paraId="3E3FBB57">
      <w:pPr>
        <w:autoSpaceDE w:val="0"/>
        <w:autoSpaceDN w:val="0"/>
        <w:adjustRightInd w:val="0"/>
        <w:spacing w:line="360" w:lineRule="auto"/>
        <w:ind w:firstLine="480" w:firstLineChars="200"/>
        <w:rPr>
          <w:kern w:val="0"/>
          <w:sz w:val="24"/>
        </w:rPr>
      </w:pPr>
      <w:r>
        <w:rPr>
          <w:rFonts w:hint="eastAsia"/>
          <w:kern w:val="0"/>
          <w:sz w:val="24"/>
        </w:rPr>
        <w:t>——对1级皮带秤为</w:t>
      </w:r>
      <w:r>
        <w:rPr>
          <w:kern w:val="0"/>
          <w:sz w:val="24"/>
        </w:rPr>
        <w:t>0.5</w:t>
      </w:r>
      <w:r>
        <w:rPr>
          <w:rFonts w:hint="eastAsia"/>
          <w:kern w:val="0"/>
          <w:sz w:val="24"/>
        </w:rPr>
        <w:t>%；</w:t>
      </w:r>
    </w:p>
    <w:p w14:paraId="2910A725">
      <w:pPr>
        <w:autoSpaceDE w:val="0"/>
        <w:autoSpaceDN w:val="0"/>
        <w:adjustRightInd w:val="0"/>
        <w:spacing w:line="360" w:lineRule="auto"/>
        <w:ind w:firstLine="480" w:firstLineChars="200"/>
        <w:rPr>
          <w:kern w:val="0"/>
          <w:sz w:val="24"/>
        </w:rPr>
      </w:pPr>
      <w:r>
        <w:rPr>
          <w:rFonts w:hint="eastAsia"/>
          <w:kern w:val="0"/>
          <w:sz w:val="24"/>
        </w:rPr>
        <w:t>——对2级皮带秤为</w:t>
      </w:r>
      <w:r>
        <w:rPr>
          <w:kern w:val="0"/>
          <w:sz w:val="24"/>
        </w:rPr>
        <w:t>1.0</w:t>
      </w:r>
      <w:r>
        <w:rPr>
          <w:rFonts w:hint="eastAsia"/>
          <w:kern w:val="0"/>
          <w:sz w:val="24"/>
        </w:rPr>
        <w:t>%。</w:t>
      </w:r>
    </w:p>
    <w:p w14:paraId="79D21063">
      <w:pPr>
        <w:pStyle w:val="2"/>
        <w:keepNext w:val="0"/>
        <w:numPr>
          <w:ilvl w:val="0"/>
          <w:numId w:val="1"/>
        </w:numPr>
        <w:snapToGrid w:val="0"/>
        <w:spacing w:beforeLines="100" w:afterLines="100"/>
        <w:ind w:left="485" w:hanging="484" w:hangingChars="202"/>
        <w:jc w:val="left"/>
        <w:rPr>
          <w:rFonts w:hAnsi="黑体" w:eastAsia="黑体"/>
          <w:sz w:val="24"/>
        </w:rPr>
      </w:pPr>
      <w:r>
        <w:rPr>
          <w:rFonts w:hint="eastAsia" w:hAnsi="黑体" w:eastAsia="黑体"/>
          <w:sz w:val="24"/>
        </w:rPr>
        <w:t>6</w:t>
      </w:r>
      <w:bookmarkEnd w:id="24"/>
      <w:r>
        <w:rPr>
          <w:rFonts w:hint="eastAsia" w:hAnsi="黑体" w:eastAsia="黑体"/>
          <w:sz w:val="24"/>
        </w:rPr>
        <w:t xml:space="preserve">  核查条件</w:t>
      </w:r>
    </w:p>
    <w:p w14:paraId="0C37EC3C">
      <w:pPr>
        <w:spacing w:beforeLines="25" w:line="360" w:lineRule="auto"/>
        <w:jc w:val="left"/>
        <w:outlineLvl w:val="1"/>
        <w:rPr>
          <w:rFonts w:ascii="宋体" w:hAnsi="宋体" w:cs="宋体"/>
          <w:sz w:val="24"/>
        </w:rPr>
      </w:pPr>
      <w:bookmarkStart w:id="27" w:name="_Toc7426661"/>
      <w:bookmarkStart w:id="28" w:name="_Toc28225"/>
      <w:bookmarkStart w:id="29" w:name="_Toc7436891"/>
      <w:r>
        <w:rPr>
          <w:rFonts w:hint="eastAsia"/>
          <w:sz w:val="24"/>
        </w:rPr>
        <w:t xml:space="preserve">6.1 </w:t>
      </w:r>
      <w:r>
        <w:rPr>
          <w:rFonts w:hint="eastAsia" w:ascii="宋体" w:hAnsi="宋体" w:cs="宋体"/>
          <w:sz w:val="24"/>
        </w:rPr>
        <w:t>环境条件</w:t>
      </w:r>
      <w:bookmarkEnd w:id="27"/>
      <w:bookmarkEnd w:id="28"/>
      <w:bookmarkEnd w:id="29"/>
    </w:p>
    <w:p w14:paraId="32B8B00D">
      <w:pPr>
        <w:spacing w:line="360" w:lineRule="auto"/>
        <w:ind w:right="420" w:firstLine="480" w:firstLineChars="200"/>
        <w:rPr>
          <w:sz w:val="24"/>
        </w:rPr>
      </w:pPr>
      <w:r>
        <w:rPr>
          <w:rFonts w:hint="eastAsia" w:hAnsi="宋体"/>
          <w:sz w:val="24"/>
        </w:rPr>
        <w:t>核查应在稳定的环境条件，并在皮带秤的额定条件下进行，特殊情况应另外说明。在核查前，输送机应以常速至少运行30 min。物料应妥善保存和运输以防缺失。在物料通过皮带秤之前或之后都可检查所使用物料的质量。</w:t>
      </w:r>
    </w:p>
    <w:p w14:paraId="68EC2DA1">
      <w:pPr>
        <w:spacing w:beforeLines="25" w:line="360" w:lineRule="auto"/>
        <w:jc w:val="left"/>
        <w:outlineLvl w:val="1"/>
        <w:rPr>
          <w:sz w:val="24"/>
        </w:rPr>
      </w:pPr>
      <w:bookmarkStart w:id="30" w:name="_Toc7436892"/>
      <w:bookmarkStart w:id="31" w:name="_Toc5252"/>
      <w:r>
        <w:rPr>
          <w:rFonts w:hint="eastAsia"/>
          <w:sz w:val="24"/>
        </w:rPr>
        <w:t xml:space="preserve">6.2 </w:t>
      </w:r>
      <w:bookmarkEnd w:id="30"/>
      <w:bookmarkEnd w:id="31"/>
      <w:r>
        <w:rPr>
          <w:rFonts w:hint="eastAsia"/>
          <w:sz w:val="24"/>
        </w:rPr>
        <w:t>标准器及其他设备</w:t>
      </w:r>
    </w:p>
    <w:p w14:paraId="3AA48340">
      <w:pPr>
        <w:spacing w:line="360" w:lineRule="auto"/>
        <w:ind w:right="420" w:firstLine="480" w:firstLineChars="200"/>
        <w:rPr>
          <w:rFonts w:hAnsi="宋体"/>
          <w:sz w:val="24"/>
        </w:rPr>
      </w:pPr>
      <w:r>
        <w:rPr>
          <w:rFonts w:hint="eastAsia" w:hAnsi="宋体"/>
          <w:sz w:val="24"/>
        </w:rPr>
        <w:t>核查用的标准器包括控制衡器和模拟载荷装置，用来确定每次核查载荷质量的约定真值。</w:t>
      </w:r>
    </w:p>
    <w:p w14:paraId="11E2CC08">
      <w:pPr>
        <w:spacing w:beforeLines="25" w:line="360" w:lineRule="auto"/>
        <w:jc w:val="left"/>
        <w:outlineLvl w:val="1"/>
        <w:rPr>
          <w:sz w:val="24"/>
        </w:rPr>
      </w:pPr>
      <w:r>
        <w:rPr>
          <w:rFonts w:hint="eastAsia"/>
          <w:sz w:val="24"/>
        </w:rPr>
        <w:t>6.2.1 控制衡器</w:t>
      </w:r>
    </w:p>
    <w:p w14:paraId="018656CA">
      <w:pPr>
        <w:spacing w:line="360" w:lineRule="auto"/>
        <w:ind w:right="420" w:firstLine="480" w:firstLineChars="200"/>
        <w:rPr>
          <w:rFonts w:hAnsi="宋体"/>
          <w:sz w:val="24"/>
        </w:rPr>
      </w:pPr>
      <w:r>
        <w:rPr>
          <w:rFonts w:hint="eastAsia" w:hAnsi="宋体"/>
          <w:sz w:val="24"/>
        </w:rPr>
        <w:t>控制衡器适用于依据规程核查法，使用物料核查时确定核查载荷的约定质量真值，性能要求参照</w:t>
      </w:r>
      <w:bookmarkStart w:id="32" w:name="_Hlk152338281"/>
      <w:r>
        <w:rPr>
          <w:rFonts w:hint="eastAsia" w:hAnsi="宋体"/>
          <w:sz w:val="24"/>
        </w:rPr>
        <w:t>JJG 195</w:t>
      </w:r>
      <w:bookmarkEnd w:id="32"/>
      <w:r>
        <w:rPr>
          <w:rFonts w:hint="eastAsia" w:hAnsi="宋体"/>
          <w:sz w:val="24"/>
        </w:rPr>
        <w:t>—2019连续累计自动衡器(皮带秤)。</w:t>
      </w:r>
    </w:p>
    <w:p w14:paraId="4EAA527D">
      <w:pPr>
        <w:spacing w:line="360" w:lineRule="auto"/>
        <w:ind w:right="420"/>
        <w:rPr>
          <w:sz w:val="24"/>
        </w:rPr>
      </w:pPr>
      <w:r>
        <w:rPr>
          <w:rFonts w:hint="eastAsia"/>
          <w:sz w:val="24"/>
        </w:rPr>
        <w:t>6.2.2 模拟载荷装置</w:t>
      </w:r>
    </w:p>
    <w:p w14:paraId="6B1D2D8E">
      <w:pPr>
        <w:spacing w:line="360" w:lineRule="auto"/>
        <w:ind w:firstLine="480" w:firstLineChars="200"/>
        <w:rPr>
          <w:color w:val="000000"/>
          <w:sz w:val="24"/>
          <w:szCs w:val="28"/>
        </w:rPr>
      </w:pPr>
      <w:r>
        <w:rPr>
          <w:rFonts w:hint="eastAsia"/>
          <w:color w:val="000000"/>
          <w:sz w:val="24"/>
          <w:szCs w:val="28"/>
        </w:rPr>
        <w:t>标准砝码、</w:t>
      </w:r>
      <w:r>
        <w:rPr>
          <w:rFonts w:hint="eastAsia"/>
          <w:kern w:val="0"/>
          <w:sz w:val="24"/>
        </w:rPr>
        <w:t>挂码、链码等模拟载荷装置适用于</w:t>
      </w:r>
      <w:r>
        <w:rPr>
          <w:rFonts w:hint="eastAsia"/>
          <w:color w:val="000000"/>
          <w:sz w:val="24"/>
          <w:szCs w:val="28"/>
        </w:rPr>
        <w:t>模拟载荷试验法。</w:t>
      </w:r>
    </w:p>
    <w:p w14:paraId="0274F990">
      <w:pPr>
        <w:pStyle w:val="220"/>
        <w:spacing w:line="360" w:lineRule="auto"/>
        <w:ind w:firstLine="480"/>
        <w:rPr>
          <w:rFonts w:hAnsi="宋体"/>
          <w:bCs/>
          <w:color w:val="000000"/>
          <w:sz w:val="24"/>
        </w:rPr>
      </w:pPr>
      <w:r>
        <w:rPr>
          <w:rFonts w:hint="eastAsia"/>
          <w:color w:val="000000"/>
          <w:sz w:val="24"/>
          <w:szCs w:val="28"/>
        </w:rPr>
        <w:t>模拟载荷试验法</w:t>
      </w:r>
      <w:r>
        <w:rPr>
          <w:rFonts w:hint="eastAsia" w:hAnsi="宋体"/>
          <w:bCs/>
          <w:color w:val="000000"/>
          <w:sz w:val="24"/>
        </w:rPr>
        <w:t>标准砝码应考虑以下因素：</w:t>
      </w:r>
    </w:p>
    <w:p w14:paraId="562C1967">
      <w:pPr>
        <w:pStyle w:val="220"/>
        <w:spacing w:line="360" w:lineRule="auto"/>
        <w:ind w:firstLine="480"/>
        <w:rPr>
          <w:rFonts w:hAnsi="宋体"/>
          <w:bCs/>
          <w:color w:val="000000"/>
          <w:sz w:val="24"/>
        </w:rPr>
      </w:pPr>
      <w:r>
        <w:rPr>
          <w:rFonts w:hint="eastAsia" w:hAnsi="宋体"/>
          <w:bCs/>
          <w:color w:val="000000"/>
          <w:sz w:val="24"/>
        </w:rPr>
        <w:t>a）包括皮带秤最大流量、最小流量、常用给料流量对应载荷；</w:t>
      </w:r>
    </w:p>
    <w:p w14:paraId="203AF984">
      <w:pPr>
        <w:pStyle w:val="220"/>
        <w:spacing w:line="360" w:lineRule="auto"/>
        <w:ind w:firstLine="480"/>
        <w:rPr>
          <w:rFonts w:hAnsi="宋体"/>
          <w:bCs/>
          <w:color w:val="000000"/>
          <w:sz w:val="24"/>
        </w:rPr>
      </w:pPr>
      <w:r>
        <w:rPr>
          <w:rFonts w:hint="eastAsia" w:hAnsi="宋体"/>
          <w:bCs/>
          <w:color w:val="000000"/>
          <w:sz w:val="24"/>
        </w:rPr>
        <w:t>b）应满足JJG</w:t>
      </w:r>
      <w:r>
        <w:rPr>
          <w:rFonts w:hAnsi="宋体"/>
          <w:bCs/>
          <w:color w:val="000000"/>
          <w:sz w:val="24"/>
        </w:rPr>
        <w:t xml:space="preserve"> 99</w:t>
      </w:r>
      <w:r>
        <w:rPr>
          <w:rFonts w:hint="eastAsia"/>
          <w:sz w:val="24"/>
        </w:rPr>
        <w:t>—20</w:t>
      </w:r>
      <w:r>
        <w:rPr>
          <w:sz w:val="24"/>
        </w:rPr>
        <w:t>22</w:t>
      </w:r>
      <w:r>
        <w:rPr>
          <w:rFonts w:hint="eastAsia"/>
          <w:sz w:val="24"/>
        </w:rPr>
        <w:t>砝码检定规程</w:t>
      </w:r>
      <w:r>
        <w:rPr>
          <w:rFonts w:hint="eastAsia" w:hAnsi="宋体"/>
          <w:bCs/>
          <w:color w:val="000000"/>
          <w:sz w:val="24"/>
        </w:rPr>
        <w:t>规定的计量要求；</w:t>
      </w:r>
    </w:p>
    <w:p w14:paraId="761DC779">
      <w:pPr>
        <w:pStyle w:val="220"/>
        <w:spacing w:line="360" w:lineRule="auto"/>
        <w:ind w:firstLine="480"/>
        <w:rPr>
          <w:rFonts w:hAnsi="宋体"/>
          <w:bCs/>
          <w:color w:val="000000"/>
          <w:sz w:val="24"/>
        </w:rPr>
      </w:pPr>
      <w:r>
        <w:rPr>
          <w:rFonts w:hint="eastAsia" w:hAnsi="宋体"/>
          <w:bCs/>
          <w:color w:val="000000"/>
          <w:sz w:val="24"/>
        </w:rPr>
        <w:t>c）应定期校准或检定；</w:t>
      </w:r>
    </w:p>
    <w:p w14:paraId="4E476A1E">
      <w:pPr>
        <w:spacing w:line="360" w:lineRule="auto"/>
        <w:ind w:right="420" w:firstLine="436" w:firstLineChars="182"/>
        <w:rPr>
          <w:rFonts w:hAnsi="宋体"/>
          <w:sz w:val="24"/>
        </w:rPr>
      </w:pPr>
      <w:r>
        <w:rPr>
          <w:rFonts w:hint="eastAsia"/>
          <w:bCs/>
          <w:color w:val="000000"/>
          <w:sz w:val="24"/>
        </w:rPr>
        <w:t>d）</w:t>
      </w:r>
      <w:r>
        <w:rPr>
          <w:rFonts w:cs="宋体"/>
          <w:sz w:val="24"/>
        </w:rPr>
        <w:t>模拟载荷</w:t>
      </w:r>
      <w:r>
        <w:rPr>
          <w:rFonts w:hint="eastAsia" w:cs="宋体"/>
          <w:sz w:val="24"/>
        </w:rPr>
        <w:t>的静态误差满足</w:t>
      </w:r>
      <w:r>
        <w:rPr>
          <w:rFonts w:hint="eastAsia"/>
          <w:sz w:val="24"/>
        </w:rPr>
        <w:t>M</w:t>
      </w:r>
      <w:r>
        <w:rPr>
          <w:rFonts w:hint="eastAsia"/>
          <w:sz w:val="24"/>
          <w:vertAlign w:val="subscript"/>
        </w:rPr>
        <w:t>1</w:t>
      </w:r>
      <w:r>
        <w:rPr>
          <w:rFonts w:hint="eastAsia"/>
          <w:sz w:val="24"/>
        </w:rPr>
        <w:t>等级砝码的误差要求，高精度的皮带秤由标准砝码产生的动态误差应不大于相应载荷最大允许误差的1/3。</w:t>
      </w:r>
    </w:p>
    <w:p w14:paraId="44B03DC0">
      <w:pPr>
        <w:spacing w:beforeLines="100" w:afterLines="100"/>
        <w:jc w:val="left"/>
        <w:outlineLvl w:val="0"/>
        <w:rPr>
          <w:rFonts w:ascii="黑体" w:hAnsi="黑体" w:eastAsia="黑体"/>
          <w:sz w:val="24"/>
        </w:rPr>
      </w:pPr>
      <w:bookmarkStart w:id="33" w:name="_Toc1320"/>
      <w:r>
        <w:rPr>
          <w:rFonts w:hint="eastAsia" w:ascii="黑体" w:hAnsi="黑体" w:eastAsia="黑体"/>
          <w:sz w:val="24"/>
        </w:rPr>
        <w:t>7</w:t>
      </w:r>
      <w:bookmarkEnd w:id="33"/>
      <w:r>
        <w:rPr>
          <w:rFonts w:hint="eastAsia" w:ascii="黑体" w:hAnsi="黑体" w:eastAsia="黑体"/>
          <w:sz w:val="24"/>
        </w:rPr>
        <w:t xml:space="preserve">  核查项目和方法</w:t>
      </w:r>
    </w:p>
    <w:p w14:paraId="2705E984">
      <w:pPr>
        <w:spacing w:beforeLines="25" w:line="360" w:lineRule="auto"/>
        <w:jc w:val="left"/>
        <w:outlineLvl w:val="1"/>
        <w:rPr>
          <w:rFonts w:ascii="宋体" w:hAnsi="宋体"/>
          <w:sz w:val="24"/>
        </w:rPr>
      </w:pPr>
      <w:bookmarkStart w:id="34" w:name="_Toc27946"/>
      <w:bookmarkStart w:id="35" w:name="_Toc465926395"/>
      <w:bookmarkStart w:id="36" w:name="_Toc3986952"/>
      <w:r>
        <w:rPr>
          <w:rFonts w:hint="eastAsia"/>
          <w:sz w:val="24"/>
        </w:rPr>
        <w:t>7.1</w:t>
      </w:r>
      <w:bookmarkEnd w:id="34"/>
      <w:r>
        <w:rPr>
          <w:rFonts w:hint="eastAsia"/>
          <w:sz w:val="24"/>
          <w:lang w:val="en-US" w:eastAsia="zh-CN"/>
        </w:rPr>
        <w:t xml:space="preserve"> </w:t>
      </w:r>
      <w:r>
        <w:rPr>
          <w:rFonts w:hint="eastAsia" w:ascii="宋体" w:hAnsi="宋体"/>
          <w:sz w:val="24"/>
        </w:rPr>
        <w:t>核查项目</w:t>
      </w:r>
    </w:p>
    <w:bookmarkEnd w:id="35"/>
    <w:bookmarkEnd w:id="36"/>
    <w:p w14:paraId="55D4102A">
      <w:pPr>
        <w:pStyle w:val="220"/>
        <w:spacing w:line="360" w:lineRule="auto"/>
        <w:ind w:firstLine="480"/>
        <w:rPr>
          <w:rFonts w:hAnsi="宋体"/>
          <w:bCs/>
          <w:color w:val="000000"/>
          <w:sz w:val="24"/>
        </w:rPr>
      </w:pPr>
      <w:r>
        <w:rPr>
          <w:rFonts w:hint="eastAsia" w:hAnsi="宋体"/>
          <w:bCs/>
          <w:color w:val="000000"/>
          <w:sz w:val="24"/>
        </w:rPr>
        <w:t>在皮带秤检定周期内定期依据规程核查法或模拟载荷核查法检验皮带秤的计量性能，并且在对输送机系统进行维修和机械调整后也</w:t>
      </w:r>
      <w:r>
        <w:rPr>
          <w:rFonts w:hint="eastAsia" w:hAnsi="宋体"/>
          <w:bCs/>
          <w:color w:val="000000"/>
          <w:sz w:val="24"/>
          <w:lang w:val="en-US" w:eastAsia="zh-CN"/>
        </w:rPr>
        <w:t>需进行核查</w:t>
      </w:r>
      <w:r>
        <w:rPr>
          <w:rFonts w:hint="eastAsia" w:hAnsi="宋体"/>
          <w:bCs/>
          <w:color w:val="000000"/>
          <w:sz w:val="24"/>
        </w:rPr>
        <w:t>，以确保皮带秤正常运行。</w:t>
      </w:r>
    </w:p>
    <w:p w14:paraId="002E343D">
      <w:pPr>
        <w:pStyle w:val="220"/>
        <w:spacing w:line="360" w:lineRule="auto"/>
        <w:ind w:firstLine="480"/>
        <w:rPr>
          <w:rFonts w:hAnsi="宋体"/>
          <w:bCs/>
          <w:color w:val="000000"/>
          <w:sz w:val="24"/>
        </w:rPr>
      </w:pPr>
      <w:r>
        <w:rPr>
          <w:rFonts w:hint="eastAsia" w:hAnsi="宋体"/>
          <w:bCs/>
          <w:color w:val="000000"/>
          <w:sz w:val="24"/>
        </w:rPr>
        <w:t>电子皮带秤的核查项目见表</w:t>
      </w:r>
      <w:r>
        <w:rPr>
          <w:rFonts w:hint="eastAsia" w:hAnsi="宋体"/>
          <w:bCs/>
          <w:color w:val="000000"/>
          <w:sz w:val="24"/>
          <w:lang w:val="en-US" w:eastAsia="zh-CN"/>
        </w:rPr>
        <w:t>2</w:t>
      </w:r>
      <w:r>
        <w:rPr>
          <w:rFonts w:hint="eastAsia" w:hAnsi="宋体"/>
          <w:bCs/>
          <w:color w:val="000000"/>
          <w:sz w:val="24"/>
        </w:rPr>
        <w:t>，实验室应根据装置功能及实际需求，选择相关的核查项目。</w:t>
      </w:r>
    </w:p>
    <w:p w14:paraId="13B35366">
      <w:pPr>
        <w:pStyle w:val="56"/>
        <w:spacing w:line="360" w:lineRule="auto"/>
        <w:ind w:firstLine="0" w:firstLineChars="0"/>
        <w:jc w:val="center"/>
        <w:rPr>
          <w:rFonts w:ascii="Times New Roman" w:eastAsia="黑体"/>
          <w:szCs w:val="21"/>
        </w:rPr>
      </w:pPr>
      <w:r>
        <w:rPr>
          <w:rFonts w:hint="eastAsia" w:ascii="Times New Roman" w:eastAsia="黑体"/>
          <w:szCs w:val="21"/>
        </w:rPr>
        <w:t>表</w:t>
      </w:r>
      <w:r>
        <w:rPr>
          <w:rFonts w:hint="eastAsia" w:ascii="Times New Roman" w:eastAsia="黑体"/>
          <w:szCs w:val="21"/>
          <w:lang w:val="en-US" w:eastAsia="zh-CN"/>
        </w:rPr>
        <w:t>2</w:t>
      </w:r>
      <w:r>
        <w:rPr>
          <w:rFonts w:hint="eastAsia" w:ascii="Times New Roman" w:eastAsia="黑体"/>
          <w:szCs w:val="21"/>
        </w:rPr>
        <w:t xml:space="preserve">  电子皮带秤核查项目</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2010"/>
        <w:gridCol w:w="1912"/>
        <w:gridCol w:w="2444"/>
        <w:gridCol w:w="2230"/>
      </w:tblGrid>
      <w:tr w14:paraId="7847C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09" w:type="pct"/>
            <w:shd w:val="clear" w:color="auto" w:fill="auto"/>
            <w:vAlign w:val="center"/>
          </w:tcPr>
          <w:p w14:paraId="7B72F752">
            <w:pPr>
              <w:widowControl/>
              <w:jc w:val="center"/>
              <w:rPr>
                <w:rFonts w:eastAsiaTheme="minorEastAsia"/>
                <w:kern w:val="0"/>
                <w:szCs w:val="21"/>
              </w:rPr>
            </w:pPr>
            <w:r>
              <w:rPr>
                <w:rFonts w:hAnsiTheme="minorEastAsia" w:eastAsiaTheme="minorEastAsia"/>
                <w:kern w:val="0"/>
                <w:szCs w:val="21"/>
              </w:rPr>
              <w:t>序号</w:t>
            </w:r>
          </w:p>
        </w:tc>
        <w:tc>
          <w:tcPr>
            <w:tcW w:w="3326" w:type="pct"/>
            <w:gridSpan w:val="3"/>
            <w:vAlign w:val="center"/>
          </w:tcPr>
          <w:p w14:paraId="76D19437">
            <w:pPr>
              <w:widowControl/>
              <w:jc w:val="center"/>
              <w:rPr>
                <w:rFonts w:eastAsiaTheme="minorEastAsia"/>
                <w:kern w:val="0"/>
                <w:szCs w:val="21"/>
              </w:rPr>
            </w:pPr>
            <w:r>
              <w:rPr>
                <w:rFonts w:hAnsiTheme="minorEastAsia" w:eastAsiaTheme="minorEastAsia"/>
                <w:kern w:val="0"/>
                <w:szCs w:val="21"/>
              </w:rPr>
              <w:t>核查项目</w:t>
            </w:r>
          </w:p>
        </w:tc>
        <w:tc>
          <w:tcPr>
            <w:tcW w:w="1165" w:type="pct"/>
            <w:shd w:val="clear" w:color="auto" w:fill="auto"/>
            <w:vAlign w:val="center"/>
          </w:tcPr>
          <w:p w14:paraId="34C40024">
            <w:pPr>
              <w:widowControl/>
              <w:jc w:val="center"/>
              <w:rPr>
                <w:rFonts w:eastAsiaTheme="minorEastAsia"/>
                <w:kern w:val="0"/>
                <w:szCs w:val="21"/>
              </w:rPr>
            </w:pPr>
            <w:r>
              <w:rPr>
                <w:rFonts w:hAnsiTheme="minorEastAsia" w:eastAsiaTheme="minorEastAsia"/>
                <w:kern w:val="0"/>
                <w:szCs w:val="21"/>
              </w:rPr>
              <w:t>方法章节</w:t>
            </w:r>
          </w:p>
        </w:tc>
      </w:tr>
      <w:tr w14:paraId="27E6D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vMerge w:val="restart"/>
            <w:shd w:val="clear" w:color="auto" w:fill="auto"/>
            <w:vAlign w:val="center"/>
          </w:tcPr>
          <w:p w14:paraId="64C42B1A">
            <w:pPr>
              <w:widowControl/>
              <w:jc w:val="center"/>
              <w:rPr>
                <w:rFonts w:eastAsiaTheme="minorEastAsia"/>
                <w:kern w:val="0"/>
                <w:szCs w:val="21"/>
              </w:rPr>
            </w:pPr>
            <w:r>
              <w:rPr>
                <w:rFonts w:eastAsiaTheme="minorEastAsia"/>
                <w:kern w:val="0"/>
                <w:szCs w:val="21"/>
              </w:rPr>
              <w:t>1</w:t>
            </w:r>
          </w:p>
        </w:tc>
        <w:tc>
          <w:tcPr>
            <w:tcW w:w="1050" w:type="pct"/>
            <w:vMerge w:val="restart"/>
            <w:shd w:val="clear" w:color="auto" w:fill="auto"/>
            <w:vAlign w:val="center"/>
          </w:tcPr>
          <w:p w14:paraId="1D744489">
            <w:pPr>
              <w:widowControl/>
              <w:jc w:val="center"/>
              <w:rPr>
                <w:rFonts w:eastAsiaTheme="minorEastAsia"/>
                <w:bCs/>
                <w:color w:val="000000"/>
                <w:kern w:val="0"/>
                <w:szCs w:val="21"/>
              </w:rPr>
            </w:pPr>
            <w:r>
              <w:rPr>
                <w:rFonts w:hAnsiTheme="minorEastAsia" w:eastAsiaTheme="minorEastAsia"/>
                <w:bCs/>
                <w:color w:val="000000"/>
                <w:kern w:val="0"/>
                <w:szCs w:val="21"/>
              </w:rPr>
              <w:t>外观检查</w:t>
            </w:r>
          </w:p>
        </w:tc>
        <w:tc>
          <w:tcPr>
            <w:tcW w:w="2276" w:type="pct"/>
            <w:gridSpan w:val="2"/>
            <w:vAlign w:val="center"/>
          </w:tcPr>
          <w:p w14:paraId="4F43F1CA">
            <w:pPr>
              <w:widowControl/>
              <w:jc w:val="center"/>
              <w:rPr>
                <w:rFonts w:eastAsiaTheme="minorEastAsia"/>
                <w:bCs/>
                <w:color w:val="000000"/>
                <w:kern w:val="0"/>
                <w:szCs w:val="21"/>
              </w:rPr>
            </w:pPr>
            <w:r>
              <w:rPr>
                <w:rFonts w:hAnsiTheme="minorEastAsia" w:eastAsiaTheme="minorEastAsia"/>
                <w:bCs/>
                <w:color w:val="000000"/>
                <w:kern w:val="0"/>
                <w:szCs w:val="21"/>
              </w:rPr>
              <w:t>计量管理及说明性标记</w:t>
            </w:r>
          </w:p>
        </w:tc>
        <w:tc>
          <w:tcPr>
            <w:tcW w:w="1165" w:type="pct"/>
            <w:vMerge w:val="restart"/>
            <w:shd w:val="clear" w:color="auto" w:fill="auto"/>
            <w:vAlign w:val="center"/>
          </w:tcPr>
          <w:p w14:paraId="06ACC421">
            <w:pPr>
              <w:widowControl/>
              <w:jc w:val="center"/>
              <w:rPr>
                <w:rFonts w:eastAsiaTheme="minorEastAsia"/>
                <w:kern w:val="0"/>
                <w:szCs w:val="21"/>
              </w:rPr>
            </w:pPr>
            <w:r>
              <w:rPr>
                <w:rFonts w:eastAsiaTheme="minorEastAsia"/>
                <w:kern w:val="0"/>
                <w:szCs w:val="21"/>
              </w:rPr>
              <w:t>7.2.1</w:t>
            </w:r>
          </w:p>
        </w:tc>
      </w:tr>
      <w:tr w14:paraId="4E2A0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vMerge w:val="continue"/>
            <w:shd w:val="clear" w:color="auto" w:fill="auto"/>
            <w:vAlign w:val="center"/>
          </w:tcPr>
          <w:p w14:paraId="4EA06702">
            <w:pPr>
              <w:widowControl/>
              <w:jc w:val="center"/>
              <w:rPr>
                <w:rFonts w:eastAsiaTheme="minorEastAsia"/>
                <w:kern w:val="0"/>
                <w:szCs w:val="21"/>
              </w:rPr>
            </w:pPr>
          </w:p>
        </w:tc>
        <w:tc>
          <w:tcPr>
            <w:tcW w:w="1050" w:type="pct"/>
            <w:vMerge w:val="continue"/>
            <w:shd w:val="clear" w:color="auto" w:fill="auto"/>
            <w:vAlign w:val="center"/>
          </w:tcPr>
          <w:p w14:paraId="7596D7BA">
            <w:pPr>
              <w:widowControl/>
              <w:jc w:val="center"/>
              <w:rPr>
                <w:rFonts w:eastAsiaTheme="minorEastAsia"/>
                <w:bCs/>
                <w:color w:val="000000"/>
                <w:kern w:val="0"/>
                <w:szCs w:val="21"/>
              </w:rPr>
            </w:pPr>
          </w:p>
        </w:tc>
        <w:tc>
          <w:tcPr>
            <w:tcW w:w="2276" w:type="pct"/>
            <w:gridSpan w:val="2"/>
            <w:vAlign w:val="center"/>
          </w:tcPr>
          <w:p w14:paraId="5314452A">
            <w:pPr>
              <w:widowControl/>
              <w:jc w:val="center"/>
              <w:rPr>
                <w:rFonts w:eastAsiaTheme="minorEastAsia"/>
                <w:bCs/>
                <w:color w:val="000000"/>
                <w:kern w:val="0"/>
                <w:szCs w:val="21"/>
              </w:rPr>
            </w:pPr>
            <w:r>
              <w:rPr>
                <w:rFonts w:hAnsiTheme="minorEastAsia" w:eastAsiaTheme="minorEastAsia"/>
                <w:bCs/>
                <w:color w:val="000000"/>
                <w:kern w:val="0"/>
                <w:szCs w:val="21"/>
              </w:rPr>
              <w:t>检定标记</w:t>
            </w:r>
          </w:p>
        </w:tc>
        <w:tc>
          <w:tcPr>
            <w:tcW w:w="1165" w:type="pct"/>
            <w:vMerge w:val="continue"/>
            <w:shd w:val="clear" w:color="auto" w:fill="auto"/>
            <w:vAlign w:val="center"/>
          </w:tcPr>
          <w:p w14:paraId="062E9DBF">
            <w:pPr>
              <w:widowControl/>
              <w:jc w:val="center"/>
              <w:rPr>
                <w:rFonts w:eastAsiaTheme="minorEastAsia"/>
                <w:kern w:val="0"/>
                <w:szCs w:val="21"/>
              </w:rPr>
            </w:pPr>
          </w:p>
        </w:tc>
      </w:tr>
      <w:tr w14:paraId="7EC94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vMerge w:val="restart"/>
            <w:shd w:val="clear" w:color="auto" w:fill="auto"/>
            <w:vAlign w:val="center"/>
          </w:tcPr>
          <w:p w14:paraId="7AAB1970">
            <w:pPr>
              <w:widowControl/>
              <w:jc w:val="center"/>
              <w:rPr>
                <w:rFonts w:eastAsiaTheme="minorEastAsia"/>
                <w:kern w:val="0"/>
                <w:szCs w:val="21"/>
              </w:rPr>
            </w:pPr>
            <w:r>
              <w:rPr>
                <w:rFonts w:eastAsiaTheme="minorEastAsia"/>
                <w:kern w:val="0"/>
                <w:szCs w:val="21"/>
              </w:rPr>
              <w:t>2</w:t>
            </w:r>
          </w:p>
        </w:tc>
        <w:tc>
          <w:tcPr>
            <w:tcW w:w="1050" w:type="pct"/>
            <w:vMerge w:val="restart"/>
            <w:shd w:val="clear" w:color="auto" w:fill="auto"/>
            <w:vAlign w:val="center"/>
          </w:tcPr>
          <w:p w14:paraId="447B2160">
            <w:pPr>
              <w:widowControl/>
              <w:jc w:val="center"/>
              <w:rPr>
                <w:rFonts w:eastAsiaTheme="minorEastAsia"/>
                <w:bCs/>
                <w:color w:val="000000"/>
                <w:kern w:val="0"/>
                <w:szCs w:val="21"/>
              </w:rPr>
            </w:pPr>
            <w:r>
              <w:rPr>
                <w:rFonts w:hAnsiTheme="minorEastAsia" w:eastAsiaTheme="minorEastAsia"/>
                <w:bCs/>
                <w:color w:val="000000"/>
                <w:kern w:val="0"/>
                <w:szCs w:val="21"/>
              </w:rPr>
              <w:t>使用条件检查</w:t>
            </w:r>
          </w:p>
        </w:tc>
        <w:tc>
          <w:tcPr>
            <w:tcW w:w="2276" w:type="pct"/>
            <w:gridSpan w:val="2"/>
            <w:vAlign w:val="center"/>
          </w:tcPr>
          <w:p w14:paraId="73788972">
            <w:pPr>
              <w:widowControl/>
              <w:jc w:val="center"/>
              <w:rPr>
                <w:rFonts w:eastAsiaTheme="minorEastAsia"/>
                <w:bCs/>
                <w:color w:val="000000"/>
                <w:kern w:val="0"/>
                <w:szCs w:val="21"/>
              </w:rPr>
            </w:pPr>
            <w:r>
              <w:rPr>
                <w:rFonts w:hAnsiTheme="minorEastAsia" w:eastAsiaTheme="minorEastAsia"/>
                <w:bCs/>
                <w:color w:val="000000"/>
                <w:kern w:val="0"/>
                <w:szCs w:val="21"/>
              </w:rPr>
              <w:t>流量检查</w:t>
            </w:r>
          </w:p>
        </w:tc>
        <w:tc>
          <w:tcPr>
            <w:tcW w:w="1165" w:type="pct"/>
            <w:vMerge w:val="restart"/>
            <w:shd w:val="clear" w:color="auto" w:fill="auto"/>
            <w:vAlign w:val="center"/>
          </w:tcPr>
          <w:p w14:paraId="69336FBF">
            <w:pPr>
              <w:widowControl/>
              <w:jc w:val="center"/>
              <w:rPr>
                <w:rFonts w:eastAsiaTheme="minorEastAsia"/>
                <w:kern w:val="0"/>
                <w:szCs w:val="21"/>
              </w:rPr>
            </w:pPr>
            <w:r>
              <w:rPr>
                <w:rFonts w:eastAsiaTheme="minorEastAsia"/>
                <w:kern w:val="0"/>
                <w:szCs w:val="21"/>
              </w:rPr>
              <w:t>7.2.1</w:t>
            </w:r>
          </w:p>
        </w:tc>
      </w:tr>
      <w:tr w14:paraId="5B790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vMerge w:val="continue"/>
            <w:shd w:val="clear" w:color="auto" w:fill="auto"/>
            <w:vAlign w:val="center"/>
          </w:tcPr>
          <w:p w14:paraId="1BF0823D">
            <w:pPr>
              <w:widowControl/>
              <w:jc w:val="center"/>
              <w:rPr>
                <w:rFonts w:eastAsiaTheme="minorEastAsia"/>
                <w:kern w:val="0"/>
                <w:szCs w:val="21"/>
              </w:rPr>
            </w:pPr>
          </w:p>
        </w:tc>
        <w:tc>
          <w:tcPr>
            <w:tcW w:w="1050" w:type="pct"/>
            <w:vMerge w:val="continue"/>
            <w:shd w:val="clear" w:color="auto" w:fill="auto"/>
            <w:vAlign w:val="center"/>
          </w:tcPr>
          <w:p w14:paraId="0E504907">
            <w:pPr>
              <w:widowControl/>
              <w:jc w:val="center"/>
              <w:rPr>
                <w:rFonts w:eastAsiaTheme="minorEastAsia"/>
                <w:bCs/>
                <w:color w:val="000000"/>
                <w:kern w:val="0"/>
                <w:szCs w:val="21"/>
              </w:rPr>
            </w:pPr>
          </w:p>
        </w:tc>
        <w:tc>
          <w:tcPr>
            <w:tcW w:w="2276" w:type="pct"/>
            <w:gridSpan w:val="2"/>
            <w:vAlign w:val="center"/>
          </w:tcPr>
          <w:p w14:paraId="127337DF">
            <w:pPr>
              <w:widowControl/>
              <w:jc w:val="center"/>
              <w:rPr>
                <w:rFonts w:eastAsiaTheme="minorEastAsia"/>
                <w:bCs/>
                <w:color w:val="000000"/>
                <w:kern w:val="0"/>
                <w:szCs w:val="21"/>
              </w:rPr>
            </w:pPr>
            <w:r>
              <w:rPr>
                <w:rFonts w:hAnsiTheme="minorEastAsia" w:eastAsiaTheme="minorEastAsia"/>
                <w:bCs/>
                <w:color w:val="000000"/>
                <w:kern w:val="0"/>
                <w:szCs w:val="21"/>
              </w:rPr>
              <w:t>最小累计载荷</w:t>
            </w:r>
            <w:r>
              <w:rPr>
                <w:rFonts w:eastAsiaTheme="minorEastAsia"/>
                <w:bCs/>
                <w:color w:val="000000"/>
                <w:kern w:val="0"/>
                <w:szCs w:val="21"/>
              </w:rPr>
              <w:t>∑</w:t>
            </w:r>
            <w:r>
              <w:rPr>
                <w:rFonts w:eastAsiaTheme="minorEastAsia"/>
                <w:bCs/>
                <w:color w:val="000000"/>
                <w:kern w:val="0"/>
                <w:szCs w:val="21"/>
                <w:vertAlign w:val="subscript"/>
              </w:rPr>
              <w:t>min</w:t>
            </w:r>
            <w:r>
              <w:rPr>
                <w:rFonts w:hAnsiTheme="minorEastAsia" w:eastAsiaTheme="minorEastAsia"/>
                <w:bCs/>
                <w:color w:val="000000"/>
                <w:kern w:val="0"/>
                <w:szCs w:val="21"/>
              </w:rPr>
              <w:t>检查</w:t>
            </w:r>
          </w:p>
        </w:tc>
        <w:tc>
          <w:tcPr>
            <w:tcW w:w="1165" w:type="pct"/>
            <w:vMerge w:val="continue"/>
            <w:shd w:val="clear" w:color="auto" w:fill="auto"/>
            <w:vAlign w:val="center"/>
          </w:tcPr>
          <w:p w14:paraId="4D77D327">
            <w:pPr>
              <w:widowControl/>
              <w:jc w:val="center"/>
              <w:rPr>
                <w:rFonts w:eastAsiaTheme="minorEastAsia"/>
                <w:kern w:val="0"/>
                <w:szCs w:val="21"/>
              </w:rPr>
            </w:pPr>
          </w:p>
        </w:tc>
      </w:tr>
      <w:tr w14:paraId="2864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vMerge w:val="restart"/>
            <w:shd w:val="clear" w:color="auto" w:fill="auto"/>
            <w:vAlign w:val="center"/>
          </w:tcPr>
          <w:p w14:paraId="12E55229">
            <w:pPr>
              <w:widowControl/>
              <w:jc w:val="center"/>
              <w:rPr>
                <w:rFonts w:eastAsiaTheme="minorEastAsia"/>
                <w:kern w:val="0"/>
                <w:szCs w:val="21"/>
              </w:rPr>
            </w:pPr>
            <w:r>
              <w:rPr>
                <w:rFonts w:eastAsiaTheme="minorEastAsia"/>
                <w:kern w:val="0"/>
                <w:szCs w:val="21"/>
              </w:rPr>
              <w:t>3</w:t>
            </w:r>
          </w:p>
        </w:tc>
        <w:tc>
          <w:tcPr>
            <w:tcW w:w="1050" w:type="pct"/>
            <w:vMerge w:val="restart"/>
            <w:shd w:val="clear" w:color="auto" w:fill="auto"/>
            <w:vAlign w:val="center"/>
          </w:tcPr>
          <w:p w14:paraId="7DEC5B3F">
            <w:pPr>
              <w:widowControl/>
              <w:jc w:val="center"/>
              <w:rPr>
                <w:rFonts w:eastAsiaTheme="minorEastAsia"/>
                <w:bCs/>
                <w:color w:val="000000"/>
                <w:kern w:val="0"/>
                <w:szCs w:val="21"/>
              </w:rPr>
            </w:pPr>
            <w:r>
              <w:rPr>
                <w:rFonts w:hAnsiTheme="minorEastAsia" w:eastAsiaTheme="minorEastAsia"/>
                <w:bCs/>
                <w:color w:val="000000"/>
                <w:kern w:val="0"/>
                <w:szCs w:val="21"/>
              </w:rPr>
              <w:t>零点核查</w:t>
            </w:r>
          </w:p>
        </w:tc>
        <w:tc>
          <w:tcPr>
            <w:tcW w:w="2276" w:type="pct"/>
            <w:gridSpan w:val="2"/>
            <w:vAlign w:val="center"/>
          </w:tcPr>
          <w:p w14:paraId="725DA08A">
            <w:pPr>
              <w:widowControl/>
              <w:jc w:val="center"/>
              <w:rPr>
                <w:rFonts w:eastAsiaTheme="minorEastAsia"/>
                <w:bCs/>
                <w:color w:val="000000"/>
                <w:kern w:val="0"/>
                <w:szCs w:val="21"/>
              </w:rPr>
            </w:pPr>
            <w:r>
              <w:rPr>
                <w:rFonts w:hAnsiTheme="minorEastAsia" w:eastAsiaTheme="minorEastAsia"/>
                <w:bCs/>
                <w:color w:val="000000"/>
                <w:kern w:val="0"/>
                <w:szCs w:val="21"/>
              </w:rPr>
              <w:t>零点的累计误差</w:t>
            </w:r>
          </w:p>
        </w:tc>
        <w:tc>
          <w:tcPr>
            <w:tcW w:w="1165" w:type="pct"/>
            <w:vMerge w:val="restart"/>
            <w:shd w:val="clear" w:color="auto" w:fill="auto"/>
            <w:vAlign w:val="center"/>
          </w:tcPr>
          <w:p w14:paraId="504DB7EF">
            <w:pPr>
              <w:widowControl/>
              <w:jc w:val="center"/>
              <w:rPr>
                <w:rFonts w:eastAsiaTheme="minorEastAsia"/>
                <w:kern w:val="0"/>
                <w:szCs w:val="21"/>
              </w:rPr>
            </w:pPr>
            <w:r>
              <w:rPr>
                <w:rFonts w:eastAsiaTheme="minorEastAsia"/>
                <w:kern w:val="0"/>
                <w:szCs w:val="21"/>
              </w:rPr>
              <w:t>7.2.2</w:t>
            </w:r>
          </w:p>
        </w:tc>
      </w:tr>
      <w:tr w14:paraId="14513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vMerge w:val="continue"/>
            <w:shd w:val="clear" w:color="auto" w:fill="auto"/>
            <w:vAlign w:val="center"/>
          </w:tcPr>
          <w:p w14:paraId="1E1C7AD1">
            <w:pPr>
              <w:widowControl/>
              <w:jc w:val="center"/>
              <w:rPr>
                <w:rFonts w:eastAsiaTheme="minorEastAsia"/>
                <w:kern w:val="0"/>
                <w:szCs w:val="21"/>
              </w:rPr>
            </w:pPr>
          </w:p>
        </w:tc>
        <w:tc>
          <w:tcPr>
            <w:tcW w:w="1050" w:type="pct"/>
            <w:vMerge w:val="continue"/>
            <w:shd w:val="clear" w:color="auto" w:fill="auto"/>
            <w:vAlign w:val="center"/>
          </w:tcPr>
          <w:p w14:paraId="67C7ACCD">
            <w:pPr>
              <w:widowControl/>
              <w:jc w:val="center"/>
              <w:rPr>
                <w:rFonts w:eastAsiaTheme="minorEastAsia"/>
                <w:bCs/>
                <w:color w:val="000000"/>
                <w:kern w:val="0"/>
                <w:szCs w:val="21"/>
              </w:rPr>
            </w:pPr>
          </w:p>
        </w:tc>
        <w:tc>
          <w:tcPr>
            <w:tcW w:w="2276" w:type="pct"/>
            <w:gridSpan w:val="2"/>
            <w:vAlign w:val="center"/>
          </w:tcPr>
          <w:p w14:paraId="0DB22912">
            <w:pPr>
              <w:widowControl/>
              <w:jc w:val="center"/>
              <w:rPr>
                <w:rFonts w:eastAsiaTheme="minorEastAsia"/>
                <w:bCs/>
                <w:color w:val="000000"/>
                <w:kern w:val="0"/>
                <w:szCs w:val="21"/>
              </w:rPr>
            </w:pPr>
            <w:r>
              <w:rPr>
                <w:rFonts w:hAnsiTheme="minorEastAsia" w:eastAsiaTheme="minorEastAsia"/>
                <w:bCs/>
                <w:color w:val="000000"/>
                <w:kern w:val="0"/>
                <w:szCs w:val="21"/>
              </w:rPr>
              <w:t>零载荷的最大偏差</w:t>
            </w:r>
          </w:p>
        </w:tc>
        <w:tc>
          <w:tcPr>
            <w:tcW w:w="1165" w:type="pct"/>
            <w:vMerge w:val="continue"/>
            <w:shd w:val="clear" w:color="auto" w:fill="auto"/>
            <w:vAlign w:val="center"/>
          </w:tcPr>
          <w:p w14:paraId="6B3BFF7D">
            <w:pPr>
              <w:widowControl/>
              <w:jc w:val="center"/>
              <w:rPr>
                <w:rFonts w:eastAsiaTheme="minorEastAsia"/>
                <w:kern w:val="0"/>
                <w:szCs w:val="21"/>
              </w:rPr>
            </w:pPr>
          </w:p>
        </w:tc>
      </w:tr>
      <w:tr w14:paraId="2B039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shd w:val="clear" w:color="auto" w:fill="auto"/>
            <w:vAlign w:val="center"/>
          </w:tcPr>
          <w:p w14:paraId="4CE5C5CE">
            <w:pPr>
              <w:widowControl/>
              <w:jc w:val="center"/>
              <w:rPr>
                <w:rFonts w:eastAsiaTheme="minorEastAsia"/>
                <w:kern w:val="0"/>
                <w:szCs w:val="21"/>
              </w:rPr>
            </w:pPr>
            <w:r>
              <w:rPr>
                <w:rFonts w:eastAsiaTheme="minorEastAsia"/>
                <w:kern w:val="0"/>
                <w:szCs w:val="21"/>
              </w:rPr>
              <w:t>4</w:t>
            </w:r>
          </w:p>
        </w:tc>
        <w:tc>
          <w:tcPr>
            <w:tcW w:w="1050" w:type="pct"/>
            <w:shd w:val="clear" w:color="auto" w:fill="auto"/>
            <w:vAlign w:val="center"/>
          </w:tcPr>
          <w:p w14:paraId="37CAC63A">
            <w:pPr>
              <w:widowControl/>
              <w:jc w:val="center"/>
              <w:rPr>
                <w:rFonts w:eastAsiaTheme="minorEastAsia"/>
                <w:bCs/>
                <w:color w:val="000000"/>
                <w:kern w:val="0"/>
                <w:szCs w:val="21"/>
              </w:rPr>
            </w:pPr>
            <w:r>
              <w:rPr>
                <w:rFonts w:hAnsiTheme="minorEastAsia" w:eastAsiaTheme="minorEastAsia"/>
                <w:bCs/>
                <w:color w:val="000000"/>
                <w:kern w:val="0"/>
                <w:szCs w:val="21"/>
              </w:rPr>
              <w:t>重复性</w:t>
            </w:r>
          </w:p>
        </w:tc>
        <w:tc>
          <w:tcPr>
            <w:tcW w:w="2276" w:type="pct"/>
            <w:gridSpan w:val="2"/>
            <w:vAlign w:val="center"/>
          </w:tcPr>
          <w:p w14:paraId="3FBA5BF0">
            <w:pPr>
              <w:widowControl/>
              <w:jc w:val="center"/>
              <w:rPr>
                <w:rFonts w:eastAsiaTheme="minorEastAsia"/>
                <w:bCs/>
                <w:color w:val="000000"/>
                <w:kern w:val="0"/>
                <w:szCs w:val="21"/>
              </w:rPr>
            </w:pPr>
            <w:r>
              <w:rPr>
                <w:rFonts w:hAnsiTheme="minorEastAsia" w:eastAsiaTheme="minorEastAsia"/>
                <w:bCs/>
                <w:color w:val="000000"/>
                <w:kern w:val="0"/>
                <w:szCs w:val="21"/>
              </w:rPr>
              <w:t>常用</w:t>
            </w:r>
            <w:r>
              <w:rPr>
                <w:rFonts w:hint="eastAsia" w:hAnsiTheme="minorEastAsia" w:eastAsiaTheme="minorEastAsia"/>
                <w:bCs/>
                <w:color w:val="000000"/>
                <w:kern w:val="0"/>
                <w:szCs w:val="21"/>
              </w:rPr>
              <w:t>给料</w:t>
            </w:r>
            <w:r>
              <w:rPr>
                <w:rFonts w:hAnsiTheme="minorEastAsia" w:eastAsiaTheme="minorEastAsia"/>
                <w:bCs/>
                <w:color w:val="000000"/>
                <w:kern w:val="0"/>
                <w:szCs w:val="21"/>
              </w:rPr>
              <w:t>流量或</w:t>
            </w:r>
            <w:r>
              <w:rPr>
                <w:rFonts w:hAnsiTheme="minorEastAsia" w:eastAsiaTheme="minorEastAsia"/>
                <w:spacing w:val="-1"/>
                <w:szCs w:val="21"/>
              </w:rPr>
              <w:t>常用</w:t>
            </w:r>
            <w:r>
              <w:rPr>
                <w:rFonts w:hint="eastAsia" w:hAnsiTheme="minorEastAsia" w:eastAsiaTheme="minorEastAsia"/>
                <w:spacing w:val="-1"/>
                <w:szCs w:val="21"/>
              </w:rPr>
              <w:t>给料</w:t>
            </w:r>
            <w:r>
              <w:rPr>
                <w:rFonts w:hAnsiTheme="minorEastAsia" w:eastAsiaTheme="minorEastAsia"/>
                <w:spacing w:val="-1"/>
                <w:szCs w:val="21"/>
              </w:rPr>
              <w:t>流量对应载荷</w:t>
            </w:r>
          </w:p>
        </w:tc>
        <w:tc>
          <w:tcPr>
            <w:tcW w:w="1165" w:type="pct"/>
            <w:shd w:val="clear" w:color="auto" w:fill="auto"/>
            <w:vAlign w:val="center"/>
          </w:tcPr>
          <w:p w14:paraId="29296B71">
            <w:pPr>
              <w:widowControl/>
              <w:jc w:val="center"/>
              <w:rPr>
                <w:rFonts w:eastAsiaTheme="minorEastAsia"/>
                <w:kern w:val="0"/>
                <w:szCs w:val="21"/>
              </w:rPr>
            </w:pPr>
            <w:r>
              <w:rPr>
                <w:rFonts w:eastAsiaTheme="minorEastAsia"/>
                <w:kern w:val="0"/>
                <w:szCs w:val="21"/>
              </w:rPr>
              <w:t>7.2.3</w:t>
            </w:r>
          </w:p>
        </w:tc>
      </w:tr>
      <w:tr w14:paraId="16457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vMerge w:val="restart"/>
            <w:shd w:val="clear" w:color="auto" w:fill="auto"/>
            <w:vAlign w:val="center"/>
          </w:tcPr>
          <w:p w14:paraId="10396F96">
            <w:pPr>
              <w:widowControl/>
              <w:jc w:val="center"/>
              <w:rPr>
                <w:rFonts w:eastAsiaTheme="minorEastAsia"/>
                <w:kern w:val="0"/>
                <w:szCs w:val="21"/>
              </w:rPr>
            </w:pPr>
            <w:r>
              <w:rPr>
                <w:rFonts w:eastAsiaTheme="minorEastAsia"/>
                <w:kern w:val="0"/>
                <w:szCs w:val="21"/>
              </w:rPr>
              <w:t>5</w:t>
            </w:r>
          </w:p>
        </w:tc>
        <w:tc>
          <w:tcPr>
            <w:tcW w:w="1050" w:type="pct"/>
            <w:vMerge w:val="restart"/>
            <w:shd w:val="clear" w:color="auto" w:fill="auto"/>
            <w:vAlign w:val="center"/>
          </w:tcPr>
          <w:p w14:paraId="1E67E604">
            <w:pPr>
              <w:widowControl/>
              <w:jc w:val="center"/>
              <w:rPr>
                <w:rFonts w:eastAsiaTheme="minorEastAsia"/>
                <w:bCs/>
                <w:color w:val="000000"/>
                <w:kern w:val="0"/>
                <w:szCs w:val="21"/>
              </w:rPr>
            </w:pPr>
            <w:r>
              <w:rPr>
                <w:rFonts w:hAnsiTheme="minorEastAsia" w:eastAsiaTheme="minorEastAsia"/>
                <w:bCs/>
                <w:color w:val="000000"/>
                <w:kern w:val="0"/>
                <w:szCs w:val="21"/>
              </w:rPr>
              <w:t>相对误差的测量</w:t>
            </w:r>
          </w:p>
        </w:tc>
        <w:tc>
          <w:tcPr>
            <w:tcW w:w="999" w:type="pct"/>
            <w:vAlign w:val="center"/>
          </w:tcPr>
          <w:p w14:paraId="5CF4AE6B">
            <w:pPr>
              <w:widowControl/>
              <w:jc w:val="center"/>
              <w:rPr>
                <w:rFonts w:eastAsiaTheme="minorEastAsia"/>
                <w:bCs/>
                <w:color w:val="000000"/>
                <w:kern w:val="0"/>
                <w:szCs w:val="21"/>
              </w:rPr>
            </w:pPr>
            <w:r>
              <w:rPr>
                <w:rFonts w:hAnsiTheme="minorEastAsia" w:eastAsiaTheme="minorEastAsia"/>
                <w:bCs/>
                <w:color w:val="000000"/>
                <w:kern w:val="0"/>
                <w:szCs w:val="21"/>
              </w:rPr>
              <w:t>依据规程核查法</w:t>
            </w:r>
          </w:p>
        </w:tc>
        <w:tc>
          <w:tcPr>
            <w:tcW w:w="1277" w:type="pct"/>
            <w:shd w:val="clear" w:color="auto" w:fill="auto"/>
            <w:vAlign w:val="center"/>
          </w:tcPr>
          <w:p w14:paraId="58D64264">
            <w:pPr>
              <w:widowControl/>
              <w:jc w:val="center"/>
              <w:rPr>
                <w:rFonts w:eastAsiaTheme="minorEastAsia"/>
                <w:bCs/>
                <w:color w:val="000000"/>
                <w:kern w:val="0"/>
                <w:szCs w:val="21"/>
              </w:rPr>
            </w:pPr>
            <w:r>
              <w:rPr>
                <w:rFonts w:hAnsiTheme="minorEastAsia" w:eastAsiaTheme="minorEastAsia"/>
                <w:bCs/>
                <w:color w:val="000000"/>
                <w:kern w:val="0"/>
                <w:szCs w:val="21"/>
              </w:rPr>
              <w:t>常用</w:t>
            </w:r>
            <w:r>
              <w:rPr>
                <w:rFonts w:hint="eastAsia" w:hAnsiTheme="minorEastAsia" w:eastAsiaTheme="minorEastAsia"/>
                <w:bCs/>
                <w:color w:val="000000"/>
                <w:kern w:val="0"/>
                <w:szCs w:val="21"/>
              </w:rPr>
              <w:t>给料</w:t>
            </w:r>
            <w:r>
              <w:rPr>
                <w:rFonts w:hAnsiTheme="minorEastAsia" w:eastAsiaTheme="minorEastAsia"/>
                <w:bCs/>
                <w:color w:val="000000"/>
                <w:kern w:val="0"/>
                <w:szCs w:val="21"/>
              </w:rPr>
              <w:t>流量</w:t>
            </w:r>
          </w:p>
        </w:tc>
        <w:tc>
          <w:tcPr>
            <w:tcW w:w="1165" w:type="pct"/>
            <w:shd w:val="clear" w:color="auto" w:fill="auto"/>
            <w:vAlign w:val="center"/>
          </w:tcPr>
          <w:p w14:paraId="283A0333">
            <w:pPr>
              <w:widowControl/>
              <w:jc w:val="center"/>
              <w:rPr>
                <w:rFonts w:eastAsiaTheme="minorEastAsia"/>
                <w:kern w:val="0"/>
                <w:szCs w:val="21"/>
              </w:rPr>
            </w:pPr>
            <w:r>
              <w:rPr>
                <w:rFonts w:eastAsiaTheme="minorEastAsia"/>
                <w:kern w:val="0"/>
                <w:szCs w:val="21"/>
              </w:rPr>
              <w:t>7.2.4.1</w:t>
            </w:r>
          </w:p>
        </w:tc>
      </w:tr>
      <w:tr w14:paraId="7B593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9" w:type="pct"/>
            <w:vMerge w:val="continue"/>
            <w:shd w:val="clear" w:color="auto" w:fill="auto"/>
            <w:vAlign w:val="center"/>
          </w:tcPr>
          <w:p w14:paraId="7880B6C8">
            <w:pPr>
              <w:widowControl/>
              <w:jc w:val="center"/>
              <w:rPr>
                <w:rFonts w:eastAsiaTheme="minorEastAsia"/>
                <w:kern w:val="0"/>
                <w:szCs w:val="21"/>
              </w:rPr>
            </w:pPr>
          </w:p>
        </w:tc>
        <w:tc>
          <w:tcPr>
            <w:tcW w:w="1050" w:type="pct"/>
            <w:vMerge w:val="continue"/>
            <w:shd w:val="clear" w:color="auto" w:fill="auto"/>
            <w:vAlign w:val="center"/>
          </w:tcPr>
          <w:p w14:paraId="48E01F60">
            <w:pPr>
              <w:widowControl/>
              <w:jc w:val="center"/>
              <w:rPr>
                <w:rFonts w:eastAsiaTheme="minorEastAsia"/>
                <w:bCs/>
                <w:color w:val="000000"/>
                <w:kern w:val="0"/>
                <w:szCs w:val="21"/>
              </w:rPr>
            </w:pPr>
          </w:p>
        </w:tc>
        <w:tc>
          <w:tcPr>
            <w:tcW w:w="999" w:type="pct"/>
            <w:vAlign w:val="center"/>
          </w:tcPr>
          <w:p w14:paraId="2BA953A6">
            <w:pPr>
              <w:widowControl/>
              <w:jc w:val="center"/>
              <w:rPr>
                <w:rFonts w:eastAsiaTheme="minorEastAsia"/>
                <w:spacing w:val="-1"/>
                <w:szCs w:val="21"/>
              </w:rPr>
            </w:pPr>
            <w:r>
              <w:rPr>
                <w:rFonts w:hAnsiTheme="minorEastAsia" w:eastAsiaTheme="minorEastAsia"/>
                <w:bCs/>
                <w:color w:val="000000"/>
                <w:kern w:val="0"/>
                <w:szCs w:val="21"/>
              </w:rPr>
              <w:t>模拟载荷核查法</w:t>
            </w:r>
          </w:p>
        </w:tc>
        <w:tc>
          <w:tcPr>
            <w:tcW w:w="1277" w:type="pct"/>
            <w:shd w:val="clear" w:color="auto" w:fill="auto"/>
            <w:vAlign w:val="center"/>
          </w:tcPr>
          <w:p w14:paraId="6FDE1ED2">
            <w:pPr>
              <w:widowControl/>
              <w:jc w:val="center"/>
              <w:rPr>
                <w:rFonts w:eastAsiaTheme="minorEastAsia"/>
                <w:spacing w:val="-1"/>
                <w:szCs w:val="21"/>
              </w:rPr>
            </w:pPr>
            <w:bookmarkStart w:id="37" w:name="_Hlk152336962"/>
            <w:r>
              <w:rPr>
                <w:rFonts w:hAnsiTheme="minorEastAsia" w:eastAsiaTheme="minorEastAsia"/>
                <w:spacing w:val="-1"/>
                <w:szCs w:val="21"/>
              </w:rPr>
              <w:t>最大流量、最小流量、常用</w:t>
            </w:r>
            <w:r>
              <w:rPr>
                <w:rFonts w:hint="eastAsia" w:hAnsiTheme="minorEastAsia" w:eastAsiaTheme="minorEastAsia"/>
                <w:spacing w:val="-1"/>
                <w:szCs w:val="21"/>
              </w:rPr>
              <w:t>给料</w:t>
            </w:r>
            <w:r>
              <w:rPr>
                <w:rFonts w:hAnsiTheme="minorEastAsia" w:eastAsiaTheme="minorEastAsia"/>
                <w:spacing w:val="-1"/>
                <w:szCs w:val="21"/>
              </w:rPr>
              <w:t>流量对应载荷</w:t>
            </w:r>
            <w:bookmarkEnd w:id="37"/>
          </w:p>
        </w:tc>
        <w:tc>
          <w:tcPr>
            <w:tcW w:w="1165" w:type="pct"/>
            <w:shd w:val="clear" w:color="auto" w:fill="auto"/>
            <w:vAlign w:val="center"/>
          </w:tcPr>
          <w:p w14:paraId="6DA542CA">
            <w:pPr>
              <w:widowControl/>
              <w:jc w:val="center"/>
              <w:rPr>
                <w:rFonts w:eastAsiaTheme="minorEastAsia"/>
                <w:kern w:val="0"/>
                <w:szCs w:val="21"/>
              </w:rPr>
            </w:pPr>
            <w:r>
              <w:rPr>
                <w:rFonts w:eastAsiaTheme="minorEastAsia"/>
                <w:kern w:val="0"/>
                <w:szCs w:val="21"/>
              </w:rPr>
              <w:t>7.2.4.2</w:t>
            </w:r>
          </w:p>
        </w:tc>
      </w:tr>
    </w:tbl>
    <w:p w14:paraId="09683599">
      <w:pPr>
        <w:spacing w:line="360" w:lineRule="auto"/>
        <w:jc w:val="left"/>
        <w:rPr>
          <w:sz w:val="24"/>
        </w:rPr>
      </w:pPr>
      <w:r>
        <w:rPr>
          <w:rFonts w:hint="eastAsia"/>
          <w:sz w:val="24"/>
        </w:rPr>
        <w:t>7.2 核查方法</w:t>
      </w:r>
    </w:p>
    <w:p w14:paraId="7ABAD569">
      <w:pPr>
        <w:spacing w:line="360" w:lineRule="auto"/>
        <w:jc w:val="left"/>
        <w:rPr>
          <w:sz w:val="24"/>
        </w:rPr>
      </w:pPr>
      <w:r>
        <w:rPr>
          <w:sz w:val="24"/>
        </w:rPr>
        <w:t>7.</w:t>
      </w:r>
      <w:r>
        <w:rPr>
          <w:rFonts w:hint="eastAsia"/>
          <w:sz w:val="24"/>
        </w:rPr>
        <w:t>2</w:t>
      </w:r>
      <w:r>
        <w:rPr>
          <w:sz w:val="24"/>
        </w:rPr>
        <w:t>.1</w:t>
      </w:r>
      <w:r>
        <w:rPr>
          <w:rFonts w:hint="eastAsia"/>
          <w:sz w:val="24"/>
        </w:rPr>
        <w:t xml:space="preserve"> 核查前检查</w:t>
      </w:r>
    </w:p>
    <w:p w14:paraId="143F9EEC">
      <w:pPr>
        <w:pStyle w:val="220"/>
        <w:numPr>
          <w:ilvl w:val="0"/>
          <w:numId w:val="2"/>
        </w:numPr>
        <w:spacing w:line="360" w:lineRule="auto"/>
        <w:ind w:firstLineChars="0"/>
        <w:rPr>
          <w:rFonts w:hAnsi="宋体"/>
          <w:kern w:val="21"/>
          <w:sz w:val="24"/>
        </w:rPr>
      </w:pPr>
      <w:r>
        <w:rPr>
          <w:rFonts w:hint="eastAsia" w:hAnsi="宋体"/>
          <w:kern w:val="21"/>
          <w:sz w:val="24"/>
        </w:rPr>
        <w:t>被核查装置应有使用说明书及相关附件，非首次核查的应有上一次的状态核查证书和周期检定证书。</w:t>
      </w:r>
    </w:p>
    <w:p w14:paraId="59D376D7">
      <w:pPr>
        <w:spacing w:line="360" w:lineRule="auto"/>
        <w:ind w:left="480"/>
        <w:rPr>
          <w:bCs/>
          <w:sz w:val="24"/>
          <w:lang w:val="zh-CN"/>
        </w:rPr>
      </w:pPr>
      <w:r>
        <w:rPr>
          <w:rFonts w:hint="eastAsia" w:hAnsi="宋体"/>
          <w:bCs/>
          <w:color w:val="000000"/>
          <w:sz w:val="24"/>
        </w:rPr>
        <w:t>b）</w:t>
      </w:r>
      <w:r>
        <w:rPr>
          <w:rFonts w:hAnsi="宋体"/>
          <w:kern w:val="21"/>
          <w:sz w:val="24"/>
        </w:rPr>
        <w:t>被</w:t>
      </w:r>
      <w:r>
        <w:rPr>
          <w:rFonts w:hint="eastAsia" w:hAnsi="宋体"/>
          <w:kern w:val="21"/>
          <w:sz w:val="24"/>
        </w:rPr>
        <w:t>核查装置</w:t>
      </w:r>
      <w:r>
        <w:rPr>
          <w:rFonts w:hAnsi="宋体"/>
          <w:kern w:val="21"/>
          <w:sz w:val="24"/>
        </w:rPr>
        <w:t>外观完好</w:t>
      </w:r>
      <w:r>
        <w:rPr>
          <w:rFonts w:hint="eastAsia" w:hAnsi="宋体"/>
          <w:kern w:val="21"/>
          <w:sz w:val="24"/>
        </w:rPr>
        <w:t>，各部分装配正确、可靠、无缺件</w:t>
      </w:r>
      <w:r>
        <w:rPr>
          <w:rFonts w:hAnsi="宋体"/>
          <w:kern w:val="21"/>
          <w:sz w:val="24"/>
        </w:rPr>
        <w:t>，无明显的损伤</w:t>
      </w:r>
      <w:r>
        <w:rPr>
          <w:rFonts w:hint="eastAsia" w:hAnsi="宋体"/>
          <w:kern w:val="21"/>
          <w:sz w:val="24"/>
        </w:rPr>
        <w:t>和</w:t>
      </w:r>
      <w:r>
        <w:rPr>
          <w:rFonts w:hAnsi="宋体"/>
          <w:kern w:val="21"/>
          <w:sz w:val="24"/>
        </w:rPr>
        <w:t>变形。</w:t>
      </w:r>
    </w:p>
    <w:p w14:paraId="5DDF4022">
      <w:pPr>
        <w:spacing w:line="360" w:lineRule="auto"/>
        <w:ind w:firstLine="480" w:firstLineChars="200"/>
        <w:jc w:val="left"/>
        <w:rPr>
          <w:rFonts w:hAnsi="宋体"/>
          <w:kern w:val="21"/>
          <w:sz w:val="24"/>
        </w:rPr>
      </w:pPr>
      <w:r>
        <w:rPr>
          <w:rFonts w:hint="eastAsia" w:hAnsi="宋体"/>
          <w:bCs/>
          <w:color w:val="000000"/>
          <w:sz w:val="24"/>
        </w:rPr>
        <w:t>c）</w:t>
      </w:r>
      <w:r>
        <w:rPr>
          <w:rFonts w:hAnsi="宋体"/>
          <w:kern w:val="21"/>
          <w:sz w:val="24"/>
        </w:rPr>
        <w:t>被</w:t>
      </w:r>
      <w:r>
        <w:rPr>
          <w:rFonts w:hint="eastAsia" w:hAnsi="宋体"/>
          <w:kern w:val="21"/>
          <w:sz w:val="24"/>
        </w:rPr>
        <w:t>核查装置确保能够正常工作，在核查之前应经过适当时间的通电。</w:t>
      </w:r>
    </w:p>
    <w:p w14:paraId="3ABA8A33">
      <w:pPr>
        <w:spacing w:line="360" w:lineRule="auto"/>
        <w:jc w:val="left"/>
        <w:rPr>
          <w:sz w:val="24"/>
        </w:rPr>
      </w:pPr>
      <w:r>
        <w:rPr>
          <w:sz w:val="24"/>
        </w:rPr>
        <w:t>7.</w:t>
      </w:r>
      <w:r>
        <w:rPr>
          <w:rFonts w:hint="eastAsia"/>
          <w:sz w:val="24"/>
        </w:rPr>
        <w:t>2</w:t>
      </w:r>
      <w:r>
        <w:rPr>
          <w:sz w:val="24"/>
        </w:rPr>
        <w:t>.2</w:t>
      </w:r>
      <w:r>
        <w:rPr>
          <w:rFonts w:hint="eastAsia"/>
          <w:sz w:val="24"/>
        </w:rPr>
        <w:t xml:space="preserve"> 零点核查</w:t>
      </w:r>
    </w:p>
    <w:p w14:paraId="3F607A80">
      <w:pPr>
        <w:spacing w:line="360" w:lineRule="auto"/>
        <w:rPr>
          <w:rFonts w:eastAsiaTheme="minorEastAsia"/>
          <w:sz w:val="24"/>
        </w:rPr>
      </w:pPr>
      <w:r>
        <w:rPr>
          <w:rFonts w:eastAsiaTheme="minorEastAsia"/>
          <w:sz w:val="24"/>
        </w:rPr>
        <w:t>7.</w:t>
      </w:r>
      <w:r>
        <w:rPr>
          <w:rFonts w:hint="eastAsia" w:eastAsiaTheme="minorEastAsia"/>
          <w:sz w:val="24"/>
        </w:rPr>
        <w:t>2</w:t>
      </w:r>
      <w:r>
        <w:rPr>
          <w:rFonts w:eastAsiaTheme="minorEastAsia"/>
          <w:sz w:val="24"/>
        </w:rPr>
        <w:t>.2.1</w:t>
      </w:r>
      <w:r>
        <w:rPr>
          <w:rFonts w:hint="eastAsia" w:eastAsiaTheme="minorEastAsia"/>
          <w:sz w:val="24"/>
        </w:rPr>
        <w:t xml:space="preserve"> 零点的累计误差</w:t>
      </w:r>
    </w:p>
    <w:bookmarkEnd w:id="25"/>
    <w:bookmarkEnd w:id="26"/>
    <w:p w14:paraId="2BB61D2A">
      <w:pPr>
        <w:spacing w:line="360" w:lineRule="auto"/>
        <w:ind w:firstLine="480" w:firstLineChars="200"/>
        <w:rPr>
          <w:rFonts w:hAnsi="宋体"/>
          <w:bCs/>
          <w:color w:val="000000"/>
          <w:sz w:val="24"/>
        </w:rPr>
      </w:pPr>
      <w:bookmarkStart w:id="38" w:name="_Toc523213405"/>
      <w:bookmarkStart w:id="39" w:name="_Toc465926398"/>
      <w:bookmarkStart w:id="40" w:name="_Toc465926400"/>
      <w:r>
        <w:rPr>
          <w:rFonts w:hint="eastAsia" w:hAnsi="宋体"/>
          <w:bCs/>
          <w:color w:val="000000"/>
          <w:sz w:val="24"/>
        </w:rPr>
        <w:t>在皮带上做标记，“开机”预热运行，将皮带秤置零并记下置零开始时的点，然后关闭自动置零功能，皮带秤空转若干个整数圈，持续时间尽量接近3 min, 然后停止皮带，如果不可能使皮带秤停止运行，可将累计量记录下来。</w:t>
      </w:r>
    </w:p>
    <w:p w14:paraId="05ADB472">
      <w:pPr>
        <w:spacing w:line="360" w:lineRule="auto"/>
        <w:jc w:val="left"/>
        <w:rPr>
          <w:sz w:val="24"/>
        </w:rPr>
      </w:pPr>
      <w:r>
        <w:rPr>
          <w:sz w:val="24"/>
        </w:rPr>
        <w:t>7.</w:t>
      </w:r>
      <w:r>
        <w:rPr>
          <w:rFonts w:hint="eastAsia"/>
          <w:sz w:val="24"/>
        </w:rPr>
        <w:t>2</w:t>
      </w:r>
      <w:r>
        <w:rPr>
          <w:sz w:val="24"/>
        </w:rPr>
        <w:t>.2</w:t>
      </w:r>
      <w:r>
        <w:rPr>
          <w:rFonts w:hint="eastAsia"/>
          <w:sz w:val="24"/>
        </w:rPr>
        <w:t>.2 零载荷的最大偏差</w:t>
      </w:r>
    </w:p>
    <w:p w14:paraId="503AEC06">
      <w:pPr>
        <w:spacing w:line="360" w:lineRule="auto"/>
        <w:ind w:firstLine="480" w:firstLineChars="200"/>
        <w:rPr>
          <w:rFonts w:eastAsiaTheme="minorEastAsia"/>
          <w:bCs/>
          <w:color w:val="000000"/>
          <w:sz w:val="24"/>
        </w:rPr>
      </w:pPr>
      <w:r>
        <w:rPr>
          <w:rFonts w:eastAsiaTheme="minorEastAsia"/>
          <w:bCs/>
          <w:color w:val="000000"/>
          <w:sz w:val="24"/>
        </w:rPr>
        <w:t>“</w:t>
      </w:r>
      <w:r>
        <w:rPr>
          <w:rFonts w:hAnsiTheme="minorEastAsia" w:eastAsiaTheme="minorEastAsia"/>
          <w:bCs/>
          <w:color w:val="000000"/>
          <w:sz w:val="24"/>
        </w:rPr>
        <w:t>零点的累计误差</w:t>
      </w:r>
      <w:r>
        <w:rPr>
          <w:rFonts w:eastAsiaTheme="minorEastAsia"/>
          <w:bCs/>
          <w:color w:val="000000"/>
          <w:sz w:val="24"/>
        </w:rPr>
        <w:t>”</w:t>
      </w:r>
      <w:r>
        <w:rPr>
          <w:rFonts w:hAnsiTheme="minorEastAsia" w:eastAsiaTheme="minorEastAsia"/>
          <w:bCs/>
          <w:color w:val="000000"/>
          <w:sz w:val="24"/>
        </w:rPr>
        <w:t>核查时应记录开始时累计显示器的示值和核查过程中累计显示器最大的示值与最小的示值。</w:t>
      </w:r>
    </w:p>
    <w:p w14:paraId="20E9D8F7">
      <w:pPr>
        <w:spacing w:line="360" w:lineRule="auto"/>
        <w:jc w:val="left"/>
        <w:rPr>
          <w:sz w:val="24"/>
        </w:rPr>
      </w:pPr>
      <w:r>
        <w:rPr>
          <w:sz w:val="24"/>
        </w:rPr>
        <w:t>7.</w:t>
      </w:r>
      <w:r>
        <w:rPr>
          <w:rFonts w:hint="eastAsia"/>
          <w:sz w:val="24"/>
        </w:rPr>
        <w:t>2</w:t>
      </w:r>
      <w:r>
        <w:rPr>
          <w:sz w:val="24"/>
        </w:rPr>
        <w:t>.3</w:t>
      </w:r>
      <w:r>
        <w:rPr>
          <w:rFonts w:hint="eastAsia"/>
          <w:sz w:val="24"/>
        </w:rPr>
        <w:t xml:space="preserve"> 重复性</w:t>
      </w:r>
    </w:p>
    <w:p w14:paraId="38548CB8">
      <w:pPr>
        <w:spacing w:line="360" w:lineRule="auto"/>
        <w:ind w:firstLine="484" w:firstLineChars="200"/>
        <w:rPr>
          <w:sz w:val="24"/>
        </w:rPr>
      </w:pPr>
      <w:r>
        <w:rPr>
          <w:rFonts w:ascii="宋体" w:hAnsi="宋体" w:cs="宋体"/>
          <w:spacing w:val="1"/>
          <w:sz w:val="24"/>
        </w:rPr>
        <w:t>物料</w:t>
      </w:r>
      <w:r>
        <w:rPr>
          <w:rFonts w:hint="eastAsia" w:ascii="宋体" w:hAnsi="宋体" w:cs="宋体"/>
          <w:spacing w:val="1"/>
          <w:sz w:val="24"/>
        </w:rPr>
        <w:t>试验重复性测量：</w:t>
      </w:r>
      <w:r>
        <w:rPr>
          <w:rFonts w:hint="eastAsia"/>
          <w:color w:val="000000"/>
          <w:sz w:val="24"/>
          <w:szCs w:val="28"/>
        </w:rPr>
        <w:t>参照</w:t>
      </w:r>
      <w:r>
        <w:rPr>
          <w:rFonts w:hint="eastAsia"/>
          <w:sz w:val="24"/>
        </w:rPr>
        <w:t>JJG 195—2019连续累计自动衡器（皮带秤）。</w:t>
      </w:r>
    </w:p>
    <w:p w14:paraId="6602FB8E">
      <w:pPr>
        <w:spacing w:line="360" w:lineRule="auto"/>
        <w:ind w:firstLine="480" w:firstLineChars="200"/>
        <w:rPr>
          <w:rFonts w:eastAsiaTheme="minorEastAsia"/>
          <w:bCs/>
          <w:color w:val="000000"/>
          <w:sz w:val="24"/>
        </w:rPr>
      </w:pPr>
      <w:r>
        <w:rPr>
          <w:rFonts w:hint="eastAsia"/>
          <w:sz w:val="24"/>
        </w:rPr>
        <w:t>模拟载荷试验重复性测量：</w:t>
      </w:r>
      <w:r>
        <w:rPr>
          <w:rFonts w:hint="eastAsia" w:hAnsi="宋体"/>
          <w:bCs/>
          <w:color w:val="000000"/>
          <w:sz w:val="24"/>
        </w:rPr>
        <w:t>往皮带秤上施加模拟载荷装置（常用给料流量对应载荷），然后卸下模拟载荷装置。允许皮带秤空转并将示值回零（若必要），再用同一模拟载荷装置重复加载两次。</w:t>
      </w:r>
    </w:p>
    <w:p w14:paraId="1D77308E">
      <w:pPr>
        <w:spacing w:line="360" w:lineRule="auto"/>
        <w:jc w:val="left"/>
        <w:rPr>
          <w:sz w:val="24"/>
        </w:rPr>
      </w:pPr>
      <w:r>
        <w:rPr>
          <w:sz w:val="24"/>
        </w:rPr>
        <w:t>7.</w:t>
      </w:r>
      <w:r>
        <w:rPr>
          <w:rFonts w:hint="eastAsia"/>
          <w:sz w:val="24"/>
        </w:rPr>
        <w:t>2</w:t>
      </w:r>
      <w:r>
        <w:rPr>
          <w:sz w:val="24"/>
        </w:rPr>
        <w:t>.4</w:t>
      </w:r>
      <w:r>
        <w:rPr>
          <w:rFonts w:hint="eastAsia"/>
          <w:sz w:val="24"/>
        </w:rPr>
        <w:t xml:space="preserve"> 示值误差的测量</w:t>
      </w:r>
    </w:p>
    <w:p w14:paraId="690B5E0E">
      <w:pPr>
        <w:spacing w:line="360" w:lineRule="auto"/>
        <w:ind w:firstLine="480" w:firstLineChars="200"/>
        <w:rPr>
          <w:sz w:val="24"/>
        </w:rPr>
      </w:pPr>
      <w:r>
        <w:rPr>
          <w:rFonts w:hint="eastAsia"/>
          <w:color w:val="000000"/>
          <w:sz w:val="24"/>
          <w:szCs w:val="28"/>
        </w:rPr>
        <w:t>实验室可根据实际情况，选择</w:t>
      </w:r>
      <w:r>
        <w:rPr>
          <w:color w:val="000000"/>
          <w:sz w:val="24"/>
          <w:szCs w:val="28"/>
        </w:rPr>
        <w:t>7</w:t>
      </w:r>
      <w:r>
        <w:rPr>
          <w:rFonts w:hint="eastAsia"/>
          <w:color w:val="000000"/>
          <w:sz w:val="24"/>
          <w:szCs w:val="28"/>
        </w:rPr>
        <w:t>.2</w:t>
      </w:r>
      <w:r>
        <w:rPr>
          <w:color w:val="000000"/>
          <w:sz w:val="24"/>
          <w:szCs w:val="28"/>
        </w:rPr>
        <w:t>.4.1</w:t>
      </w:r>
      <w:r>
        <w:rPr>
          <w:rFonts w:hint="eastAsia"/>
          <w:color w:val="000000"/>
          <w:sz w:val="24"/>
          <w:szCs w:val="28"/>
        </w:rPr>
        <w:t>、</w:t>
      </w:r>
      <w:r>
        <w:rPr>
          <w:color w:val="000000"/>
          <w:sz w:val="24"/>
          <w:szCs w:val="28"/>
        </w:rPr>
        <w:t>7</w:t>
      </w:r>
      <w:r>
        <w:rPr>
          <w:rFonts w:hint="eastAsia"/>
          <w:color w:val="000000"/>
          <w:sz w:val="24"/>
          <w:szCs w:val="28"/>
        </w:rPr>
        <w:t>.</w:t>
      </w:r>
      <w:r>
        <w:rPr>
          <w:color w:val="000000"/>
          <w:sz w:val="24"/>
          <w:szCs w:val="28"/>
        </w:rPr>
        <w:t>2.4.2</w:t>
      </w:r>
      <w:r>
        <w:rPr>
          <w:rFonts w:hint="eastAsia"/>
          <w:color w:val="000000"/>
          <w:sz w:val="24"/>
          <w:szCs w:val="28"/>
        </w:rPr>
        <w:t>中任一种方法测量皮带秤示值误差，也可选取多种方法进行。</w:t>
      </w:r>
    </w:p>
    <w:p w14:paraId="03D9CCA7">
      <w:pPr>
        <w:spacing w:line="360" w:lineRule="auto"/>
        <w:jc w:val="left"/>
        <w:rPr>
          <w:sz w:val="24"/>
        </w:rPr>
      </w:pPr>
      <w:r>
        <w:rPr>
          <w:sz w:val="24"/>
        </w:rPr>
        <w:t>7.</w:t>
      </w:r>
      <w:r>
        <w:rPr>
          <w:rFonts w:hint="eastAsia"/>
          <w:sz w:val="24"/>
        </w:rPr>
        <w:t>2</w:t>
      </w:r>
      <w:r>
        <w:rPr>
          <w:sz w:val="24"/>
        </w:rPr>
        <w:t>.4.1</w:t>
      </w:r>
      <w:r>
        <w:rPr>
          <w:rFonts w:hint="eastAsia"/>
          <w:sz w:val="24"/>
        </w:rPr>
        <w:t xml:space="preserve"> 依据规程核查法</w:t>
      </w:r>
    </w:p>
    <w:p w14:paraId="6E520638">
      <w:pPr>
        <w:spacing w:line="360" w:lineRule="auto"/>
        <w:ind w:firstLine="480" w:firstLineChars="200"/>
        <w:jc w:val="left"/>
        <w:rPr>
          <w:sz w:val="24"/>
        </w:rPr>
      </w:pPr>
      <w:r>
        <w:rPr>
          <w:rFonts w:hint="eastAsia"/>
          <w:color w:val="000000"/>
          <w:sz w:val="24"/>
          <w:szCs w:val="28"/>
        </w:rPr>
        <w:t>实验室可根据</w:t>
      </w:r>
      <w:r>
        <w:rPr>
          <w:rFonts w:hint="eastAsia"/>
          <w:sz w:val="24"/>
        </w:rPr>
        <w:t>JJG 195—2019连续累计自动衡器（皮带秤）</w:t>
      </w:r>
      <w:r>
        <w:rPr>
          <w:rFonts w:hint="eastAsia"/>
          <w:color w:val="000000"/>
          <w:sz w:val="24"/>
          <w:szCs w:val="28"/>
        </w:rPr>
        <w:t>的后续检定项目进行核查，并根据规程要求进行结果判定。</w:t>
      </w:r>
    </w:p>
    <w:p w14:paraId="3A462C96">
      <w:pPr>
        <w:spacing w:line="360" w:lineRule="auto"/>
        <w:jc w:val="left"/>
        <w:rPr>
          <w:sz w:val="24"/>
        </w:rPr>
      </w:pPr>
      <w:r>
        <w:rPr>
          <w:sz w:val="24"/>
        </w:rPr>
        <w:t>7.</w:t>
      </w:r>
      <w:r>
        <w:rPr>
          <w:rFonts w:hint="eastAsia"/>
          <w:sz w:val="24"/>
        </w:rPr>
        <w:t>2</w:t>
      </w:r>
      <w:r>
        <w:rPr>
          <w:sz w:val="24"/>
        </w:rPr>
        <w:t>.</w:t>
      </w:r>
      <w:r>
        <w:rPr>
          <w:rFonts w:hint="eastAsia"/>
          <w:sz w:val="24"/>
        </w:rPr>
        <w:t>4.2 模拟载荷核查法</w:t>
      </w:r>
    </w:p>
    <w:bookmarkEnd w:id="38"/>
    <w:bookmarkEnd w:id="39"/>
    <w:p w14:paraId="7F954095">
      <w:pPr>
        <w:spacing w:line="360" w:lineRule="auto"/>
        <w:ind w:firstLine="480" w:firstLineChars="200"/>
        <w:rPr>
          <w:rFonts w:hAnsi="宋体"/>
          <w:bCs/>
          <w:sz w:val="24"/>
        </w:rPr>
      </w:pPr>
      <w:r>
        <w:rPr>
          <w:rFonts w:hint="eastAsia" w:hAnsi="宋体"/>
          <w:bCs/>
          <w:sz w:val="24"/>
        </w:rPr>
        <w:t>由法定计量技术机构依据JJG 195-2019连续累计自动衡器（皮带秤）检定规程对皮带秤进行</w:t>
      </w:r>
      <w:bookmarkStart w:id="41" w:name="_Hlk153292143"/>
      <w:r>
        <w:rPr>
          <w:rFonts w:hint="eastAsia" w:hAnsi="宋体"/>
          <w:bCs/>
          <w:sz w:val="24"/>
        </w:rPr>
        <w:t>周期检定或者定期进行物料试验</w:t>
      </w:r>
      <w:bookmarkEnd w:id="41"/>
      <w:r>
        <w:rPr>
          <w:rFonts w:hint="eastAsia" w:hAnsi="宋体"/>
          <w:bCs/>
          <w:sz w:val="24"/>
          <w:lang w:eastAsia="zh-CN"/>
        </w:rPr>
        <w:t>，</w:t>
      </w:r>
      <w:r>
        <w:rPr>
          <w:rFonts w:hint="eastAsia" w:hAnsi="宋体"/>
          <w:bCs/>
          <w:sz w:val="24"/>
        </w:rPr>
        <w:t>在物料试验后立即进行首次模拟载荷试验(通常不应超过12h)</w:t>
      </w:r>
      <w:r>
        <w:rPr>
          <w:rFonts w:hint="eastAsia" w:hAnsi="宋体"/>
          <w:bCs/>
          <w:sz w:val="24"/>
          <w:lang w:eastAsia="zh-CN"/>
        </w:rPr>
        <w:t>，</w:t>
      </w:r>
      <w:r>
        <w:rPr>
          <w:rFonts w:hint="eastAsia" w:hAnsi="宋体"/>
          <w:bCs/>
          <w:sz w:val="24"/>
        </w:rPr>
        <w:t>建立起模拟载荷试验结果与物料试验结果的对应关系。</w:t>
      </w:r>
    </w:p>
    <w:p w14:paraId="0BE6CD04">
      <w:pPr>
        <w:spacing w:line="360" w:lineRule="auto"/>
        <w:ind w:firstLine="436" w:firstLineChars="182"/>
        <w:rPr>
          <w:rFonts w:hAnsi="宋体"/>
          <w:bCs/>
          <w:sz w:val="24"/>
        </w:rPr>
      </w:pPr>
      <w:r>
        <w:rPr>
          <w:rFonts w:hint="eastAsia" w:hAnsi="宋体"/>
          <w:bCs/>
          <w:sz w:val="24"/>
        </w:rPr>
        <w:t>核查点可选择最大流量、最小流量、常用给料流量对应载荷，至少3个核查点。必要时，可根据客户需求调整或增加核查点。</w:t>
      </w:r>
    </w:p>
    <w:p w14:paraId="2B1612E5">
      <w:pPr>
        <w:spacing w:line="360" w:lineRule="auto"/>
        <w:ind w:firstLine="480" w:firstLineChars="200"/>
        <w:rPr>
          <w:rFonts w:hAnsi="宋体"/>
          <w:bCs/>
          <w:color w:val="000000"/>
          <w:sz w:val="24"/>
        </w:rPr>
      </w:pPr>
      <w:r>
        <w:rPr>
          <w:rFonts w:hint="eastAsia" w:hAnsi="宋体"/>
          <w:kern w:val="0"/>
          <w:sz w:val="24"/>
          <w:lang w:val="zh-CN"/>
        </w:rPr>
        <w:t>a）</w:t>
      </w:r>
      <w:r>
        <w:rPr>
          <w:rFonts w:hint="eastAsia" w:hAnsi="宋体"/>
          <w:bCs/>
          <w:color w:val="000000"/>
          <w:sz w:val="24"/>
        </w:rPr>
        <w:t>模拟载荷试验相对误差计算公式：</w:t>
      </w:r>
    </w:p>
    <w:p w14:paraId="4DBD4815">
      <w:pPr>
        <w:spacing w:line="360" w:lineRule="auto"/>
        <w:jc w:val="center"/>
      </w:pPr>
      <w:r>
        <w:rPr>
          <w:rFonts w:hint="eastAsia"/>
          <w:position w:val="-24"/>
          <w:lang w:val="en-US" w:eastAsia="zh-CN"/>
        </w:rPr>
        <w:t xml:space="preserve">      </w:t>
      </w:r>
      <w:r>
        <w:rPr>
          <w:position w:val="-24"/>
        </w:rPr>
        <w:object>
          <v:shape id="_x0000_i1025" o:spt="75" type="#_x0000_t75" style="height:31.3pt;width:88.3pt;" o:ole="t" filled="f" o:preferrelative="t" stroked="f" coordsize="21600,21600">
            <v:path/>
            <v:fill on="f" focussize="0,0"/>
            <v:stroke on="f" joinstyle="miter"/>
            <v:imagedata r:id="rId20" o:title=""/>
            <o:lock v:ext="edit" aspectratio="t"/>
            <w10:wrap type="none"/>
            <w10:anchorlock/>
          </v:shape>
          <o:OLEObject Type="Embed" ProgID="Equation.DSMT4" ShapeID="_x0000_i1025" DrawAspect="Content" ObjectID="_1468075725" r:id="rId19">
            <o:LockedField>false</o:LockedField>
          </o:OLEObject>
        </w:object>
      </w:r>
      <w:r>
        <w:rPr>
          <w:rFonts w:hint="eastAsia"/>
          <w:position w:val="-24"/>
          <w:lang w:val="en-US" w:eastAsia="zh-CN"/>
        </w:rPr>
        <w:t xml:space="preserve">            </w:t>
      </w:r>
      <w:r>
        <w:rPr>
          <w:rFonts w:hint="eastAsia" w:hAnsi="宋体"/>
          <w:sz w:val="24"/>
        </w:rPr>
        <w:t>（</w:t>
      </w:r>
      <w:r>
        <w:rPr>
          <w:rFonts w:hint="eastAsia"/>
          <w:sz w:val="24"/>
        </w:rPr>
        <w:t>1</w:t>
      </w:r>
      <w:r>
        <w:rPr>
          <w:rFonts w:hint="eastAsia" w:hAnsi="宋体"/>
          <w:sz w:val="24"/>
        </w:rPr>
        <w:t>）</w:t>
      </w:r>
    </w:p>
    <w:p w14:paraId="0CA6E11C">
      <w:pPr>
        <w:spacing w:line="360" w:lineRule="auto"/>
        <w:rPr>
          <w:rFonts w:hAnsi="宋体"/>
          <w:bCs/>
          <w:color w:val="000000"/>
          <w:kern w:val="0"/>
          <w:sz w:val="24"/>
        </w:rPr>
      </w:pPr>
      <w:r>
        <w:rPr>
          <w:rFonts w:hAnsi="宋体"/>
          <w:bCs/>
          <w:color w:val="000000"/>
          <w:kern w:val="0"/>
          <w:sz w:val="24"/>
        </w:rPr>
        <w:t>式中：</w:t>
      </w:r>
    </w:p>
    <w:p w14:paraId="1BB144B2">
      <w:pPr>
        <w:spacing w:line="360" w:lineRule="auto"/>
        <w:ind w:firstLine="420" w:firstLineChars="200"/>
        <w:rPr>
          <w:bCs/>
          <w:kern w:val="0"/>
          <w:sz w:val="24"/>
        </w:rPr>
      </w:pPr>
      <w:r>
        <w:rPr>
          <w:position w:val="-12"/>
        </w:rPr>
        <w:object>
          <v:shape id="_x0000_i1026" o:spt="75" type="#_x0000_t75" style="height:19.3pt;width:16.3pt;" o:ole="t" filled="f" o:preferrelative="t" stroked="f" coordsize="21600,21600">
            <v:path/>
            <v:fill on="f" focussize="0,0"/>
            <v:stroke on="f" joinstyle="miter"/>
            <v:imagedata r:id="rId22" o:title=""/>
            <o:lock v:ext="edit" aspectratio="t"/>
            <w10:wrap type="none"/>
            <w10:anchorlock/>
          </v:shape>
          <o:OLEObject Type="Embed" ProgID="Equation.DSMT4" ShapeID="_x0000_i1026" DrawAspect="Content" ObjectID="_1468075726" r:id="rId21">
            <o:LockedField>false</o:LockedField>
          </o:OLEObject>
        </w:object>
      </w:r>
      <w:r>
        <w:rPr>
          <w:sz w:val="24"/>
        </w:rPr>
        <w:t>——</w:t>
      </w:r>
      <w:r>
        <w:rPr>
          <w:rFonts w:hint="eastAsia" w:hAnsi="宋体"/>
          <w:bCs/>
          <w:color w:val="000000"/>
          <w:sz w:val="24"/>
        </w:rPr>
        <w:t>模拟载荷试验</w:t>
      </w:r>
      <w:r>
        <w:rPr>
          <w:rFonts w:hint="eastAsia" w:hAnsi="宋体"/>
          <w:bCs/>
          <w:kern w:val="0"/>
          <w:sz w:val="24"/>
          <w:lang w:val="zh-CN"/>
        </w:rPr>
        <w:t>相对误差</w:t>
      </w:r>
      <w:r>
        <w:rPr>
          <w:rFonts w:hint="eastAsia" w:hAnsi="宋体"/>
          <w:sz w:val="24"/>
        </w:rPr>
        <w:t>，%</w:t>
      </w:r>
      <w:r>
        <w:rPr>
          <w:rFonts w:hAnsi="宋体"/>
          <w:sz w:val="24"/>
        </w:rPr>
        <w:t>；</w:t>
      </w:r>
    </w:p>
    <w:p w14:paraId="18AD6821">
      <w:pPr>
        <w:spacing w:line="360" w:lineRule="auto"/>
        <w:ind w:firstLine="420" w:firstLineChars="200"/>
        <w:rPr>
          <w:sz w:val="24"/>
        </w:rPr>
      </w:pPr>
      <w:r>
        <w:rPr>
          <w:position w:val="-4"/>
        </w:rPr>
        <w:object>
          <v:shape id="_x0000_i1027" o:spt="75" type="#_x0000_t75" style="height:13.3pt;width:10.7pt;" o:ole="t" filled="f" o:preferrelative="t" stroked="f" coordsize="21600,21600">
            <v:path/>
            <v:fill on="f" focussize="0,0"/>
            <v:stroke on="f" joinstyle="miter"/>
            <v:imagedata r:id="rId24" o:title=""/>
            <o:lock v:ext="edit" aspectratio="t"/>
            <w10:wrap type="none"/>
            <w10:anchorlock/>
          </v:shape>
          <o:OLEObject Type="Embed" ProgID="Equation.DSMT4" ShapeID="_x0000_i1027" DrawAspect="Content" ObjectID="_1468075727" r:id="rId23">
            <o:LockedField>false</o:LockedField>
          </o:OLEObject>
        </w:object>
      </w:r>
      <w:r>
        <w:rPr>
          <w:sz w:val="24"/>
        </w:rPr>
        <w:t>——</w:t>
      </w:r>
      <w:r>
        <w:rPr>
          <w:rFonts w:hint="eastAsia" w:hAnsi="宋体"/>
          <w:sz w:val="24"/>
        </w:rPr>
        <w:t>皮带秤的示值，kg，g，t</w:t>
      </w:r>
      <w:r>
        <w:rPr>
          <w:rFonts w:hAnsi="宋体"/>
          <w:sz w:val="24"/>
        </w:rPr>
        <w:t>；</w:t>
      </w:r>
    </w:p>
    <w:p w14:paraId="28CB84FA">
      <w:pPr>
        <w:spacing w:line="360" w:lineRule="auto"/>
        <w:ind w:firstLine="420" w:firstLineChars="200"/>
        <w:rPr>
          <w:rFonts w:hAnsi="宋体"/>
          <w:sz w:val="24"/>
        </w:rPr>
      </w:pPr>
      <w:r>
        <w:rPr>
          <w:position w:val="-4"/>
        </w:rPr>
        <w:object>
          <v:shape id="_x0000_i1028" o:spt="75" type="#_x0000_t75" style="height:13.3pt;width:11.55pt;" o:ole="t" filled="f" o:preferrelative="t" stroked="f" coordsize="21600,21600">
            <v:path/>
            <v:fill on="f" focussize="0,0"/>
            <v:stroke on="f" joinstyle="miter"/>
            <v:imagedata r:id="rId26" o:title=""/>
            <o:lock v:ext="edit" aspectratio="t"/>
            <w10:wrap type="none"/>
            <w10:anchorlock/>
          </v:shape>
          <o:OLEObject Type="Embed" ProgID="Equation.DSMT4" ShapeID="_x0000_i1028" DrawAspect="Content" ObjectID="_1468075728" r:id="rId25">
            <o:LockedField>false</o:LockedField>
          </o:OLEObject>
        </w:object>
      </w:r>
      <w:r>
        <w:rPr>
          <w:sz w:val="24"/>
        </w:rPr>
        <w:t>——</w:t>
      </w:r>
      <w:r>
        <w:rPr>
          <w:rFonts w:hint="eastAsia"/>
          <w:sz w:val="24"/>
        </w:rPr>
        <w:t>模拟载荷装置显示的或</w:t>
      </w:r>
      <w:r>
        <w:rPr>
          <w:rFonts w:hint="eastAsia" w:hAnsi="宋体"/>
          <w:sz w:val="24"/>
        </w:rPr>
        <w:t>计算的累计载荷重量</w:t>
      </w:r>
      <w:r>
        <w:rPr>
          <w:rFonts w:hint="eastAsia"/>
          <w:bCs/>
          <w:color w:val="000000"/>
          <w:kern w:val="0"/>
          <w:sz w:val="24"/>
        </w:rPr>
        <w:t>，</w:t>
      </w:r>
      <w:r>
        <w:rPr>
          <w:rFonts w:hint="eastAsia" w:hAnsi="宋体"/>
          <w:sz w:val="24"/>
        </w:rPr>
        <w:t>kg，g，t。</w:t>
      </w:r>
    </w:p>
    <w:p w14:paraId="7C595F07">
      <w:pPr>
        <w:spacing w:line="360" w:lineRule="auto"/>
        <w:ind w:firstLine="480" w:firstLineChars="200"/>
        <w:rPr>
          <w:rFonts w:hAnsi="宋体"/>
          <w:sz w:val="24"/>
        </w:rPr>
      </w:pPr>
      <w:r>
        <w:rPr>
          <w:rFonts w:hint="eastAsia" w:hAnsi="宋体"/>
          <w:kern w:val="0"/>
          <w:sz w:val="24"/>
          <w:lang w:val="zh-CN"/>
        </w:rPr>
        <w:t>b）</w:t>
      </w:r>
      <w:r>
        <w:rPr>
          <w:rFonts w:hint="eastAsia" w:hAnsi="宋体"/>
          <w:bCs/>
          <w:color w:val="000000"/>
          <w:sz w:val="24"/>
        </w:rPr>
        <w:t>基于物料校验参数修正的模拟载荷试验</w:t>
      </w:r>
      <w:r>
        <w:rPr>
          <w:rFonts w:hint="eastAsia" w:hAnsi="宋体"/>
          <w:bCs/>
          <w:color w:val="000000"/>
          <w:kern w:val="0"/>
          <w:sz w:val="24"/>
          <w:lang w:val="zh-CN"/>
        </w:rPr>
        <w:t>法</w:t>
      </w:r>
      <w:r>
        <w:rPr>
          <w:rFonts w:hint="eastAsia" w:hAnsi="Cambria Math"/>
          <w:sz w:val="24"/>
        </w:rPr>
        <w:t>相对误差</w:t>
      </w:r>
      <m:oMath>
        <m:r>
          <m:rPr/>
          <w:rPr>
            <w:rFonts w:hint="eastAsia" w:ascii="Cambria Math" w:hAnsi="Cambria Math"/>
            <w:sz w:val="24"/>
          </w:rPr>
          <m:t>E</m:t>
        </m:r>
      </m:oMath>
    </w:p>
    <w:p w14:paraId="6DBAD73C">
      <w:pPr>
        <w:spacing w:line="360" w:lineRule="auto"/>
        <w:ind w:firstLine="480" w:firstLineChars="200"/>
        <w:jc w:val="center"/>
        <w:rPr>
          <w:rFonts w:hAnsi="宋体"/>
          <w:kern w:val="0"/>
          <w:sz w:val="24"/>
          <w:lang w:val="zh-CN"/>
        </w:rPr>
      </w:pPr>
      <w:r>
        <w:rPr>
          <w:rFonts w:hint="eastAsia" w:hAnsi="宋体"/>
          <w:kern w:val="0"/>
          <w:position w:val="-12"/>
          <w:sz w:val="24"/>
          <w:lang w:val="en-US" w:eastAsia="zh-CN"/>
        </w:rPr>
        <w:t xml:space="preserve">   </w:t>
      </w:r>
      <w:r>
        <w:rPr>
          <w:rFonts w:hAnsi="宋体"/>
          <w:kern w:val="0"/>
          <w:position w:val="-12"/>
          <w:sz w:val="24"/>
          <w:lang w:val="zh-CN"/>
        </w:rPr>
        <w:object>
          <v:shape id="_x0000_i1029" o:spt="75" type="#_x0000_t75" style="height:19.3pt;width:82.7pt;" o:ole="t" filled="f" o:preferrelative="t" stroked="f" coordsize="21600,21600">
            <v:path/>
            <v:fill on="f" focussize="0,0"/>
            <v:stroke on="f" joinstyle="miter"/>
            <v:imagedata r:id="rId28" o:title=""/>
            <o:lock v:ext="edit" aspectratio="t"/>
            <w10:wrap type="none"/>
            <w10:anchorlock/>
          </v:shape>
          <o:OLEObject Type="Embed" ProgID="Equation.KSEE3" ShapeID="_x0000_i1029" DrawAspect="Content" ObjectID="_1468075729" r:id="rId27">
            <o:LockedField>false</o:LockedField>
          </o:OLEObject>
        </w:object>
      </w:r>
      <w:r>
        <w:rPr>
          <w:rFonts w:hint="eastAsia" w:hAnsi="宋体"/>
          <w:kern w:val="0"/>
          <w:position w:val="-12"/>
          <w:sz w:val="24"/>
          <w:lang w:val="en-US" w:eastAsia="zh-CN"/>
        </w:rPr>
        <w:t xml:space="preserve">          </w:t>
      </w:r>
      <w:r>
        <w:rPr>
          <w:rFonts w:hint="eastAsia" w:hAnsi="宋体"/>
          <w:sz w:val="24"/>
        </w:rPr>
        <w:t>（</w:t>
      </w:r>
      <w:r>
        <w:rPr>
          <w:rFonts w:hint="eastAsia"/>
          <w:sz w:val="24"/>
        </w:rPr>
        <w:t>2</w:t>
      </w:r>
      <w:r>
        <w:rPr>
          <w:rFonts w:hint="eastAsia" w:hAnsi="宋体"/>
          <w:sz w:val="24"/>
        </w:rPr>
        <w:t>）</w:t>
      </w:r>
    </w:p>
    <w:p w14:paraId="014E1FA9">
      <w:pPr>
        <w:spacing w:line="360" w:lineRule="auto"/>
        <w:rPr>
          <w:rFonts w:hint="eastAsia" w:hAnsi="Cambria Math"/>
          <w:sz w:val="24"/>
        </w:rPr>
      </w:pPr>
      <w:r>
        <w:rPr>
          <w:rFonts w:hint="eastAsia" w:hAnsi="Cambria Math"/>
          <w:sz w:val="24"/>
        </w:rPr>
        <w:t>式中：</w:t>
      </w:r>
    </w:p>
    <w:p w14:paraId="46DEDF46">
      <w:pPr>
        <w:spacing w:line="360" w:lineRule="auto"/>
        <w:ind w:firstLine="480" w:firstLineChars="200"/>
        <w:rPr>
          <w:rFonts w:hint="eastAsia" w:hAnsi="Cambria Math"/>
          <w:sz w:val="24"/>
        </w:rPr>
      </w:pPr>
      <m:oMath>
        <m:sSub>
          <m:sSubPr>
            <m:ctrlPr>
              <w:rPr>
                <w:rFonts w:ascii="Cambria Math" w:hAnsi="Cambria Math"/>
                <w:i/>
                <w:sz w:val="24"/>
              </w:rPr>
            </m:ctrlPr>
          </m:sSubPr>
          <m:e>
            <m:r>
              <m:rPr/>
              <w:rPr>
                <w:rFonts w:hint="eastAsia" w:ascii="Cambria Math" w:hAnsi="Cambria Math"/>
                <w:sz w:val="24"/>
              </w:rPr>
              <m:t>E</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oMath>
      <w:r>
        <w:rPr>
          <w:sz w:val="24"/>
        </w:rPr>
        <w:t>——</w:t>
      </w:r>
      <w:r>
        <w:rPr>
          <w:rFonts w:hint="eastAsia"/>
          <w:sz w:val="24"/>
        </w:rPr>
        <w:t>周期检定或者定期进行物料试验</w:t>
      </w:r>
      <w:r>
        <w:rPr>
          <w:rFonts w:hint="eastAsia" w:hAnsi="Cambria Math"/>
          <w:sz w:val="24"/>
        </w:rPr>
        <w:t>皮带秤的相对误差；</w:t>
      </w:r>
    </w:p>
    <w:p w14:paraId="083814A3">
      <w:pPr>
        <w:spacing w:line="360" w:lineRule="auto"/>
        <w:ind w:firstLine="480" w:firstLineChars="200"/>
        <w:rPr>
          <w:rFonts w:hAnsi="宋体"/>
          <w:sz w:val="24"/>
        </w:rPr>
      </w:pPr>
      <m:oMath>
        <m:sSub>
          <m:sSubPr>
            <m:ctrlPr>
              <w:rPr>
                <w:rFonts w:ascii="Cambria Math" w:hAnsi="Cambria Math"/>
                <w:i/>
                <w:sz w:val="24"/>
              </w:rPr>
            </m:ctrlPr>
          </m:sSubPr>
          <m:e>
            <m:r>
              <m:rPr/>
              <w:rPr>
                <w:rFonts w:hint="eastAsia" w:ascii="Cambria Math" w:hAnsi="Cambria Math"/>
                <w:sz w:val="24"/>
              </w:rPr>
              <m:t>E</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oMath>
      <w:r>
        <w:rPr>
          <w:sz w:val="24"/>
        </w:rPr>
        <w:t>——</w:t>
      </w:r>
      <w:r>
        <w:rPr>
          <w:rFonts w:hint="eastAsia"/>
          <w:sz w:val="24"/>
        </w:rPr>
        <w:t>物料试验后首次进行</w:t>
      </w:r>
      <w:r>
        <w:rPr>
          <w:rFonts w:hint="eastAsia" w:hAnsi="Cambria Math"/>
          <w:sz w:val="24"/>
        </w:rPr>
        <w:t>模拟载荷试验</w:t>
      </w:r>
      <w:r>
        <w:rPr>
          <w:rFonts w:hint="eastAsia" w:hAnsi="宋体"/>
          <w:sz w:val="24"/>
        </w:rPr>
        <w:t>皮带秤的相对误差；</w:t>
      </w:r>
    </w:p>
    <w:p w14:paraId="2D5BD71D">
      <w:pPr>
        <w:spacing w:line="360" w:lineRule="auto"/>
        <w:ind w:firstLine="480" w:firstLineChars="200"/>
        <w:rPr>
          <w:rFonts w:hAnsi="宋体"/>
          <w:sz w:val="24"/>
        </w:rPr>
      </w:pPr>
      <m:oMath>
        <m:sSub>
          <m:sSubPr>
            <m:ctrlPr>
              <w:rPr>
                <w:rFonts w:ascii="Cambria Math" w:hAnsi="Cambria Math"/>
                <w:i/>
                <w:sz w:val="24"/>
              </w:rPr>
            </m:ctrlPr>
          </m:sSubPr>
          <m:e>
            <m:r>
              <m:rPr/>
              <w:rPr>
                <w:rFonts w:hint="eastAsia" w:ascii="Cambria Math" w:hAnsi="Cambria Math"/>
                <w:sz w:val="24"/>
              </w:rPr>
              <m:t>E</m:t>
            </m:r>
            <m:ctrlPr>
              <w:rPr>
                <w:rFonts w:ascii="Cambria Math" w:hAnsi="Cambria Math"/>
                <w:i/>
                <w:sz w:val="24"/>
              </w:rPr>
            </m:ctrlPr>
          </m:e>
          <m:sub>
            <m:r>
              <m:rPr/>
              <w:rPr>
                <w:rFonts w:ascii="Cambria Math" w:hAnsi="Cambria Math"/>
                <w:sz w:val="24"/>
              </w:rPr>
              <m:t>3</m:t>
            </m:r>
            <m:ctrlPr>
              <w:rPr>
                <w:rFonts w:ascii="Cambria Math" w:hAnsi="Cambria Math"/>
                <w:i/>
                <w:sz w:val="24"/>
              </w:rPr>
            </m:ctrlPr>
          </m:sub>
        </m:sSub>
      </m:oMath>
      <w:r>
        <w:rPr>
          <w:sz w:val="24"/>
        </w:rPr>
        <w:t>——</w:t>
      </w:r>
      <w:r>
        <w:rPr>
          <w:rFonts w:hint="eastAsia"/>
          <w:sz w:val="24"/>
        </w:rPr>
        <w:t>日常核查中进行</w:t>
      </w:r>
      <w:r>
        <w:rPr>
          <w:rFonts w:hint="eastAsia" w:hAnsi="Cambria Math"/>
          <w:sz w:val="24"/>
        </w:rPr>
        <w:t>模拟载荷试验</w:t>
      </w:r>
      <w:r>
        <w:rPr>
          <w:rFonts w:hint="eastAsia" w:hAnsi="宋体"/>
          <w:sz w:val="24"/>
        </w:rPr>
        <w:t>皮带秤的相对误差；</w:t>
      </w:r>
    </w:p>
    <w:p w14:paraId="2F0EDB23">
      <w:pPr>
        <w:spacing w:line="360" w:lineRule="auto"/>
        <w:ind w:firstLine="480" w:firstLineChars="200"/>
        <w:rPr>
          <w:rFonts w:ascii="宋体" w:hAnsi="宋体"/>
          <w:sz w:val="24"/>
        </w:rPr>
      </w:pPr>
      <w:r>
        <w:rPr>
          <w:rFonts w:hint="eastAsia" w:ascii="宋体" w:hAnsi="宋体"/>
          <w:sz w:val="24"/>
        </w:rPr>
        <w:t>多速皮带秤模</w:t>
      </w:r>
      <w:r>
        <w:rPr>
          <w:rFonts w:hint="eastAsia" w:hAnsi="宋体"/>
          <w:bCs/>
          <w:color w:val="000000"/>
          <w:sz w:val="24"/>
        </w:rPr>
        <w:t>拟载荷试验</w:t>
      </w:r>
      <w:r>
        <w:rPr>
          <w:rFonts w:hint="eastAsia" w:hAnsi="宋体"/>
          <w:bCs/>
          <w:color w:val="000000"/>
          <w:kern w:val="0"/>
          <w:sz w:val="24"/>
          <w:lang w:val="zh-CN"/>
        </w:rPr>
        <w:t>法</w:t>
      </w:r>
      <w:r>
        <w:rPr>
          <w:rFonts w:hint="eastAsia" w:hAnsi="Cambria Math"/>
          <w:sz w:val="24"/>
        </w:rPr>
        <w:t>相对误差</w:t>
      </w:r>
      <w:r>
        <w:rPr>
          <w:rFonts w:hint="eastAsia" w:ascii="宋体" w:hAnsi="宋体"/>
          <w:sz w:val="24"/>
        </w:rPr>
        <w:t>，</w:t>
      </w:r>
      <w:r>
        <w:rPr>
          <w:rFonts w:hint="eastAsia" w:ascii="宋体" w:hAnsi="宋体"/>
          <w:bCs/>
          <w:sz w:val="24"/>
        </w:rPr>
        <w:t>对每一速度，应按上述方法进行核查。</w:t>
      </w:r>
    </w:p>
    <w:p w14:paraId="6197C1FB">
      <w:pPr>
        <w:spacing w:line="360" w:lineRule="auto"/>
        <w:ind w:firstLine="480" w:firstLineChars="200"/>
        <w:rPr>
          <w:rFonts w:ascii="宋体" w:hAnsi="宋体"/>
          <w:bCs/>
          <w:sz w:val="24"/>
        </w:rPr>
      </w:pPr>
      <w:r>
        <w:rPr>
          <w:rFonts w:hint="eastAsia"/>
          <w:sz w:val="24"/>
        </w:rPr>
        <w:t>变速皮带秤模拟</w:t>
      </w:r>
      <w:r>
        <w:rPr>
          <w:rFonts w:hint="eastAsia" w:hAnsi="宋体"/>
          <w:bCs/>
          <w:color w:val="000000"/>
          <w:sz w:val="24"/>
        </w:rPr>
        <w:t>载荷试验</w:t>
      </w:r>
      <w:r>
        <w:rPr>
          <w:rFonts w:hint="eastAsia" w:hAnsi="宋体"/>
          <w:bCs/>
          <w:color w:val="000000"/>
          <w:kern w:val="0"/>
          <w:sz w:val="24"/>
          <w:lang w:val="zh-CN"/>
        </w:rPr>
        <w:t>法</w:t>
      </w:r>
      <w:r>
        <w:rPr>
          <w:rFonts w:hint="eastAsia" w:hAnsi="Cambria Math"/>
          <w:sz w:val="24"/>
        </w:rPr>
        <w:t>相对误差，</w:t>
      </w:r>
      <w:r>
        <w:rPr>
          <w:rFonts w:hint="eastAsia" w:ascii="宋体" w:hAnsi="宋体"/>
          <w:bCs/>
          <w:sz w:val="24"/>
        </w:rPr>
        <w:t>对速度范围的最低速度、中间速度和最高速度，应按上述方法进行核查。</w:t>
      </w:r>
    </w:p>
    <w:p w14:paraId="43F00C8C">
      <w:pPr>
        <w:spacing w:line="360" w:lineRule="auto"/>
        <w:ind w:firstLine="480" w:firstLineChars="200"/>
        <w:rPr>
          <w:rFonts w:hint="eastAsia" w:ascii="宋体" w:hAnsi="宋体"/>
          <w:bCs/>
          <w:sz w:val="24"/>
        </w:rPr>
      </w:pPr>
      <w:r>
        <w:rPr>
          <w:rFonts w:hint="eastAsia" w:ascii="宋体" w:hAnsi="宋体"/>
          <w:bCs/>
          <w:sz w:val="24"/>
        </w:rPr>
        <w:t>根据实际使用情况和用户需求可以重复7.2.</w:t>
      </w:r>
      <w:r>
        <w:rPr>
          <w:rFonts w:ascii="宋体" w:hAnsi="宋体"/>
          <w:bCs/>
          <w:sz w:val="24"/>
        </w:rPr>
        <w:t>2</w:t>
      </w:r>
      <w:r>
        <w:rPr>
          <w:rFonts w:hint="eastAsia" w:ascii="宋体" w:hAnsi="宋体"/>
          <w:bCs/>
          <w:sz w:val="24"/>
        </w:rPr>
        <w:t>、7.2.</w:t>
      </w:r>
      <w:r>
        <w:rPr>
          <w:rFonts w:ascii="宋体" w:hAnsi="宋体"/>
          <w:bCs/>
          <w:sz w:val="24"/>
        </w:rPr>
        <w:t>3</w:t>
      </w:r>
      <w:r>
        <w:rPr>
          <w:rFonts w:hint="eastAsia" w:ascii="宋体" w:hAnsi="宋体"/>
          <w:bCs/>
          <w:sz w:val="24"/>
        </w:rPr>
        <w:t>、7.2.</w:t>
      </w:r>
      <w:r>
        <w:rPr>
          <w:rFonts w:ascii="宋体" w:hAnsi="宋体"/>
          <w:bCs/>
          <w:sz w:val="24"/>
        </w:rPr>
        <w:t>4</w:t>
      </w:r>
      <w:r>
        <w:rPr>
          <w:rFonts w:hint="eastAsia" w:ascii="宋体" w:hAnsi="宋体"/>
          <w:bCs/>
          <w:sz w:val="24"/>
        </w:rPr>
        <w:t>试验。</w:t>
      </w:r>
    </w:p>
    <w:p w14:paraId="19628B97">
      <w:pPr>
        <w:spacing w:beforeLines="100" w:afterLines="100"/>
        <w:jc w:val="left"/>
        <w:outlineLvl w:val="0"/>
        <w:rPr>
          <w:rFonts w:hint="eastAsia" w:ascii="黑体" w:hAnsi="黑体" w:eastAsia="黑体"/>
          <w:sz w:val="24"/>
        </w:rPr>
      </w:pPr>
      <w:r>
        <w:rPr>
          <w:rFonts w:hint="eastAsia" w:ascii="黑体" w:hAnsi="黑体" w:eastAsia="黑体"/>
          <w:sz w:val="24"/>
        </w:rPr>
        <w:t>8  核查结果</w:t>
      </w:r>
    </w:p>
    <w:bookmarkEnd w:id="40"/>
    <w:p w14:paraId="0480C535">
      <w:pPr>
        <w:spacing w:line="360" w:lineRule="auto"/>
        <w:rPr>
          <w:sz w:val="24"/>
        </w:rPr>
      </w:pPr>
      <w:bookmarkStart w:id="42" w:name="_Toc28055"/>
      <w:bookmarkStart w:id="43" w:name="_Toc523213409"/>
      <w:bookmarkStart w:id="44" w:name="_Toc465926407"/>
      <w:r>
        <w:rPr>
          <w:rFonts w:hint="eastAsia"/>
          <w:sz w:val="24"/>
        </w:rPr>
        <w:t>8</w:t>
      </w:r>
      <w:r>
        <w:rPr>
          <w:sz w:val="24"/>
        </w:rPr>
        <w:t>.</w:t>
      </w:r>
      <w:r>
        <w:rPr>
          <w:rFonts w:hint="eastAsia"/>
          <w:sz w:val="24"/>
          <w:lang w:val="en-US" w:eastAsia="zh-CN"/>
        </w:rPr>
        <w:t>1</w:t>
      </w:r>
      <w:r>
        <w:rPr>
          <w:rFonts w:hint="eastAsia"/>
          <w:sz w:val="24"/>
        </w:rPr>
        <w:t xml:space="preserve">  </w:t>
      </w:r>
      <w:bookmarkEnd w:id="42"/>
      <w:r>
        <w:rPr>
          <w:rFonts w:hint="eastAsia"/>
          <w:sz w:val="24"/>
        </w:rPr>
        <w:t>核查证书及周期</w:t>
      </w:r>
    </w:p>
    <w:p w14:paraId="46C1219F">
      <w:pPr>
        <w:spacing w:line="360" w:lineRule="auto"/>
        <w:rPr>
          <w:sz w:val="24"/>
        </w:rPr>
      </w:pPr>
      <w:r>
        <w:rPr>
          <w:rFonts w:eastAsiaTheme="minorEastAsia"/>
          <w:sz w:val="24"/>
        </w:rPr>
        <w:t>8.</w:t>
      </w:r>
      <w:r>
        <w:rPr>
          <w:rFonts w:hint="eastAsia" w:eastAsiaTheme="minorEastAsia"/>
          <w:sz w:val="24"/>
          <w:lang w:val="en-US" w:eastAsia="zh-CN"/>
        </w:rPr>
        <w:t>1</w:t>
      </w:r>
      <w:r>
        <w:rPr>
          <w:rFonts w:eastAsiaTheme="minorEastAsia"/>
          <w:sz w:val="24"/>
        </w:rPr>
        <w:t xml:space="preserve">.1  </w:t>
      </w:r>
      <w:r>
        <w:rPr>
          <w:rFonts w:hint="eastAsia"/>
          <w:kern w:val="0"/>
          <w:sz w:val="24"/>
        </w:rPr>
        <w:t>核查证书</w:t>
      </w:r>
    </w:p>
    <w:p w14:paraId="3F3CD35E">
      <w:pPr>
        <w:spacing w:line="360" w:lineRule="auto"/>
        <w:ind w:firstLine="480" w:firstLineChars="200"/>
        <w:rPr>
          <w:sz w:val="24"/>
          <w:lang w:val="zh-CN"/>
        </w:rPr>
      </w:pPr>
      <w:r>
        <w:rPr>
          <w:sz w:val="24"/>
          <w:lang w:val="zh-CN"/>
        </w:rPr>
        <w:t>核查结果应在核查证书上反映</w:t>
      </w:r>
      <w:r>
        <w:rPr>
          <w:rFonts w:hint="eastAsia"/>
          <w:sz w:val="24"/>
          <w:lang w:val="zh-CN"/>
        </w:rPr>
        <w:t>，</w:t>
      </w:r>
      <w:r>
        <w:rPr>
          <w:sz w:val="24"/>
          <w:lang w:val="zh-CN"/>
        </w:rPr>
        <w:t>核查证书应至少包含以下信息</w:t>
      </w:r>
      <w:r>
        <w:rPr>
          <w:rFonts w:hint="eastAsia"/>
          <w:sz w:val="24"/>
          <w:lang w:val="zh-CN"/>
        </w:rPr>
        <w:t>：</w:t>
      </w:r>
    </w:p>
    <w:p w14:paraId="7BED1DCC">
      <w:pPr>
        <w:spacing w:line="360" w:lineRule="auto"/>
        <w:ind w:firstLine="480" w:firstLineChars="200"/>
        <w:rPr>
          <w:color w:val="000000"/>
          <w:kern w:val="0"/>
          <w:sz w:val="24"/>
        </w:rPr>
      </w:pPr>
      <w:r>
        <w:rPr>
          <w:rFonts w:hint="eastAsia"/>
          <w:bCs/>
          <w:color w:val="000000"/>
          <w:kern w:val="0"/>
          <w:sz w:val="24"/>
          <w:lang w:val="zh-CN"/>
        </w:rPr>
        <w:t>a</w:t>
      </w:r>
      <w:r>
        <w:rPr>
          <w:bCs/>
          <w:color w:val="000000"/>
          <w:kern w:val="0"/>
          <w:sz w:val="24"/>
          <w:lang w:val="zh-CN"/>
        </w:rPr>
        <w:t xml:space="preserve">) </w:t>
      </w:r>
      <w:r>
        <w:rPr>
          <w:rFonts w:hint="eastAsia" w:hAnsi="宋体"/>
          <w:bCs/>
          <w:color w:val="000000"/>
          <w:sz w:val="24"/>
        </w:rPr>
        <w:t>标题：“状态核查证书”；</w:t>
      </w:r>
    </w:p>
    <w:p w14:paraId="5E448088">
      <w:pPr>
        <w:spacing w:line="360" w:lineRule="auto"/>
        <w:ind w:firstLine="480" w:firstLineChars="200"/>
        <w:rPr>
          <w:kern w:val="0"/>
          <w:sz w:val="24"/>
        </w:rPr>
      </w:pPr>
      <w:r>
        <w:rPr>
          <w:rFonts w:hint="eastAsia"/>
          <w:bCs/>
          <w:kern w:val="0"/>
          <w:sz w:val="24"/>
          <w:lang w:val="zh-CN"/>
        </w:rPr>
        <w:t>b</w:t>
      </w:r>
      <w:r>
        <w:rPr>
          <w:bCs/>
          <w:kern w:val="0"/>
          <w:sz w:val="24"/>
          <w:lang w:val="zh-CN"/>
        </w:rPr>
        <w:t xml:space="preserve">) </w:t>
      </w:r>
      <w:r>
        <w:rPr>
          <w:rFonts w:hint="eastAsia"/>
          <w:bCs/>
          <w:kern w:val="0"/>
          <w:sz w:val="24"/>
        </w:rPr>
        <w:t>测量</w:t>
      </w:r>
      <w:r>
        <w:rPr>
          <w:rFonts w:hint="eastAsia" w:hAnsi="宋体"/>
          <w:bCs/>
          <w:sz w:val="24"/>
        </w:rPr>
        <w:t>装置名称及地址；</w:t>
      </w:r>
    </w:p>
    <w:p w14:paraId="73B9EA5C">
      <w:pPr>
        <w:spacing w:line="360" w:lineRule="auto"/>
        <w:ind w:firstLine="480" w:firstLineChars="200"/>
        <w:rPr>
          <w:kern w:val="0"/>
          <w:sz w:val="24"/>
        </w:rPr>
      </w:pPr>
      <w:r>
        <w:rPr>
          <w:rFonts w:hint="eastAsia"/>
          <w:bCs/>
          <w:kern w:val="0"/>
          <w:sz w:val="24"/>
          <w:lang w:val="zh-CN"/>
        </w:rPr>
        <w:t>c</w:t>
      </w:r>
      <w:r>
        <w:rPr>
          <w:bCs/>
          <w:kern w:val="0"/>
          <w:sz w:val="24"/>
          <w:lang w:val="zh-CN"/>
        </w:rPr>
        <w:t xml:space="preserve">) </w:t>
      </w:r>
      <w:r>
        <w:rPr>
          <w:rFonts w:hint="eastAsia" w:hAnsi="宋体"/>
          <w:bCs/>
          <w:sz w:val="24"/>
        </w:rPr>
        <w:t>进行核查的地点（如果与</w:t>
      </w:r>
      <w:r>
        <w:rPr>
          <w:rFonts w:hint="eastAsia"/>
          <w:bCs/>
          <w:kern w:val="0"/>
          <w:sz w:val="24"/>
        </w:rPr>
        <w:t>测量</w:t>
      </w:r>
      <w:r>
        <w:rPr>
          <w:rFonts w:hint="eastAsia" w:hAnsi="宋体"/>
          <w:bCs/>
          <w:sz w:val="24"/>
        </w:rPr>
        <w:t>装置地址不同）；</w:t>
      </w:r>
    </w:p>
    <w:p w14:paraId="72EA903F">
      <w:pPr>
        <w:spacing w:line="360" w:lineRule="auto"/>
        <w:ind w:firstLine="480" w:firstLineChars="200"/>
        <w:rPr>
          <w:kern w:val="0"/>
          <w:sz w:val="24"/>
        </w:rPr>
      </w:pPr>
      <w:r>
        <w:rPr>
          <w:rFonts w:hint="eastAsia"/>
          <w:bCs/>
          <w:kern w:val="0"/>
          <w:sz w:val="24"/>
        </w:rPr>
        <w:t>d</w:t>
      </w:r>
      <w:r>
        <w:rPr>
          <w:bCs/>
          <w:kern w:val="0"/>
          <w:sz w:val="24"/>
          <w:lang w:val="zh-CN"/>
        </w:rPr>
        <w:t xml:space="preserve">) </w:t>
      </w:r>
      <w:r>
        <w:rPr>
          <w:rFonts w:hint="eastAsia" w:hAnsi="宋体"/>
          <w:bCs/>
          <w:sz w:val="24"/>
        </w:rPr>
        <w:t>证书的唯一性标识（如编号），每页及总页数的标识；</w:t>
      </w:r>
    </w:p>
    <w:p w14:paraId="50A1D5F8">
      <w:pPr>
        <w:spacing w:line="360" w:lineRule="auto"/>
        <w:ind w:firstLine="480" w:firstLineChars="200"/>
        <w:rPr>
          <w:kern w:val="0"/>
          <w:sz w:val="24"/>
        </w:rPr>
      </w:pPr>
      <w:r>
        <w:rPr>
          <w:rFonts w:hint="eastAsia"/>
          <w:bCs/>
          <w:kern w:val="0"/>
          <w:sz w:val="24"/>
          <w:lang w:val="zh-CN"/>
        </w:rPr>
        <w:t>e</w:t>
      </w:r>
      <w:r>
        <w:rPr>
          <w:bCs/>
          <w:kern w:val="0"/>
          <w:sz w:val="24"/>
          <w:lang w:val="zh-CN"/>
        </w:rPr>
        <w:t xml:space="preserve">) </w:t>
      </w:r>
      <w:r>
        <w:rPr>
          <w:rFonts w:hint="eastAsia" w:hAnsi="宋体"/>
          <w:bCs/>
          <w:sz w:val="24"/>
        </w:rPr>
        <w:t>客户的名称和地址；</w:t>
      </w:r>
    </w:p>
    <w:p w14:paraId="1F6CF638">
      <w:pPr>
        <w:spacing w:line="360" w:lineRule="auto"/>
        <w:ind w:firstLine="480" w:firstLineChars="200"/>
        <w:rPr>
          <w:kern w:val="0"/>
          <w:sz w:val="24"/>
        </w:rPr>
      </w:pPr>
      <w:r>
        <w:rPr>
          <w:rFonts w:hint="eastAsia"/>
          <w:bCs/>
          <w:kern w:val="0"/>
          <w:sz w:val="24"/>
          <w:lang w:val="zh-CN"/>
        </w:rPr>
        <w:t>f</w:t>
      </w:r>
      <w:r>
        <w:rPr>
          <w:bCs/>
          <w:kern w:val="0"/>
          <w:sz w:val="24"/>
          <w:lang w:val="zh-CN"/>
        </w:rPr>
        <w:t xml:space="preserve">) </w:t>
      </w:r>
      <w:r>
        <w:rPr>
          <w:rFonts w:hint="eastAsia" w:hAnsi="宋体"/>
          <w:bCs/>
          <w:sz w:val="24"/>
        </w:rPr>
        <w:t>被核查</w:t>
      </w:r>
      <w:r>
        <w:rPr>
          <w:rFonts w:hint="eastAsia" w:hAnsi="宋体"/>
          <w:bCs/>
          <w:color w:val="000000"/>
          <w:sz w:val="24"/>
        </w:rPr>
        <w:t>对象</w:t>
      </w:r>
      <w:r>
        <w:rPr>
          <w:rFonts w:hint="eastAsia" w:hAnsi="宋体"/>
          <w:bCs/>
          <w:sz w:val="24"/>
        </w:rPr>
        <w:t>的描述和明确标识；</w:t>
      </w:r>
    </w:p>
    <w:p w14:paraId="31D2D360">
      <w:pPr>
        <w:spacing w:line="360" w:lineRule="auto"/>
        <w:ind w:firstLine="480" w:firstLineChars="200"/>
        <w:rPr>
          <w:rFonts w:hAnsi="宋体"/>
          <w:bCs/>
          <w:color w:val="000000"/>
          <w:sz w:val="24"/>
        </w:rPr>
      </w:pPr>
      <w:r>
        <w:rPr>
          <w:rFonts w:hint="eastAsia"/>
          <w:bCs/>
          <w:color w:val="000000"/>
          <w:kern w:val="0"/>
          <w:sz w:val="24"/>
          <w:lang w:val="zh-CN"/>
        </w:rPr>
        <w:t>g</w:t>
      </w:r>
      <w:r>
        <w:rPr>
          <w:bCs/>
          <w:color w:val="000000"/>
          <w:kern w:val="0"/>
          <w:sz w:val="24"/>
          <w:lang w:val="zh-CN"/>
        </w:rPr>
        <w:t xml:space="preserve">) </w:t>
      </w:r>
      <w:r>
        <w:rPr>
          <w:rFonts w:hint="eastAsia" w:hAnsi="宋体"/>
          <w:bCs/>
          <w:color w:val="000000"/>
          <w:sz w:val="24"/>
        </w:rPr>
        <w:t>进行核查的日期；</w:t>
      </w:r>
    </w:p>
    <w:p w14:paraId="16B81318">
      <w:pPr>
        <w:spacing w:line="360" w:lineRule="auto"/>
        <w:ind w:firstLine="480" w:firstLineChars="200"/>
        <w:rPr>
          <w:color w:val="000000"/>
          <w:kern w:val="0"/>
          <w:sz w:val="24"/>
        </w:rPr>
      </w:pPr>
      <w:r>
        <w:rPr>
          <w:rFonts w:hint="eastAsia"/>
          <w:bCs/>
          <w:color w:val="000000"/>
          <w:kern w:val="0"/>
          <w:sz w:val="24"/>
          <w:lang w:val="zh-CN"/>
        </w:rPr>
        <w:t>h</w:t>
      </w:r>
      <w:r>
        <w:rPr>
          <w:bCs/>
          <w:color w:val="000000"/>
          <w:kern w:val="0"/>
          <w:sz w:val="24"/>
          <w:lang w:val="zh-CN"/>
        </w:rPr>
        <w:t xml:space="preserve">) </w:t>
      </w:r>
      <w:r>
        <w:rPr>
          <w:rFonts w:hint="eastAsia" w:hAnsi="宋体"/>
          <w:bCs/>
          <w:color w:val="000000"/>
          <w:sz w:val="24"/>
        </w:rPr>
        <w:t>对核查所依据的技术规范的标识，包括名称及代号；</w:t>
      </w:r>
    </w:p>
    <w:p w14:paraId="2B25BBD1">
      <w:pPr>
        <w:spacing w:line="360" w:lineRule="auto"/>
        <w:ind w:firstLine="480" w:firstLineChars="200"/>
        <w:rPr>
          <w:color w:val="000000"/>
          <w:kern w:val="0"/>
          <w:sz w:val="24"/>
        </w:rPr>
      </w:pPr>
      <w:r>
        <w:rPr>
          <w:rFonts w:hint="eastAsia"/>
          <w:bCs/>
          <w:color w:val="000000"/>
          <w:kern w:val="0"/>
          <w:sz w:val="24"/>
          <w:lang w:val="zh-CN"/>
        </w:rPr>
        <w:t>i</w:t>
      </w:r>
      <w:r>
        <w:rPr>
          <w:bCs/>
          <w:color w:val="000000"/>
          <w:kern w:val="0"/>
          <w:sz w:val="24"/>
          <w:lang w:val="zh-CN"/>
        </w:rPr>
        <w:t xml:space="preserve">) </w:t>
      </w:r>
      <w:r>
        <w:rPr>
          <w:rFonts w:hint="eastAsia" w:hAnsi="宋体"/>
          <w:bCs/>
          <w:color w:val="000000"/>
          <w:sz w:val="24"/>
        </w:rPr>
        <w:t>本次核查所用测量标准的溯源性及有效性说明；</w:t>
      </w:r>
    </w:p>
    <w:p w14:paraId="131F8718">
      <w:pPr>
        <w:spacing w:line="360" w:lineRule="auto"/>
        <w:ind w:firstLine="480" w:firstLineChars="200"/>
        <w:rPr>
          <w:rFonts w:hAnsi="宋体"/>
          <w:bCs/>
          <w:color w:val="000000"/>
          <w:sz w:val="24"/>
        </w:rPr>
      </w:pPr>
      <w:r>
        <w:rPr>
          <w:rFonts w:hint="eastAsia"/>
          <w:bCs/>
          <w:color w:val="000000"/>
          <w:kern w:val="0"/>
          <w:sz w:val="24"/>
          <w:lang w:val="zh-CN"/>
        </w:rPr>
        <w:t>j</w:t>
      </w:r>
      <w:r>
        <w:rPr>
          <w:bCs/>
          <w:color w:val="000000"/>
          <w:kern w:val="0"/>
          <w:sz w:val="24"/>
          <w:lang w:val="zh-CN"/>
        </w:rPr>
        <w:t>)</w:t>
      </w:r>
      <w:r>
        <w:rPr>
          <w:rFonts w:hint="eastAsia"/>
          <w:bCs/>
          <w:color w:val="000000"/>
          <w:kern w:val="0"/>
          <w:sz w:val="24"/>
          <w:lang w:val="en-US" w:eastAsia="zh-CN"/>
        </w:rPr>
        <w:t xml:space="preserve"> </w:t>
      </w:r>
      <w:r>
        <w:rPr>
          <w:rFonts w:hint="eastAsia" w:hAnsi="宋体"/>
          <w:bCs/>
          <w:color w:val="000000"/>
          <w:sz w:val="24"/>
        </w:rPr>
        <w:t>核查环境的描述；</w:t>
      </w:r>
    </w:p>
    <w:p w14:paraId="3861CF02">
      <w:pPr>
        <w:spacing w:line="360" w:lineRule="auto"/>
        <w:ind w:firstLine="480" w:firstLineChars="200"/>
        <w:rPr>
          <w:rFonts w:hAnsi="宋体"/>
          <w:bCs/>
          <w:color w:val="000000"/>
          <w:sz w:val="24"/>
        </w:rPr>
      </w:pPr>
      <w:r>
        <w:rPr>
          <w:rFonts w:hint="eastAsia"/>
          <w:bCs/>
          <w:color w:val="000000"/>
          <w:kern w:val="0"/>
          <w:sz w:val="24"/>
          <w:lang w:val="zh-CN"/>
        </w:rPr>
        <w:t>k</w:t>
      </w:r>
      <w:r>
        <w:rPr>
          <w:bCs/>
          <w:color w:val="000000"/>
          <w:kern w:val="0"/>
          <w:sz w:val="24"/>
          <w:lang w:val="zh-CN"/>
        </w:rPr>
        <w:t>)</w:t>
      </w:r>
      <w:r>
        <w:rPr>
          <w:rFonts w:hint="eastAsia"/>
          <w:bCs/>
          <w:color w:val="000000"/>
          <w:kern w:val="0"/>
          <w:sz w:val="24"/>
          <w:lang w:val="en-US" w:eastAsia="zh-CN"/>
        </w:rPr>
        <w:t xml:space="preserve"> </w:t>
      </w:r>
      <w:r>
        <w:rPr>
          <w:rFonts w:hint="eastAsia" w:hAnsi="宋体"/>
          <w:bCs/>
          <w:color w:val="000000"/>
          <w:sz w:val="24"/>
        </w:rPr>
        <w:t>核查结果及其测量不确定度的说明；</w:t>
      </w:r>
    </w:p>
    <w:p w14:paraId="27659E95">
      <w:pPr>
        <w:spacing w:line="360" w:lineRule="auto"/>
        <w:ind w:firstLine="480" w:firstLineChars="200"/>
        <w:rPr>
          <w:color w:val="000000"/>
          <w:kern w:val="0"/>
          <w:sz w:val="24"/>
        </w:rPr>
      </w:pPr>
      <w:r>
        <w:rPr>
          <w:rFonts w:hint="eastAsia"/>
          <w:bCs/>
          <w:color w:val="000000"/>
          <w:kern w:val="0"/>
          <w:sz w:val="24"/>
          <w:lang w:val="zh-CN"/>
        </w:rPr>
        <w:t>l</w:t>
      </w:r>
      <w:r>
        <w:rPr>
          <w:bCs/>
          <w:color w:val="000000"/>
          <w:kern w:val="0"/>
          <w:sz w:val="24"/>
          <w:lang w:val="zh-CN"/>
        </w:rPr>
        <w:t xml:space="preserve">) </w:t>
      </w:r>
      <w:r>
        <w:rPr>
          <w:rFonts w:hint="eastAsia" w:hAnsi="宋体"/>
          <w:bCs/>
          <w:color w:val="000000"/>
          <w:sz w:val="24"/>
        </w:rPr>
        <w:t>核查证书和核查报告签发人的签名、职务或等效标识；</w:t>
      </w:r>
    </w:p>
    <w:p w14:paraId="338C077A">
      <w:pPr>
        <w:spacing w:line="360" w:lineRule="auto"/>
        <w:ind w:firstLine="480" w:firstLineChars="200"/>
        <w:rPr>
          <w:rFonts w:hAnsi="宋体"/>
          <w:bCs/>
          <w:color w:val="000000"/>
          <w:sz w:val="24"/>
        </w:rPr>
      </w:pPr>
      <w:r>
        <w:rPr>
          <w:rFonts w:hint="eastAsia"/>
          <w:bCs/>
          <w:color w:val="000000"/>
          <w:kern w:val="0"/>
          <w:sz w:val="24"/>
          <w:lang w:val="zh-CN"/>
        </w:rPr>
        <w:t>m</w:t>
      </w:r>
      <w:r>
        <w:rPr>
          <w:bCs/>
          <w:color w:val="000000"/>
          <w:kern w:val="0"/>
          <w:sz w:val="24"/>
          <w:lang w:val="zh-CN"/>
        </w:rPr>
        <w:t>)</w:t>
      </w:r>
      <w:r>
        <w:rPr>
          <w:rFonts w:hint="eastAsia"/>
          <w:bCs/>
          <w:color w:val="000000"/>
          <w:kern w:val="0"/>
          <w:sz w:val="24"/>
          <w:lang w:val="en-US" w:eastAsia="zh-CN"/>
        </w:rPr>
        <w:t xml:space="preserve"> </w:t>
      </w:r>
      <w:r>
        <w:rPr>
          <w:rFonts w:hint="eastAsia" w:hAnsi="宋体"/>
          <w:bCs/>
          <w:color w:val="000000"/>
          <w:sz w:val="24"/>
        </w:rPr>
        <w:t>核查结果仅对被核查对象有效的说明；</w:t>
      </w:r>
    </w:p>
    <w:p w14:paraId="2A652689">
      <w:pPr>
        <w:spacing w:line="360" w:lineRule="auto"/>
        <w:ind w:firstLine="480" w:firstLineChars="200"/>
        <w:rPr>
          <w:color w:val="000000"/>
          <w:kern w:val="0"/>
          <w:sz w:val="24"/>
        </w:rPr>
      </w:pPr>
      <w:r>
        <w:rPr>
          <w:rFonts w:hint="eastAsia"/>
          <w:bCs/>
          <w:color w:val="000000"/>
          <w:kern w:val="0"/>
          <w:sz w:val="24"/>
          <w:lang w:val="zh-CN"/>
        </w:rPr>
        <w:t>n</w:t>
      </w:r>
      <w:r>
        <w:rPr>
          <w:bCs/>
          <w:color w:val="000000"/>
          <w:kern w:val="0"/>
          <w:sz w:val="24"/>
          <w:lang w:val="zh-CN"/>
        </w:rPr>
        <w:t xml:space="preserve">) </w:t>
      </w:r>
      <w:r>
        <w:rPr>
          <w:rFonts w:hint="eastAsia" w:hAnsi="宋体"/>
          <w:bCs/>
          <w:color w:val="000000"/>
          <w:sz w:val="24"/>
        </w:rPr>
        <w:t>未经实验室书面批准，不得部分复制证书的说明。</w:t>
      </w:r>
    </w:p>
    <w:p w14:paraId="3E251D39">
      <w:pPr>
        <w:spacing w:line="360" w:lineRule="auto"/>
        <w:ind w:firstLine="480" w:firstLineChars="200"/>
        <w:rPr>
          <w:rFonts w:hAnsi="宋体"/>
          <w:bCs/>
          <w:color w:val="000000"/>
          <w:sz w:val="24"/>
        </w:rPr>
      </w:pPr>
      <w:r>
        <w:rPr>
          <w:rFonts w:hint="eastAsia" w:hAnsi="宋体"/>
          <w:bCs/>
          <w:color w:val="000000"/>
          <w:sz w:val="24"/>
        </w:rPr>
        <w:t>原始记录格式见附录A，证书内页格式见附录B。</w:t>
      </w:r>
    </w:p>
    <w:p w14:paraId="19B3C3F8">
      <w:pPr>
        <w:spacing w:line="360" w:lineRule="auto"/>
        <w:rPr>
          <w:rFonts w:eastAsiaTheme="minorEastAsia"/>
          <w:sz w:val="24"/>
        </w:rPr>
      </w:pPr>
    </w:p>
    <w:p w14:paraId="35170B40">
      <w:pPr>
        <w:spacing w:line="360" w:lineRule="auto"/>
        <w:rPr>
          <w:sz w:val="24"/>
        </w:rPr>
      </w:pPr>
      <w:r>
        <w:rPr>
          <w:rFonts w:eastAsiaTheme="minorEastAsia"/>
          <w:sz w:val="24"/>
        </w:rPr>
        <w:t>8.</w:t>
      </w:r>
      <w:r>
        <w:rPr>
          <w:rFonts w:hint="eastAsia" w:eastAsiaTheme="minorEastAsia"/>
          <w:sz w:val="24"/>
          <w:lang w:val="en-US" w:eastAsia="zh-CN"/>
        </w:rPr>
        <w:t>1</w:t>
      </w:r>
      <w:r>
        <w:rPr>
          <w:rFonts w:eastAsiaTheme="minorEastAsia"/>
          <w:sz w:val="24"/>
        </w:rPr>
        <w:t xml:space="preserve">.2  </w:t>
      </w:r>
      <w:r>
        <w:rPr>
          <w:rFonts w:hint="eastAsia"/>
          <w:kern w:val="0"/>
          <w:sz w:val="24"/>
        </w:rPr>
        <w:t>核查周期</w:t>
      </w:r>
    </w:p>
    <w:p w14:paraId="7BF042B8">
      <w:pPr>
        <w:pStyle w:val="11"/>
        <w:spacing w:after="0" w:line="360" w:lineRule="auto"/>
        <w:ind w:firstLine="480" w:firstLineChars="200"/>
        <w:rPr>
          <w:sz w:val="24"/>
        </w:rPr>
      </w:pPr>
      <w:r>
        <w:rPr>
          <w:rFonts w:hint="eastAsia" w:hAnsi="宋体"/>
          <w:sz w:val="24"/>
        </w:rPr>
        <w:t>状态核查</w:t>
      </w:r>
      <w:r>
        <w:rPr>
          <w:rFonts w:hAnsi="宋体"/>
          <w:sz w:val="24"/>
        </w:rPr>
        <w:t>时间间隔应根据</w:t>
      </w:r>
      <w:r>
        <w:rPr>
          <w:rFonts w:hint="eastAsia"/>
          <w:sz w:val="24"/>
        </w:rPr>
        <w:t>装置</w:t>
      </w:r>
      <w:r>
        <w:rPr>
          <w:sz w:val="24"/>
        </w:rPr>
        <w:t>的使用情况</w:t>
      </w:r>
      <w:r>
        <w:rPr>
          <w:rFonts w:hint="eastAsia"/>
          <w:sz w:val="24"/>
        </w:rPr>
        <w:t>、</w:t>
      </w:r>
      <w:r>
        <w:rPr>
          <w:sz w:val="24"/>
        </w:rPr>
        <w:t>使用者</w:t>
      </w:r>
      <w:r>
        <w:rPr>
          <w:rFonts w:hint="eastAsia"/>
          <w:sz w:val="24"/>
        </w:rPr>
        <w:t>、</w:t>
      </w:r>
      <w:r>
        <w:rPr>
          <w:sz w:val="24"/>
        </w:rPr>
        <w:t>仪器本身质量等诸因素决定</w:t>
      </w:r>
      <w:r>
        <w:rPr>
          <w:rFonts w:hint="eastAsia"/>
          <w:sz w:val="24"/>
        </w:rPr>
        <w:t>，因此，委托核查</w:t>
      </w:r>
      <w:r>
        <w:rPr>
          <w:rFonts w:hAnsi="宋体"/>
          <w:sz w:val="24"/>
        </w:rPr>
        <w:t>单位可根据实际使用情况自主决定</w:t>
      </w:r>
      <w:r>
        <w:rPr>
          <w:rFonts w:hint="eastAsia"/>
          <w:sz w:val="24"/>
        </w:rPr>
        <w:t>核查</w:t>
      </w:r>
      <w:r>
        <w:rPr>
          <w:sz w:val="24"/>
        </w:rPr>
        <w:t>时间间隔</w:t>
      </w:r>
      <w:r>
        <w:rPr>
          <w:rFonts w:hint="eastAsia" w:hAnsi="宋体"/>
          <w:sz w:val="24"/>
        </w:rPr>
        <w:t>，</w:t>
      </w:r>
      <w:r>
        <w:rPr>
          <w:rFonts w:hAnsi="宋体"/>
          <w:sz w:val="24"/>
        </w:rPr>
        <w:t>建议</w:t>
      </w:r>
      <w:r>
        <w:rPr>
          <w:rFonts w:hint="eastAsia"/>
          <w:sz w:val="24"/>
        </w:rPr>
        <w:t>核查</w:t>
      </w:r>
      <w:r>
        <w:rPr>
          <w:sz w:val="24"/>
        </w:rPr>
        <w:t>时间间隔为</w:t>
      </w:r>
      <w:r>
        <w:rPr>
          <w:rFonts w:hint="eastAsia"/>
          <w:sz w:val="24"/>
        </w:rPr>
        <w:t>1</w:t>
      </w:r>
      <w:r>
        <w:rPr>
          <w:rFonts w:hint="eastAsia" w:hAnsi="宋体"/>
          <w:sz w:val="24"/>
        </w:rPr>
        <w:t>个月</w:t>
      </w:r>
      <w:r>
        <w:rPr>
          <w:rFonts w:hAnsi="宋体"/>
          <w:sz w:val="24"/>
        </w:rPr>
        <w:t>。</w:t>
      </w:r>
      <w:r>
        <w:rPr>
          <w:rFonts w:hint="eastAsia" w:hAnsi="宋体"/>
          <w:bCs/>
          <w:color w:val="000000"/>
          <w:sz w:val="24"/>
          <w:lang w:val="zh-CN"/>
        </w:rPr>
        <w:t>若对影响皮带秤计量性能的部件或装置进行修理或更换，必须法定计量技术机构重新进行检定。</w:t>
      </w:r>
    </w:p>
    <w:bookmarkEnd w:id="43"/>
    <w:bookmarkEnd w:id="44"/>
    <w:p w14:paraId="64188281">
      <w:pPr>
        <w:rPr>
          <w:rFonts w:ascii="黑体" w:hAnsi="黑体" w:eastAsia="黑体"/>
          <w:sz w:val="28"/>
          <w:szCs w:val="28"/>
        </w:rPr>
      </w:pPr>
      <w:bookmarkStart w:id="45" w:name="_Toc465926410"/>
      <w:bookmarkStart w:id="46" w:name="_Toc380391780"/>
      <w:bookmarkStart w:id="47" w:name="_Toc465926600"/>
      <w:bookmarkStart w:id="48" w:name="_Toc298321449"/>
      <w:r>
        <w:rPr>
          <w:rFonts w:ascii="黑体" w:hAnsi="黑体" w:eastAsia="黑体"/>
          <w:sz w:val="28"/>
          <w:szCs w:val="28"/>
        </w:rPr>
        <w:br w:type="page"/>
      </w:r>
    </w:p>
    <w:p w14:paraId="1628EE1F">
      <w:pPr>
        <w:pStyle w:val="2"/>
        <w:keepNext w:val="0"/>
        <w:snapToGrid w:val="0"/>
        <w:spacing w:beforeLines="50" w:line="360" w:lineRule="auto"/>
        <w:ind w:firstLine="0" w:firstLineChars="0"/>
        <w:jc w:val="left"/>
        <w:rPr>
          <w:rFonts w:ascii="Times New Roman" w:eastAsia="黑体"/>
          <w:szCs w:val="28"/>
        </w:rPr>
      </w:pPr>
      <w:bookmarkStart w:id="49" w:name="_Toc17803"/>
      <w:r>
        <w:rPr>
          <w:rFonts w:ascii="Times New Roman" w:eastAsia="黑体"/>
          <w:szCs w:val="28"/>
        </w:rPr>
        <w:t>附录</w:t>
      </w:r>
      <w:bookmarkEnd w:id="49"/>
      <w:r>
        <w:rPr>
          <w:rFonts w:hint="eastAsia" w:ascii="Times New Roman" w:eastAsia="黑体"/>
          <w:szCs w:val="28"/>
        </w:rPr>
        <w:t>A</w:t>
      </w:r>
    </w:p>
    <w:p w14:paraId="6286C81E">
      <w:pPr>
        <w:spacing w:line="360" w:lineRule="auto"/>
        <w:ind w:right="420"/>
        <w:jc w:val="center"/>
        <w:rPr>
          <w:sz w:val="24"/>
        </w:rPr>
      </w:pPr>
      <w:r>
        <w:rPr>
          <w:rFonts w:hint="eastAsia" w:ascii="黑体" w:hAnsi="黑体" w:eastAsia="黑体"/>
          <w:sz w:val="28"/>
          <w:szCs w:val="28"/>
        </w:rPr>
        <w:t>电子皮带秤状态核查原始记录格式（供参考）</w:t>
      </w:r>
    </w:p>
    <w:tbl>
      <w:tblPr>
        <w:tblStyle w:val="3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1891"/>
        <w:gridCol w:w="1233"/>
        <w:gridCol w:w="1001"/>
        <w:gridCol w:w="733"/>
        <w:gridCol w:w="693"/>
        <w:gridCol w:w="2257"/>
      </w:tblGrid>
      <w:tr w14:paraId="6714B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2A739B34">
            <w:pPr>
              <w:spacing w:line="360" w:lineRule="auto"/>
              <w:jc w:val="center"/>
              <w:rPr>
                <w:rFonts w:asciiTheme="minorEastAsia" w:hAnsiTheme="minorEastAsia" w:eastAsiaTheme="minorEastAsia"/>
                <w:kern w:val="0"/>
                <w:szCs w:val="21"/>
              </w:rPr>
            </w:pPr>
            <w:bookmarkStart w:id="50" w:name="_Toc5692127"/>
            <w:bookmarkStart w:id="51" w:name="_Toc529543885"/>
            <w:bookmarkStart w:id="52" w:name="_Toc532308732"/>
            <w:bookmarkStart w:id="53" w:name="_Toc2607303"/>
            <w:r>
              <w:rPr>
                <w:rFonts w:asciiTheme="minorEastAsia" w:hAnsiTheme="minorEastAsia" w:eastAsiaTheme="minorEastAsia"/>
                <w:kern w:val="0"/>
                <w:szCs w:val="21"/>
              </w:rPr>
              <w:t>客户名称</w:t>
            </w:r>
            <w:bookmarkEnd w:id="50"/>
            <w:bookmarkEnd w:id="51"/>
            <w:bookmarkEnd w:id="52"/>
            <w:bookmarkEnd w:id="53"/>
          </w:p>
        </w:tc>
        <w:tc>
          <w:tcPr>
            <w:tcW w:w="4079" w:type="pct"/>
            <w:gridSpan w:val="6"/>
            <w:vAlign w:val="center"/>
          </w:tcPr>
          <w:p w14:paraId="3C3B9C7D">
            <w:pPr>
              <w:spacing w:line="360" w:lineRule="auto"/>
              <w:jc w:val="center"/>
              <w:rPr>
                <w:rFonts w:asciiTheme="minorEastAsia" w:hAnsiTheme="minorEastAsia" w:eastAsiaTheme="minorEastAsia"/>
                <w:kern w:val="0"/>
                <w:szCs w:val="21"/>
              </w:rPr>
            </w:pPr>
          </w:p>
        </w:tc>
      </w:tr>
      <w:tr w14:paraId="45C0A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788FC8EB">
            <w:pPr>
              <w:spacing w:line="360" w:lineRule="auto"/>
              <w:jc w:val="center"/>
              <w:rPr>
                <w:rFonts w:asciiTheme="minorEastAsia" w:hAnsiTheme="minorEastAsia" w:eastAsiaTheme="minorEastAsia"/>
                <w:kern w:val="0"/>
                <w:szCs w:val="21"/>
              </w:rPr>
            </w:pPr>
            <w:bookmarkStart w:id="54" w:name="_Toc532308733"/>
            <w:bookmarkStart w:id="55" w:name="_Toc5692128"/>
            <w:bookmarkStart w:id="56" w:name="_Toc2607304"/>
            <w:bookmarkStart w:id="57" w:name="_Toc529543886"/>
            <w:r>
              <w:rPr>
                <w:rFonts w:asciiTheme="minorEastAsia" w:hAnsiTheme="minorEastAsia" w:eastAsiaTheme="minorEastAsia"/>
                <w:kern w:val="0"/>
                <w:szCs w:val="21"/>
              </w:rPr>
              <w:t>客户地址</w:t>
            </w:r>
            <w:bookmarkEnd w:id="54"/>
            <w:bookmarkEnd w:id="55"/>
            <w:bookmarkEnd w:id="56"/>
            <w:bookmarkEnd w:id="57"/>
          </w:p>
        </w:tc>
        <w:tc>
          <w:tcPr>
            <w:tcW w:w="4079" w:type="pct"/>
            <w:gridSpan w:val="6"/>
            <w:vAlign w:val="center"/>
          </w:tcPr>
          <w:p w14:paraId="18173D1C">
            <w:pPr>
              <w:spacing w:line="360" w:lineRule="auto"/>
              <w:jc w:val="center"/>
              <w:rPr>
                <w:rFonts w:asciiTheme="minorEastAsia" w:hAnsiTheme="minorEastAsia" w:eastAsiaTheme="minorEastAsia"/>
                <w:kern w:val="0"/>
                <w:szCs w:val="21"/>
              </w:rPr>
            </w:pPr>
          </w:p>
        </w:tc>
      </w:tr>
      <w:tr w14:paraId="4AFC8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0B32821B">
            <w:pPr>
              <w:spacing w:line="360" w:lineRule="auto"/>
              <w:jc w:val="center"/>
              <w:rPr>
                <w:rFonts w:asciiTheme="minorEastAsia" w:hAnsiTheme="minorEastAsia" w:eastAsiaTheme="minorEastAsia"/>
                <w:kern w:val="0"/>
                <w:szCs w:val="21"/>
              </w:rPr>
            </w:pPr>
            <w:bookmarkStart w:id="58" w:name="_Toc518543603"/>
            <w:bookmarkStart w:id="59" w:name="_Toc532308734"/>
            <w:bookmarkStart w:id="60" w:name="_Toc5692129"/>
            <w:bookmarkStart w:id="61" w:name="_Toc528589673"/>
            <w:bookmarkStart w:id="62" w:name="_Toc2607305"/>
            <w:bookmarkStart w:id="63" w:name="_Toc529543887"/>
            <w:r>
              <w:rPr>
                <w:rFonts w:hint="eastAsia" w:asciiTheme="minorEastAsia" w:hAnsiTheme="minorEastAsia" w:eastAsiaTheme="minorEastAsia"/>
                <w:kern w:val="0"/>
                <w:szCs w:val="21"/>
              </w:rPr>
              <w:t>装置</w:t>
            </w:r>
            <w:r>
              <w:rPr>
                <w:rFonts w:asciiTheme="minorEastAsia" w:hAnsiTheme="minorEastAsia" w:eastAsiaTheme="minorEastAsia"/>
                <w:kern w:val="0"/>
                <w:szCs w:val="21"/>
              </w:rPr>
              <w:t>名称</w:t>
            </w:r>
            <w:bookmarkEnd w:id="58"/>
            <w:bookmarkEnd w:id="59"/>
            <w:bookmarkEnd w:id="60"/>
            <w:bookmarkEnd w:id="61"/>
            <w:bookmarkEnd w:id="62"/>
            <w:bookmarkEnd w:id="63"/>
          </w:p>
        </w:tc>
        <w:tc>
          <w:tcPr>
            <w:tcW w:w="4079" w:type="pct"/>
            <w:gridSpan w:val="6"/>
            <w:vAlign w:val="center"/>
          </w:tcPr>
          <w:p w14:paraId="28D531F9">
            <w:pPr>
              <w:spacing w:line="360" w:lineRule="auto"/>
              <w:jc w:val="center"/>
              <w:rPr>
                <w:rFonts w:asciiTheme="minorEastAsia" w:hAnsiTheme="minorEastAsia" w:eastAsiaTheme="minorEastAsia"/>
                <w:kern w:val="0"/>
                <w:szCs w:val="21"/>
              </w:rPr>
            </w:pPr>
          </w:p>
        </w:tc>
      </w:tr>
      <w:tr w14:paraId="4A8EA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772910C5">
            <w:pPr>
              <w:spacing w:line="360" w:lineRule="auto"/>
              <w:jc w:val="center"/>
              <w:rPr>
                <w:rFonts w:asciiTheme="minorEastAsia" w:hAnsiTheme="minorEastAsia" w:eastAsiaTheme="minorEastAsia"/>
                <w:kern w:val="0"/>
                <w:szCs w:val="21"/>
              </w:rPr>
            </w:pPr>
            <w:bookmarkStart w:id="64" w:name="_Toc529543888"/>
            <w:bookmarkStart w:id="65" w:name="_Toc2607306"/>
            <w:bookmarkStart w:id="66" w:name="_Toc532308735"/>
            <w:bookmarkStart w:id="67" w:name="_Toc528589674"/>
            <w:bookmarkStart w:id="68" w:name="_Toc5692130"/>
            <w:bookmarkStart w:id="69" w:name="_Toc518543604"/>
            <w:r>
              <w:rPr>
                <w:rFonts w:asciiTheme="minorEastAsia" w:hAnsiTheme="minorEastAsia" w:eastAsiaTheme="minorEastAsia"/>
                <w:kern w:val="0"/>
                <w:szCs w:val="21"/>
              </w:rPr>
              <w:t>规格/型号</w:t>
            </w:r>
            <w:bookmarkEnd w:id="64"/>
            <w:bookmarkEnd w:id="65"/>
            <w:bookmarkEnd w:id="66"/>
            <w:bookmarkEnd w:id="67"/>
            <w:bookmarkEnd w:id="68"/>
            <w:bookmarkEnd w:id="69"/>
          </w:p>
        </w:tc>
        <w:tc>
          <w:tcPr>
            <w:tcW w:w="1632" w:type="pct"/>
            <w:gridSpan w:val="2"/>
            <w:vAlign w:val="center"/>
          </w:tcPr>
          <w:p w14:paraId="5113ADF4">
            <w:pPr>
              <w:spacing w:line="360" w:lineRule="auto"/>
              <w:jc w:val="center"/>
              <w:rPr>
                <w:rFonts w:asciiTheme="minorEastAsia" w:hAnsiTheme="minorEastAsia" w:eastAsiaTheme="minorEastAsia"/>
                <w:kern w:val="0"/>
                <w:szCs w:val="21"/>
              </w:rPr>
            </w:pPr>
          </w:p>
        </w:tc>
        <w:tc>
          <w:tcPr>
            <w:tcW w:w="906" w:type="pct"/>
            <w:gridSpan w:val="2"/>
            <w:vAlign w:val="center"/>
          </w:tcPr>
          <w:p w14:paraId="217A408C">
            <w:pPr>
              <w:spacing w:line="360" w:lineRule="auto"/>
              <w:jc w:val="center"/>
              <w:rPr>
                <w:rFonts w:asciiTheme="minorEastAsia" w:hAnsiTheme="minorEastAsia" w:eastAsiaTheme="minorEastAsia"/>
                <w:kern w:val="0"/>
                <w:szCs w:val="21"/>
              </w:rPr>
            </w:pPr>
            <w:bookmarkStart w:id="70" w:name="_Toc532308736"/>
            <w:bookmarkStart w:id="71" w:name="_Toc5692131"/>
            <w:bookmarkStart w:id="72" w:name="_Toc528589675"/>
            <w:bookmarkStart w:id="73" w:name="_Toc529543889"/>
            <w:bookmarkStart w:id="74" w:name="_Toc2607307"/>
            <w:bookmarkStart w:id="75" w:name="_Toc518543605"/>
            <w:r>
              <w:rPr>
                <w:rFonts w:hint="eastAsia" w:asciiTheme="minorEastAsia" w:hAnsiTheme="minorEastAsia" w:eastAsiaTheme="minorEastAsia"/>
                <w:kern w:val="0"/>
                <w:szCs w:val="21"/>
              </w:rPr>
              <w:t>生产</w:t>
            </w:r>
            <w:r>
              <w:rPr>
                <w:rFonts w:asciiTheme="minorEastAsia" w:hAnsiTheme="minorEastAsia" w:eastAsiaTheme="minorEastAsia"/>
                <w:kern w:val="0"/>
                <w:szCs w:val="21"/>
              </w:rPr>
              <w:t>编号</w:t>
            </w:r>
            <w:bookmarkEnd w:id="70"/>
            <w:bookmarkEnd w:id="71"/>
            <w:bookmarkEnd w:id="72"/>
            <w:bookmarkEnd w:id="73"/>
            <w:bookmarkEnd w:id="74"/>
            <w:bookmarkEnd w:id="75"/>
          </w:p>
        </w:tc>
        <w:tc>
          <w:tcPr>
            <w:tcW w:w="1541" w:type="pct"/>
            <w:gridSpan w:val="2"/>
            <w:vAlign w:val="center"/>
          </w:tcPr>
          <w:p w14:paraId="47C99D4C">
            <w:pPr>
              <w:spacing w:line="360" w:lineRule="auto"/>
              <w:jc w:val="center"/>
              <w:rPr>
                <w:rFonts w:asciiTheme="minorEastAsia" w:hAnsiTheme="minorEastAsia" w:eastAsiaTheme="minorEastAsia"/>
                <w:kern w:val="0"/>
                <w:szCs w:val="21"/>
              </w:rPr>
            </w:pPr>
          </w:p>
        </w:tc>
      </w:tr>
      <w:tr w14:paraId="5235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73F9F2B9">
            <w:pPr>
              <w:spacing w:line="360" w:lineRule="auto"/>
              <w:jc w:val="center"/>
              <w:rPr>
                <w:rFonts w:asciiTheme="minorEastAsia" w:hAnsiTheme="minorEastAsia" w:eastAsiaTheme="minorEastAsia"/>
                <w:kern w:val="0"/>
                <w:szCs w:val="21"/>
              </w:rPr>
            </w:pPr>
            <w:bookmarkStart w:id="76" w:name="_Toc532308737"/>
            <w:bookmarkStart w:id="77" w:name="_Toc518543607"/>
            <w:bookmarkStart w:id="78" w:name="_Toc529543890"/>
            <w:bookmarkStart w:id="79" w:name="_Toc2607308"/>
            <w:bookmarkStart w:id="80" w:name="_Toc528589677"/>
            <w:bookmarkStart w:id="81" w:name="_Toc5692132"/>
            <w:r>
              <w:rPr>
                <w:rFonts w:asciiTheme="minorEastAsia" w:hAnsiTheme="minorEastAsia" w:eastAsiaTheme="minorEastAsia"/>
                <w:kern w:val="0"/>
                <w:szCs w:val="21"/>
              </w:rPr>
              <w:t>生产厂</w:t>
            </w:r>
            <w:bookmarkEnd w:id="76"/>
            <w:bookmarkEnd w:id="77"/>
            <w:bookmarkEnd w:id="78"/>
            <w:bookmarkEnd w:id="79"/>
            <w:bookmarkEnd w:id="80"/>
            <w:r>
              <w:rPr>
                <w:rFonts w:asciiTheme="minorEastAsia" w:hAnsiTheme="minorEastAsia" w:eastAsiaTheme="minorEastAsia"/>
                <w:kern w:val="0"/>
                <w:szCs w:val="21"/>
              </w:rPr>
              <w:t>家</w:t>
            </w:r>
            <w:bookmarkEnd w:id="81"/>
          </w:p>
        </w:tc>
        <w:tc>
          <w:tcPr>
            <w:tcW w:w="1632" w:type="pct"/>
            <w:gridSpan w:val="2"/>
            <w:vAlign w:val="center"/>
          </w:tcPr>
          <w:p w14:paraId="16A50BC2">
            <w:pPr>
              <w:spacing w:line="360" w:lineRule="auto"/>
              <w:jc w:val="center"/>
              <w:rPr>
                <w:rFonts w:asciiTheme="minorEastAsia" w:hAnsiTheme="minorEastAsia" w:eastAsiaTheme="minorEastAsia"/>
                <w:kern w:val="0"/>
                <w:szCs w:val="21"/>
              </w:rPr>
            </w:pPr>
          </w:p>
        </w:tc>
        <w:tc>
          <w:tcPr>
            <w:tcW w:w="906" w:type="pct"/>
            <w:gridSpan w:val="2"/>
            <w:vAlign w:val="center"/>
          </w:tcPr>
          <w:p w14:paraId="61C1030B">
            <w:pPr>
              <w:spacing w:line="360" w:lineRule="auto"/>
              <w:jc w:val="center"/>
              <w:rPr>
                <w:rFonts w:asciiTheme="minorEastAsia" w:hAnsiTheme="minorEastAsia" w:eastAsiaTheme="minorEastAsia"/>
                <w:kern w:val="0"/>
                <w:szCs w:val="21"/>
              </w:rPr>
            </w:pPr>
            <w:bookmarkStart w:id="82" w:name="_Toc518543608"/>
            <w:bookmarkStart w:id="83" w:name="_Toc532308738"/>
            <w:bookmarkStart w:id="84" w:name="_Toc529543891"/>
            <w:bookmarkStart w:id="85" w:name="_Toc5692133"/>
            <w:bookmarkStart w:id="86" w:name="_Toc2607309"/>
            <w:bookmarkStart w:id="87" w:name="_Toc528589678"/>
            <w:r>
              <w:rPr>
                <w:rFonts w:hint="eastAsia" w:asciiTheme="minorEastAsia" w:hAnsiTheme="minorEastAsia" w:eastAsiaTheme="minorEastAsia"/>
                <w:kern w:val="0"/>
                <w:szCs w:val="21"/>
              </w:rPr>
              <w:t>核查</w:t>
            </w:r>
            <w:r>
              <w:rPr>
                <w:rFonts w:asciiTheme="minorEastAsia" w:hAnsiTheme="minorEastAsia" w:eastAsiaTheme="minorEastAsia"/>
                <w:kern w:val="0"/>
                <w:szCs w:val="21"/>
              </w:rPr>
              <w:t>依据</w:t>
            </w:r>
            <w:bookmarkEnd w:id="82"/>
            <w:bookmarkEnd w:id="83"/>
            <w:bookmarkEnd w:id="84"/>
            <w:bookmarkEnd w:id="85"/>
            <w:bookmarkEnd w:id="86"/>
            <w:bookmarkEnd w:id="87"/>
          </w:p>
        </w:tc>
        <w:tc>
          <w:tcPr>
            <w:tcW w:w="1541" w:type="pct"/>
            <w:gridSpan w:val="2"/>
            <w:vAlign w:val="center"/>
          </w:tcPr>
          <w:p w14:paraId="0CCCA073">
            <w:pPr>
              <w:spacing w:line="360" w:lineRule="auto"/>
              <w:jc w:val="center"/>
              <w:rPr>
                <w:rFonts w:asciiTheme="minorEastAsia" w:hAnsiTheme="minorEastAsia" w:eastAsiaTheme="minorEastAsia"/>
                <w:kern w:val="0"/>
                <w:szCs w:val="21"/>
              </w:rPr>
            </w:pPr>
          </w:p>
        </w:tc>
      </w:tr>
      <w:tr w14:paraId="7C71A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1E8E6CAA">
            <w:pPr>
              <w:spacing w:line="360" w:lineRule="auto"/>
              <w:jc w:val="center"/>
              <w:rPr>
                <w:rFonts w:asciiTheme="minorEastAsia" w:hAnsiTheme="minorEastAsia" w:eastAsiaTheme="minorEastAsia"/>
                <w:kern w:val="0"/>
                <w:szCs w:val="21"/>
              </w:rPr>
            </w:pPr>
            <w:bookmarkStart w:id="88" w:name="_Toc532308740"/>
            <w:bookmarkStart w:id="89" w:name="_Toc528589680"/>
            <w:bookmarkStart w:id="90" w:name="_Toc2607311"/>
            <w:bookmarkStart w:id="91" w:name="_Toc529543893"/>
            <w:bookmarkStart w:id="92" w:name="_Toc5692135"/>
            <w:r>
              <w:rPr>
                <w:rFonts w:hint="eastAsia" w:asciiTheme="minorEastAsia" w:hAnsiTheme="minorEastAsia" w:eastAsiaTheme="minorEastAsia"/>
                <w:kern w:val="0"/>
                <w:szCs w:val="21"/>
              </w:rPr>
              <w:t>核查</w:t>
            </w:r>
            <w:r>
              <w:rPr>
                <w:rFonts w:asciiTheme="minorEastAsia" w:hAnsiTheme="minorEastAsia" w:eastAsiaTheme="minorEastAsia"/>
                <w:kern w:val="0"/>
                <w:szCs w:val="21"/>
              </w:rPr>
              <w:t>日期</w:t>
            </w:r>
            <w:bookmarkEnd w:id="88"/>
            <w:bookmarkEnd w:id="89"/>
            <w:bookmarkEnd w:id="90"/>
            <w:bookmarkEnd w:id="91"/>
            <w:bookmarkEnd w:id="92"/>
          </w:p>
        </w:tc>
        <w:tc>
          <w:tcPr>
            <w:tcW w:w="1632" w:type="pct"/>
            <w:gridSpan w:val="2"/>
            <w:vAlign w:val="center"/>
          </w:tcPr>
          <w:p w14:paraId="5F947D04">
            <w:pPr>
              <w:spacing w:line="360" w:lineRule="auto"/>
              <w:jc w:val="center"/>
              <w:rPr>
                <w:rFonts w:asciiTheme="minorEastAsia" w:hAnsiTheme="minorEastAsia" w:eastAsiaTheme="minorEastAsia"/>
                <w:kern w:val="0"/>
                <w:szCs w:val="21"/>
              </w:rPr>
            </w:pPr>
          </w:p>
        </w:tc>
        <w:tc>
          <w:tcPr>
            <w:tcW w:w="906" w:type="pct"/>
            <w:gridSpan w:val="2"/>
            <w:vAlign w:val="center"/>
          </w:tcPr>
          <w:p w14:paraId="3C4C5046">
            <w:pPr>
              <w:spacing w:line="360" w:lineRule="auto"/>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核查</w:t>
            </w:r>
            <w:r>
              <w:rPr>
                <w:rFonts w:asciiTheme="minorEastAsia" w:hAnsiTheme="minorEastAsia" w:eastAsiaTheme="minorEastAsia"/>
                <w:kern w:val="0"/>
                <w:szCs w:val="21"/>
              </w:rPr>
              <w:t>地点</w:t>
            </w:r>
          </w:p>
        </w:tc>
        <w:tc>
          <w:tcPr>
            <w:tcW w:w="1541" w:type="pct"/>
            <w:gridSpan w:val="2"/>
            <w:vAlign w:val="center"/>
          </w:tcPr>
          <w:p w14:paraId="65CDDBF0">
            <w:pPr>
              <w:spacing w:line="360" w:lineRule="auto"/>
              <w:jc w:val="center"/>
              <w:rPr>
                <w:rFonts w:asciiTheme="minorEastAsia" w:hAnsiTheme="minorEastAsia" w:eastAsiaTheme="minorEastAsia"/>
                <w:kern w:val="0"/>
                <w:szCs w:val="21"/>
              </w:rPr>
            </w:pPr>
          </w:p>
        </w:tc>
      </w:tr>
      <w:tr w14:paraId="038CF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3D0D706D">
            <w:pPr>
              <w:spacing w:line="360" w:lineRule="auto"/>
              <w:jc w:val="center"/>
              <w:rPr>
                <w:rFonts w:asciiTheme="minorEastAsia" w:hAnsiTheme="minorEastAsia" w:eastAsiaTheme="minorEastAsia"/>
                <w:kern w:val="0"/>
                <w:szCs w:val="21"/>
              </w:rPr>
            </w:pPr>
            <w:bookmarkStart w:id="93" w:name="_Toc2607312"/>
            <w:bookmarkStart w:id="94" w:name="_Toc532308741"/>
            <w:bookmarkStart w:id="95" w:name="_Toc529543894"/>
            <w:bookmarkStart w:id="96" w:name="_Toc5692136"/>
            <w:r>
              <w:rPr>
                <w:rFonts w:hint="eastAsia" w:asciiTheme="minorEastAsia" w:hAnsiTheme="minorEastAsia" w:eastAsiaTheme="minorEastAsia"/>
                <w:kern w:val="0"/>
                <w:szCs w:val="21"/>
              </w:rPr>
              <w:t>核查</w:t>
            </w:r>
            <w:r>
              <w:rPr>
                <w:rFonts w:asciiTheme="minorEastAsia" w:hAnsiTheme="minorEastAsia" w:eastAsiaTheme="minorEastAsia"/>
                <w:kern w:val="0"/>
                <w:szCs w:val="21"/>
              </w:rPr>
              <w:t>条件</w:t>
            </w:r>
            <w:bookmarkEnd w:id="93"/>
            <w:bookmarkEnd w:id="94"/>
            <w:bookmarkEnd w:id="95"/>
            <w:bookmarkEnd w:id="96"/>
          </w:p>
        </w:tc>
        <w:tc>
          <w:tcPr>
            <w:tcW w:w="4079" w:type="pct"/>
            <w:gridSpan w:val="6"/>
            <w:vAlign w:val="center"/>
          </w:tcPr>
          <w:p w14:paraId="34440493">
            <w:pPr>
              <w:spacing w:line="360" w:lineRule="auto"/>
              <w:ind w:firstLine="420" w:firstLineChars="200"/>
              <w:rPr>
                <w:rFonts w:asciiTheme="minorEastAsia" w:hAnsiTheme="minorEastAsia" w:eastAsiaTheme="minorEastAsia"/>
                <w:kern w:val="0"/>
                <w:szCs w:val="21"/>
              </w:rPr>
            </w:pPr>
            <w:r>
              <w:rPr>
                <w:rFonts w:asciiTheme="minorEastAsia" w:hAnsiTheme="minorEastAsia" w:eastAsiaTheme="minorEastAsia"/>
                <w:kern w:val="0"/>
                <w:szCs w:val="21"/>
              </w:rPr>
              <w:t>温度：</w:t>
            </w:r>
            <w:bookmarkStart w:id="97" w:name="_Toc5692139"/>
            <w:bookmarkStart w:id="98" w:name="_Toc529543897"/>
            <w:bookmarkStart w:id="99" w:name="_Toc2607315"/>
            <w:bookmarkStart w:id="100" w:name="_Toc532308744"/>
            <w:bookmarkStart w:id="101" w:name="_Toc528589683"/>
            <w:bookmarkStart w:id="102" w:name="_Toc518543612"/>
            <w:r>
              <w:rPr>
                <w:rFonts w:hint="eastAsia" w:asciiTheme="minorEastAsia" w:hAnsiTheme="minorEastAsia" w:eastAsiaTheme="minorEastAsia"/>
                <w:kern w:val="0"/>
                <w:szCs w:val="21"/>
              </w:rPr>
              <w:t xml:space="preserve">                   相对</w:t>
            </w:r>
            <w:r>
              <w:rPr>
                <w:rFonts w:asciiTheme="minorEastAsia" w:hAnsiTheme="minorEastAsia" w:eastAsiaTheme="minorEastAsia"/>
                <w:kern w:val="0"/>
                <w:szCs w:val="21"/>
              </w:rPr>
              <w:t>湿度：</w:t>
            </w:r>
            <w:bookmarkEnd w:id="97"/>
            <w:bookmarkEnd w:id="98"/>
            <w:bookmarkEnd w:id="99"/>
            <w:bookmarkEnd w:id="100"/>
            <w:bookmarkEnd w:id="101"/>
            <w:bookmarkEnd w:id="102"/>
          </w:p>
        </w:tc>
      </w:tr>
      <w:tr w14:paraId="6959C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14:paraId="103058A8">
            <w:pPr>
              <w:spacing w:line="360" w:lineRule="auto"/>
              <w:jc w:val="center"/>
              <w:rPr>
                <w:rFonts w:asciiTheme="minorEastAsia" w:hAnsiTheme="minorEastAsia" w:eastAsiaTheme="minorEastAsia"/>
                <w:kern w:val="0"/>
                <w:szCs w:val="21"/>
              </w:rPr>
            </w:pPr>
            <w:bookmarkStart w:id="103" w:name="_Toc2607318"/>
            <w:bookmarkStart w:id="104" w:name="_Toc5692142"/>
            <w:bookmarkStart w:id="105" w:name="_Toc529543900"/>
            <w:bookmarkStart w:id="106" w:name="_Toc532308747"/>
            <w:bookmarkStart w:id="107" w:name="_Toc518543615"/>
            <w:bookmarkStart w:id="108" w:name="_Toc528589686"/>
            <w:r>
              <w:rPr>
                <w:rFonts w:hint="eastAsia" w:asciiTheme="minorEastAsia" w:hAnsiTheme="minorEastAsia" w:eastAsiaTheme="minorEastAsia"/>
                <w:kern w:val="0"/>
                <w:szCs w:val="21"/>
              </w:rPr>
              <w:t>状态核查</w:t>
            </w:r>
            <w:r>
              <w:rPr>
                <w:rFonts w:asciiTheme="minorEastAsia" w:hAnsiTheme="minorEastAsia" w:eastAsiaTheme="minorEastAsia"/>
                <w:kern w:val="0"/>
                <w:szCs w:val="21"/>
              </w:rPr>
              <w:t>使用的计量（基）标准装置/主要标准器/主要仪器</w:t>
            </w:r>
            <w:bookmarkEnd w:id="103"/>
            <w:bookmarkEnd w:id="104"/>
            <w:bookmarkEnd w:id="105"/>
            <w:bookmarkEnd w:id="106"/>
            <w:bookmarkEnd w:id="107"/>
            <w:bookmarkEnd w:id="108"/>
          </w:p>
        </w:tc>
      </w:tr>
      <w:tr w14:paraId="7D425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11A97A68">
            <w:pPr>
              <w:spacing w:line="360" w:lineRule="auto"/>
              <w:jc w:val="center"/>
              <w:rPr>
                <w:rFonts w:asciiTheme="minorEastAsia" w:hAnsiTheme="minorEastAsia" w:eastAsiaTheme="minorEastAsia"/>
                <w:kern w:val="0"/>
                <w:szCs w:val="21"/>
              </w:rPr>
            </w:pPr>
            <w:bookmarkStart w:id="109" w:name="_Toc529543901"/>
            <w:bookmarkStart w:id="110" w:name="_Toc5692143"/>
            <w:bookmarkStart w:id="111" w:name="_Toc528589687"/>
            <w:bookmarkStart w:id="112" w:name="_Toc532308748"/>
            <w:bookmarkStart w:id="113" w:name="_Toc518543616"/>
            <w:bookmarkStart w:id="114" w:name="_Toc2607319"/>
            <w:r>
              <w:rPr>
                <w:rFonts w:asciiTheme="minorEastAsia" w:hAnsiTheme="minorEastAsia" w:eastAsiaTheme="minorEastAsia"/>
                <w:kern w:val="0"/>
                <w:szCs w:val="21"/>
              </w:rPr>
              <w:t>测量设备名称</w:t>
            </w:r>
            <w:bookmarkEnd w:id="109"/>
            <w:bookmarkEnd w:id="110"/>
            <w:bookmarkEnd w:id="111"/>
            <w:bookmarkEnd w:id="112"/>
            <w:bookmarkEnd w:id="113"/>
            <w:bookmarkEnd w:id="114"/>
          </w:p>
        </w:tc>
        <w:tc>
          <w:tcPr>
            <w:tcW w:w="988" w:type="pct"/>
            <w:vAlign w:val="center"/>
          </w:tcPr>
          <w:p w14:paraId="76214D69">
            <w:pPr>
              <w:spacing w:line="360" w:lineRule="auto"/>
              <w:jc w:val="center"/>
              <w:rPr>
                <w:rFonts w:asciiTheme="minorEastAsia" w:hAnsiTheme="minorEastAsia" w:eastAsiaTheme="minorEastAsia"/>
                <w:kern w:val="0"/>
                <w:szCs w:val="21"/>
              </w:rPr>
            </w:pPr>
            <w:bookmarkStart w:id="115" w:name="_Toc518543617"/>
            <w:bookmarkStart w:id="116" w:name="_Toc532308749"/>
            <w:bookmarkStart w:id="117" w:name="_Toc2607320"/>
            <w:bookmarkStart w:id="118" w:name="_Toc528589688"/>
            <w:bookmarkStart w:id="119" w:name="_Toc529543902"/>
            <w:bookmarkStart w:id="120" w:name="_Toc5692144"/>
            <w:r>
              <w:rPr>
                <w:rFonts w:asciiTheme="minorEastAsia" w:hAnsiTheme="minorEastAsia" w:eastAsiaTheme="minorEastAsia"/>
                <w:kern w:val="0"/>
                <w:szCs w:val="21"/>
              </w:rPr>
              <w:t>测量范围</w:t>
            </w:r>
            <w:bookmarkEnd w:id="115"/>
            <w:bookmarkEnd w:id="116"/>
            <w:bookmarkEnd w:id="117"/>
            <w:bookmarkEnd w:id="118"/>
            <w:bookmarkEnd w:id="119"/>
            <w:bookmarkEnd w:id="120"/>
          </w:p>
        </w:tc>
        <w:tc>
          <w:tcPr>
            <w:tcW w:w="1167" w:type="pct"/>
            <w:gridSpan w:val="2"/>
            <w:vAlign w:val="center"/>
          </w:tcPr>
          <w:p w14:paraId="5EA9D918">
            <w:pPr>
              <w:spacing w:line="360" w:lineRule="auto"/>
              <w:jc w:val="center"/>
              <w:rPr>
                <w:rFonts w:asciiTheme="minorEastAsia" w:hAnsiTheme="minorEastAsia" w:eastAsiaTheme="minorEastAsia"/>
                <w:kern w:val="0"/>
                <w:szCs w:val="21"/>
              </w:rPr>
            </w:pPr>
            <w:bookmarkStart w:id="121" w:name="_Toc528589689"/>
            <w:bookmarkStart w:id="122" w:name="_Toc2607321"/>
            <w:bookmarkStart w:id="123" w:name="_Toc532308750"/>
            <w:bookmarkStart w:id="124" w:name="_Toc518543618"/>
            <w:bookmarkStart w:id="125" w:name="_Toc529543903"/>
            <w:bookmarkStart w:id="126" w:name="_Toc5692145"/>
            <w:r>
              <w:rPr>
                <w:rFonts w:asciiTheme="minorEastAsia" w:hAnsiTheme="minorEastAsia" w:eastAsiaTheme="minorEastAsia"/>
                <w:kern w:val="0"/>
                <w:szCs w:val="21"/>
              </w:rPr>
              <w:t>不确定度/准确度等级/最大允许误差</w:t>
            </w:r>
            <w:bookmarkEnd w:id="121"/>
            <w:bookmarkEnd w:id="122"/>
            <w:bookmarkEnd w:id="123"/>
            <w:bookmarkEnd w:id="124"/>
            <w:bookmarkEnd w:id="125"/>
            <w:bookmarkEnd w:id="126"/>
          </w:p>
        </w:tc>
        <w:tc>
          <w:tcPr>
            <w:tcW w:w="745" w:type="pct"/>
            <w:gridSpan w:val="2"/>
            <w:vAlign w:val="center"/>
          </w:tcPr>
          <w:p w14:paraId="4C16FA86">
            <w:pPr>
              <w:spacing w:line="360" w:lineRule="auto"/>
              <w:jc w:val="center"/>
              <w:rPr>
                <w:rFonts w:asciiTheme="minorEastAsia" w:hAnsiTheme="minorEastAsia" w:eastAsiaTheme="minorEastAsia"/>
                <w:kern w:val="0"/>
                <w:szCs w:val="21"/>
              </w:rPr>
            </w:pPr>
            <w:bookmarkStart w:id="127" w:name="_Toc5692146"/>
            <w:bookmarkStart w:id="128" w:name="_Toc528589690"/>
            <w:bookmarkStart w:id="129" w:name="_Toc532308751"/>
            <w:bookmarkStart w:id="130" w:name="_Toc2607322"/>
            <w:bookmarkStart w:id="131" w:name="_Toc518543619"/>
            <w:bookmarkStart w:id="132" w:name="_Toc529543904"/>
            <w:r>
              <w:rPr>
                <w:rFonts w:asciiTheme="minorEastAsia" w:hAnsiTheme="minorEastAsia" w:eastAsiaTheme="minorEastAsia"/>
                <w:kern w:val="0"/>
                <w:szCs w:val="21"/>
              </w:rPr>
              <w:t>证书编号</w:t>
            </w:r>
            <w:bookmarkEnd w:id="127"/>
            <w:bookmarkEnd w:id="128"/>
            <w:bookmarkEnd w:id="129"/>
            <w:bookmarkEnd w:id="130"/>
            <w:bookmarkEnd w:id="131"/>
            <w:bookmarkEnd w:id="132"/>
          </w:p>
        </w:tc>
        <w:tc>
          <w:tcPr>
            <w:tcW w:w="1179" w:type="pct"/>
            <w:vAlign w:val="center"/>
          </w:tcPr>
          <w:p w14:paraId="62F50BAF">
            <w:pPr>
              <w:spacing w:line="360" w:lineRule="auto"/>
              <w:jc w:val="center"/>
              <w:rPr>
                <w:rFonts w:asciiTheme="minorEastAsia" w:hAnsiTheme="minorEastAsia" w:eastAsiaTheme="minorEastAsia"/>
                <w:kern w:val="0"/>
                <w:szCs w:val="21"/>
              </w:rPr>
            </w:pPr>
            <w:bookmarkStart w:id="133" w:name="_Toc5692147"/>
            <w:bookmarkStart w:id="134" w:name="_Toc528589691"/>
            <w:bookmarkStart w:id="135" w:name="_Toc529543905"/>
            <w:bookmarkStart w:id="136" w:name="_Toc518543620"/>
            <w:bookmarkStart w:id="137" w:name="_Toc2607323"/>
            <w:bookmarkStart w:id="138" w:name="_Toc532308752"/>
            <w:r>
              <w:rPr>
                <w:rFonts w:asciiTheme="minorEastAsia" w:hAnsiTheme="minorEastAsia" w:eastAsiaTheme="minorEastAsia"/>
                <w:kern w:val="0"/>
                <w:szCs w:val="21"/>
              </w:rPr>
              <w:t>证书有效期至（YYYY-MM-DD）</w:t>
            </w:r>
            <w:bookmarkEnd w:id="133"/>
            <w:bookmarkEnd w:id="134"/>
            <w:bookmarkEnd w:id="135"/>
            <w:bookmarkEnd w:id="136"/>
            <w:bookmarkEnd w:id="137"/>
            <w:bookmarkEnd w:id="138"/>
          </w:p>
        </w:tc>
      </w:tr>
      <w:tr w14:paraId="7925F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18E5F27E">
            <w:pPr>
              <w:spacing w:line="360" w:lineRule="auto"/>
              <w:jc w:val="center"/>
              <w:rPr>
                <w:rFonts w:asciiTheme="minorEastAsia" w:hAnsiTheme="minorEastAsia" w:eastAsiaTheme="minorEastAsia"/>
                <w:kern w:val="0"/>
                <w:szCs w:val="21"/>
              </w:rPr>
            </w:pPr>
            <w:bookmarkStart w:id="139" w:name="_Toc529543906"/>
            <w:bookmarkStart w:id="140" w:name="_Toc2607324"/>
            <w:bookmarkStart w:id="141" w:name="_Toc532308753"/>
            <w:bookmarkStart w:id="142" w:name="_Toc5692148"/>
            <w:r>
              <w:rPr>
                <w:rFonts w:asciiTheme="minorEastAsia" w:hAnsiTheme="minorEastAsia" w:eastAsiaTheme="minorEastAsia"/>
                <w:kern w:val="0"/>
                <w:szCs w:val="21"/>
              </w:rPr>
              <w:t>标准器1</w:t>
            </w:r>
            <w:bookmarkEnd w:id="139"/>
            <w:bookmarkEnd w:id="140"/>
            <w:bookmarkEnd w:id="141"/>
            <w:bookmarkEnd w:id="142"/>
          </w:p>
        </w:tc>
        <w:tc>
          <w:tcPr>
            <w:tcW w:w="988" w:type="pct"/>
            <w:vAlign w:val="center"/>
          </w:tcPr>
          <w:p w14:paraId="60289472">
            <w:pPr>
              <w:spacing w:line="360" w:lineRule="auto"/>
              <w:jc w:val="center"/>
              <w:rPr>
                <w:rFonts w:asciiTheme="minorEastAsia" w:hAnsiTheme="minorEastAsia" w:eastAsiaTheme="minorEastAsia"/>
                <w:kern w:val="0"/>
                <w:szCs w:val="21"/>
              </w:rPr>
            </w:pPr>
          </w:p>
        </w:tc>
        <w:tc>
          <w:tcPr>
            <w:tcW w:w="1167" w:type="pct"/>
            <w:gridSpan w:val="2"/>
            <w:vAlign w:val="center"/>
          </w:tcPr>
          <w:p w14:paraId="736F57DE">
            <w:pPr>
              <w:spacing w:line="360" w:lineRule="auto"/>
              <w:jc w:val="center"/>
              <w:rPr>
                <w:rFonts w:asciiTheme="minorEastAsia" w:hAnsiTheme="minorEastAsia" w:eastAsiaTheme="minorEastAsia"/>
                <w:kern w:val="0"/>
                <w:szCs w:val="21"/>
              </w:rPr>
            </w:pPr>
          </w:p>
        </w:tc>
        <w:tc>
          <w:tcPr>
            <w:tcW w:w="745" w:type="pct"/>
            <w:gridSpan w:val="2"/>
            <w:vAlign w:val="center"/>
          </w:tcPr>
          <w:p w14:paraId="31CB1732">
            <w:pPr>
              <w:spacing w:line="360" w:lineRule="auto"/>
              <w:jc w:val="center"/>
              <w:rPr>
                <w:rFonts w:asciiTheme="minorEastAsia" w:hAnsiTheme="minorEastAsia" w:eastAsiaTheme="minorEastAsia"/>
                <w:kern w:val="0"/>
                <w:szCs w:val="21"/>
              </w:rPr>
            </w:pPr>
          </w:p>
        </w:tc>
        <w:tc>
          <w:tcPr>
            <w:tcW w:w="1179" w:type="pct"/>
            <w:vAlign w:val="center"/>
          </w:tcPr>
          <w:p w14:paraId="443B4500">
            <w:pPr>
              <w:spacing w:line="360" w:lineRule="auto"/>
              <w:jc w:val="center"/>
              <w:rPr>
                <w:rFonts w:asciiTheme="minorEastAsia" w:hAnsiTheme="minorEastAsia" w:eastAsiaTheme="minorEastAsia"/>
                <w:kern w:val="0"/>
                <w:szCs w:val="21"/>
              </w:rPr>
            </w:pPr>
          </w:p>
        </w:tc>
      </w:tr>
      <w:tr w14:paraId="5B217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79A0F8F4">
            <w:pPr>
              <w:spacing w:line="360" w:lineRule="auto"/>
              <w:jc w:val="center"/>
              <w:rPr>
                <w:rFonts w:asciiTheme="minorEastAsia" w:hAnsiTheme="minorEastAsia" w:eastAsiaTheme="minorEastAsia"/>
                <w:kern w:val="0"/>
                <w:szCs w:val="21"/>
              </w:rPr>
            </w:pPr>
            <w:r>
              <w:rPr>
                <w:rFonts w:asciiTheme="minorEastAsia" w:hAnsiTheme="minorEastAsia" w:eastAsiaTheme="minorEastAsia"/>
                <w:kern w:val="0"/>
                <w:szCs w:val="21"/>
              </w:rPr>
              <w:t>……</w:t>
            </w:r>
          </w:p>
        </w:tc>
        <w:tc>
          <w:tcPr>
            <w:tcW w:w="988" w:type="pct"/>
            <w:vAlign w:val="center"/>
          </w:tcPr>
          <w:p w14:paraId="0F9ABF78">
            <w:pPr>
              <w:spacing w:line="360" w:lineRule="auto"/>
              <w:jc w:val="center"/>
              <w:rPr>
                <w:rFonts w:asciiTheme="minorEastAsia" w:hAnsiTheme="minorEastAsia" w:eastAsiaTheme="minorEastAsia"/>
                <w:kern w:val="0"/>
                <w:szCs w:val="21"/>
              </w:rPr>
            </w:pPr>
          </w:p>
        </w:tc>
        <w:tc>
          <w:tcPr>
            <w:tcW w:w="1167" w:type="pct"/>
            <w:gridSpan w:val="2"/>
            <w:vAlign w:val="center"/>
          </w:tcPr>
          <w:p w14:paraId="29BF68B0">
            <w:pPr>
              <w:spacing w:line="360" w:lineRule="auto"/>
              <w:jc w:val="center"/>
              <w:rPr>
                <w:rFonts w:asciiTheme="minorEastAsia" w:hAnsiTheme="minorEastAsia" w:eastAsiaTheme="minorEastAsia"/>
                <w:kern w:val="0"/>
                <w:szCs w:val="21"/>
              </w:rPr>
            </w:pPr>
          </w:p>
        </w:tc>
        <w:tc>
          <w:tcPr>
            <w:tcW w:w="745" w:type="pct"/>
            <w:gridSpan w:val="2"/>
            <w:vAlign w:val="center"/>
          </w:tcPr>
          <w:p w14:paraId="53D34ADC">
            <w:pPr>
              <w:spacing w:line="360" w:lineRule="auto"/>
              <w:jc w:val="center"/>
              <w:rPr>
                <w:rFonts w:asciiTheme="minorEastAsia" w:hAnsiTheme="minorEastAsia" w:eastAsiaTheme="minorEastAsia"/>
                <w:kern w:val="0"/>
                <w:szCs w:val="21"/>
              </w:rPr>
            </w:pPr>
          </w:p>
        </w:tc>
        <w:tc>
          <w:tcPr>
            <w:tcW w:w="1179" w:type="pct"/>
            <w:vAlign w:val="center"/>
          </w:tcPr>
          <w:p w14:paraId="2F1F961B">
            <w:pPr>
              <w:spacing w:line="360" w:lineRule="auto"/>
              <w:jc w:val="center"/>
              <w:rPr>
                <w:rFonts w:asciiTheme="minorEastAsia" w:hAnsiTheme="minorEastAsia" w:eastAsiaTheme="minorEastAsia"/>
                <w:kern w:val="0"/>
                <w:szCs w:val="21"/>
              </w:rPr>
            </w:pPr>
          </w:p>
        </w:tc>
      </w:tr>
      <w:tr w14:paraId="7ECBA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 w:type="pct"/>
            <w:vAlign w:val="center"/>
          </w:tcPr>
          <w:p w14:paraId="653D2BE2">
            <w:pPr>
              <w:spacing w:line="360" w:lineRule="auto"/>
              <w:jc w:val="center"/>
              <w:rPr>
                <w:rFonts w:asciiTheme="minorEastAsia" w:hAnsiTheme="minorEastAsia" w:eastAsiaTheme="minorEastAsia"/>
                <w:kern w:val="0"/>
                <w:szCs w:val="21"/>
              </w:rPr>
            </w:pPr>
            <w:bookmarkStart w:id="143" w:name="_Toc2607326"/>
            <w:bookmarkStart w:id="144" w:name="_Toc532308755"/>
            <w:bookmarkStart w:id="145" w:name="_Toc5692151"/>
            <w:bookmarkStart w:id="146" w:name="_Toc529543908"/>
            <w:r>
              <w:rPr>
                <w:rFonts w:asciiTheme="minorEastAsia" w:hAnsiTheme="minorEastAsia" w:eastAsiaTheme="minorEastAsia"/>
                <w:kern w:val="0"/>
                <w:szCs w:val="21"/>
              </w:rPr>
              <w:t>标准器n</w:t>
            </w:r>
            <w:bookmarkEnd w:id="143"/>
            <w:bookmarkEnd w:id="144"/>
            <w:bookmarkEnd w:id="145"/>
            <w:bookmarkEnd w:id="146"/>
          </w:p>
        </w:tc>
        <w:tc>
          <w:tcPr>
            <w:tcW w:w="988" w:type="pct"/>
            <w:vAlign w:val="center"/>
          </w:tcPr>
          <w:p w14:paraId="4A13B683">
            <w:pPr>
              <w:spacing w:line="360" w:lineRule="auto"/>
              <w:jc w:val="center"/>
              <w:rPr>
                <w:rFonts w:asciiTheme="minorEastAsia" w:hAnsiTheme="minorEastAsia" w:eastAsiaTheme="minorEastAsia"/>
                <w:kern w:val="0"/>
                <w:szCs w:val="21"/>
              </w:rPr>
            </w:pPr>
          </w:p>
        </w:tc>
        <w:tc>
          <w:tcPr>
            <w:tcW w:w="1167" w:type="pct"/>
            <w:gridSpan w:val="2"/>
            <w:vAlign w:val="center"/>
          </w:tcPr>
          <w:p w14:paraId="675C0DF7">
            <w:pPr>
              <w:spacing w:line="360" w:lineRule="auto"/>
              <w:jc w:val="center"/>
              <w:rPr>
                <w:rFonts w:asciiTheme="minorEastAsia" w:hAnsiTheme="minorEastAsia" w:eastAsiaTheme="minorEastAsia"/>
                <w:kern w:val="0"/>
                <w:szCs w:val="21"/>
              </w:rPr>
            </w:pPr>
          </w:p>
        </w:tc>
        <w:tc>
          <w:tcPr>
            <w:tcW w:w="745" w:type="pct"/>
            <w:gridSpan w:val="2"/>
            <w:vAlign w:val="center"/>
          </w:tcPr>
          <w:p w14:paraId="0C3C9A30">
            <w:pPr>
              <w:spacing w:line="360" w:lineRule="auto"/>
              <w:jc w:val="center"/>
              <w:rPr>
                <w:rFonts w:asciiTheme="minorEastAsia" w:hAnsiTheme="minorEastAsia" w:eastAsiaTheme="minorEastAsia"/>
                <w:kern w:val="0"/>
                <w:szCs w:val="21"/>
              </w:rPr>
            </w:pPr>
          </w:p>
        </w:tc>
        <w:tc>
          <w:tcPr>
            <w:tcW w:w="1179" w:type="pct"/>
            <w:vAlign w:val="center"/>
          </w:tcPr>
          <w:p w14:paraId="09E2090F">
            <w:pPr>
              <w:spacing w:line="360" w:lineRule="auto"/>
              <w:jc w:val="center"/>
              <w:rPr>
                <w:rFonts w:asciiTheme="minorEastAsia" w:hAnsiTheme="minorEastAsia" w:eastAsiaTheme="minorEastAsia"/>
                <w:kern w:val="0"/>
                <w:szCs w:val="21"/>
              </w:rPr>
            </w:pPr>
          </w:p>
        </w:tc>
      </w:tr>
    </w:tbl>
    <w:p w14:paraId="5E2F3F8B">
      <w:pPr>
        <w:spacing w:line="360" w:lineRule="auto"/>
        <w:jc w:val="left"/>
        <w:rPr>
          <w:rFonts w:ascii="宋体" w:hAnsi="宋体" w:cs="宋体"/>
          <w:sz w:val="24"/>
        </w:rPr>
      </w:pPr>
      <w:r>
        <w:rPr>
          <w:rFonts w:ascii="宋体" w:hAnsi="宋体" w:cs="宋体"/>
          <w:sz w:val="24"/>
        </w:rPr>
        <w:t>皮带秤参数：</w:t>
      </w:r>
    </w:p>
    <w:p w14:paraId="6276B57E">
      <w:pPr>
        <w:spacing w:line="60" w:lineRule="exact"/>
      </w:pPr>
    </w:p>
    <w:tbl>
      <w:tblPr>
        <w:tblStyle w:val="218"/>
        <w:tblW w:w="94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44"/>
        <w:gridCol w:w="2257"/>
        <w:gridCol w:w="1488"/>
        <w:gridCol w:w="2296"/>
        <w:gridCol w:w="1878"/>
      </w:tblGrid>
      <w:tr w14:paraId="1756E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jc w:val="center"/>
        </w:trPr>
        <w:tc>
          <w:tcPr>
            <w:tcW w:w="3801" w:type="dxa"/>
            <w:gridSpan w:val="2"/>
            <w:vAlign w:val="center"/>
          </w:tcPr>
          <w:p w14:paraId="5929395B">
            <w:pPr>
              <w:autoSpaceDE w:val="0"/>
              <w:autoSpaceDN w:val="0"/>
              <w:spacing w:before="93" w:line="219" w:lineRule="auto"/>
              <w:ind w:left="104"/>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累计分度值</w:t>
            </w:r>
            <w:r>
              <w:rPr>
                <w:rFonts w:asciiTheme="minorHAnsi" w:hAnsiTheme="minorHAnsi" w:eastAsiaTheme="minorEastAsia" w:cstheme="minorBidi"/>
                <w:i/>
                <w:iCs/>
                <w:kern w:val="0"/>
                <w:szCs w:val="21"/>
                <w:lang w:eastAsia="en-US"/>
              </w:rPr>
              <w:t>d</w:t>
            </w:r>
          </w:p>
        </w:tc>
        <w:tc>
          <w:tcPr>
            <w:tcW w:w="1488" w:type="dxa"/>
            <w:vAlign w:val="center"/>
          </w:tcPr>
          <w:p w14:paraId="6805D8FF">
            <w:pPr>
              <w:autoSpaceDE w:val="0"/>
              <w:autoSpaceDN w:val="0"/>
              <w:spacing w:before="86" w:line="214" w:lineRule="auto"/>
              <w:ind w:left="633"/>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kg</w:t>
            </w:r>
          </w:p>
        </w:tc>
        <w:tc>
          <w:tcPr>
            <w:tcW w:w="2296" w:type="dxa"/>
            <w:vAlign w:val="center"/>
          </w:tcPr>
          <w:p w14:paraId="1F90D6E2">
            <w:pPr>
              <w:autoSpaceDE w:val="0"/>
              <w:autoSpaceDN w:val="0"/>
              <w:spacing w:before="93" w:line="219" w:lineRule="auto"/>
              <w:ind w:left="426"/>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置零分度值</w:t>
            </w:r>
          </w:p>
        </w:tc>
        <w:tc>
          <w:tcPr>
            <w:tcW w:w="1878" w:type="dxa"/>
            <w:vAlign w:val="center"/>
          </w:tcPr>
          <w:p w14:paraId="0B2EE223">
            <w:pPr>
              <w:autoSpaceDE w:val="0"/>
              <w:autoSpaceDN w:val="0"/>
              <w:ind w:firstLine="630" w:firstLineChars="300"/>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kg</w:t>
            </w:r>
          </w:p>
        </w:tc>
      </w:tr>
      <w:tr w14:paraId="131E7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3801" w:type="dxa"/>
            <w:gridSpan w:val="2"/>
          </w:tcPr>
          <w:p w14:paraId="23A5796B">
            <w:pPr>
              <w:autoSpaceDE w:val="0"/>
              <w:autoSpaceDN w:val="0"/>
              <w:spacing w:before="80" w:line="219" w:lineRule="auto"/>
              <w:ind w:left="104"/>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最大流量</w:t>
            </w:r>
            <w:r>
              <w:rPr>
                <w:rFonts w:asciiTheme="minorHAnsi" w:hAnsiTheme="minorHAnsi" w:eastAsiaTheme="minorEastAsia" w:cstheme="minorBidi"/>
                <w:i/>
                <w:iCs/>
                <w:kern w:val="0"/>
                <w:szCs w:val="21"/>
                <w:lang w:eastAsia="en-US"/>
              </w:rPr>
              <w:t>Q</w:t>
            </w:r>
            <w:r>
              <w:rPr>
                <w:rFonts w:asciiTheme="minorHAnsi" w:hAnsiTheme="minorHAnsi" w:eastAsiaTheme="minorEastAsia" w:cstheme="minorBidi"/>
                <w:kern w:val="0"/>
                <w:szCs w:val="21"/>
                <w:vertAlign w:val="subscript"/>
                <w:lang w:eastAsia="en-US"/>
              </w:rPr>
              <w:t>max</w:t>
            </w:r>
            <w:r>
              <w:rPr>
                <w:rFonts w:asciiTheme="minorHAnsi" w:hAnsiTheme="minorHAnsi" w:eastAsiaTheme="minorEastAsia" w:cstheme="minorBidi"/>
                <w:kern w:val="0"/>
                <w:szCs w:val="21"/>
                <w:lang w:eastAsia="en-US"/>
              </w:rPr>
              <w:t>=(</w:t>
            </w:r>
            <w:r>
              <w:rPr>
                <w:rFonts w:hint="eastAsia" w:asciiTheme="minorHAnsi" w:hAnsiTheme="minorHAnsi" w:eastAsiaTheme="minorEastAsia" w:cstheme="minorBidi"/>
                <w:kern w:val="0"/>
                <w:szCs w:val="21"/>
                <w:lang w:eastAsia="zh-CN"/>
              </w:rPr>
              <w:t>m</w:t>
            </w:r>
            <w:r>
              <w:rPr>
                <w:rFonts w:asciiTheme="minorHAnsi" w:hAnsiTheme="minorHAnsi" w:eastAsiaTheme="minorEastAsia" w:cstheme="minorBidi"/>
                <w:kern w:val="0"/>
                <w:szCs w:val="21"/>
                <w:lang w:eastAsia="en-US"/>
              </w:rPr>
              <w:t>ax/L) ×</w:t>
            </w:r>
            <w:r>
              <w:rPr>
                <w:rFonts w:asciiTheme="minorHAnsi" w:hAnsiTheme="minorHAnsi" w:eastAsiaTheme="minorEastAsia" w:cstheme="minorBidi"/>
                <w:i/>
                <w:iCs/>
                <w:kern w:val="0"/>
                <w:szCs w:val="21"/>
                <w:lang w:eastAsia="en-US"/>
              </w:rPr>
              <w:t>v</w:t>
            </w:r>
            <w:r>
              <w:rPr>
                <w:rFonts w:asciiTheme="minorHAnsi" w:hAnsiTheme="minorHAnsi" w:eastAsiaTheme="minorEastAsia" w:cstheme="minorBidi"/>
                <w:kern w:val="0"/>
                <w:szCs w:val="21"/>
                <w:vertAlign w:val="subscript"/>
                <w:lang w:eastAsia="en-US"/>
              </w:rPr>
              <w:t>max</w:t>
            </w:r>
          </w:p>
        </w:tc>
        <w:tc>
          <w:tcPr>
            <w:tcW w:w="1488" w:type="dxa"/>
            <w:vAlign w:val="center"/>
          </w:tcPr>
          <w:p w14:paraId="449F03C7">
            <w:pPr>
              <w:autoSpaceDE w:val="0"/>
              <w:autoSpaceDN w:val="0"/>
              <w:spacing w:before="73" w:line="214" w:lineRule="auto"/>
              <w:ind w:left="333"/>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t/h(kg/h)</w:t>
            </w:r>
          </w:p>
        </w:tc>
        <w:tc>
          <w:tcPr>
            <w:tcW w:w="2296" w:type="dxa"/>
            <w:vAlign w:val="center"/>
          </w:tcPr>
          <w:p w14:paraId="1D00B9BC">
            <w:pPr>
              <w:autoSpaceDE w:val="0"/>
              <w:autoSpaceDN w:val="0"/>
              <w:spacing w:before="80" w:line="219" w:lineRule="auto"/>
              <w:ind w:left="475"/>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最小流量</w:t>
            </w:r>
            <w:r>
              <w:rPr>
                <w:rFonts w:asciiTheme="minorHAnsi" w:hAnsiTheme="minorHAnsi" w:eastAsiaTheme="minorEastAsia" w:cstheme="minorBidi"/>
                <w:i/>
                <w:iCs/>
                <w:kern w:val="0"/>
                <w:szCs w:val="21"/>
                <w:lang w:eastAsia="en-US"/>
              </w:rPr>
              <w:t>Q</w:t>
            </w:r>
            <w:r>
              <w:rPr>
                <w:rFonts w:asciiTheme="minorHAnsi" w:hAnsiTheme="minorHAnsi" w:eastAsiaTheme="minorEastAsia" w:cstheme="minorBidi"/>
                <w:kern w:val="0"/>
                <w:szCs w:val="21"/>
                <w:lang w:eastAsia="en-US"/>
              </w:rPr>
              <w:t>min</w:t>
            </w:r>
          </w:p>
        </w:tc>
        <w:tc>
          <w:tcPr>
            <w:tcW w:w="1878" w:type="dxa"/>
            <w:vAlign w:val="center"/>
          </w:tcPr>
          <w:p w14:paraId="137CC48E">
            <w:pPr>
              <w:autoSpaceDE w:val="0"/>
              <w:autoSpaceDN w:val="0"/>
              <w:spacing w:before="73" w:line="214" w:lineRule="auto"/>
              <w:ind w:left="338" w:firstLine="210" w:firstLineChars="100"/>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t/h(kg/h)</w:t>
            </w:r>
          </w:p>
        </w:tc>
      </w:tr>
      <w:tr w14:paraId="442BB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544" w:type="dxa"/>
            <w:vMerge w:val="restart"/>
            <w:tcBorders>
              <w:bottom w:val="nil"/>
            </w:tcBorders>
          </w:tcPr>
          <w:p w14:paraId="461597C3">
            <w:pPr>
              <w:autoSpaceDE w:val="0"/>
              <w:autoSpaceDN w:val="0"/>
              <w:spacing w:before="272" w:line="219" w:lineRule="auto"/>
              <w:ind w:left="55"/>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皮带速度</w:t>
            </w:r>
          </w:p>
        </w:tc>
        <w:tc>
          <w:tcPr>
            <w:tcW w:w="2257" w:type="dxa"/>
          </w:tcPr>
          <w:p w14:paraId="1FD591CF">
            <w:pPr>
              <w:autoSpaceDE w:val="0"/>
              <w:autoSpaceDN w:val="0"/>
              <w:spacing w:before="82" w:line="219" w:lineRule="auto"/>
              <w:ind w:left="111"/>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最高速度</w:t>
            </w:r>
            <w:r>
              <w:rPr>
                <w:rFonts w:asciiTheme="minorHAnsi" w:hAnsiTheme="minorHAnsi" w:eastAsiaTheme="minorEastAsia" w:cstheme="minorBidi"/>
                <w:i/>
                <w:iCs/>
                <w:kern w:val="0"/>
                <w:szCs w:val="21"/>
                <w:lang w:eastAsia="en-US"/>
              </w:rPr>
              <w:t>v</w:t>
            </w:r>
            <w:r>
              <w:rPr>
                <w:rFonts w:asciiTheme="minorHAnsi" w:hAnsiTheme="minorHAnsi" w:eastAsiaTheme="minorEastAsia" w:cstheme="minorBidi"/>
                <w:kern w:val="0"/>
                <w:szCs w:val="21"/>
                <w:vertAlign w:val="subscript"/>
                <w:lang w:eastAsia="en-US"/>
              </w:rPr>
              <w:t>max</w:t>
            </w:r>
          </w:p>
        </w:tc>
        <w:tc>
          <w:tcPr>
            <w:tcW w:w="1488" w:type="dxa"/>
            <w:vAlign w:val="center"/>
          </w:tcPr>
          <w:p w14:paraId="634B2100">
            <w:pPr>
              <w:autoSpaceDE w:val="0"/>
              <w:autoSpaceDN w:val="0"/>
              <w:spacing w:before="87" w:line="224" w:lineRule="auto"/>
              <w:ind w:left="584"/>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m/s</w:t>
            </w:r>
          </w:p>
        </w:tc>
        <w:tc>
          <w:tcPr>
            <w:tcW w:w="2296" w:type="dxa"/>
            <w:vAlign w:val="center"/>
          </w:tcPr>
          <w:p w14:paraId="209580FB">
            <w:pPr>
              <w:autoSpaceDE w:val="0"/>
              <w:autoSpaceDN w:val="0"/>
              <w:spacing w:before="82" w:line="219" w:lineRule="auto"/>
              <w:ind w:left="375"/>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最大秤量</w:t>
            </w:r>
            <w:r>
              <w:rPr>
                <w:rFonts w:hint="eastAsia" w:asciiTheme="minorHAnsi" w:hAnsiTheme="minorHAnsi" w:eastAsiaTheme="minorEastAsia" w:cstheme="minorBidi"/>
                <w:kern w:val="0"/>
                <w:szCs w:val="21"/>
                <w:lang w:eastAsia="zh-CN"/>
              </w:rPr>
              <w:t>m</w:t>
            </w:r>
            <w:r>
              <w:rPr>
                <w:rFonts w:asciiTheme="minorHAnsi" w:hAnsiTheme="minorHAnsi" w:eastAsiaTheme="minorEastAsia" w:cstheme="minorBidi"/>
                <w:kern w:val="0"/>
                <w:szCs w:val="21"/>
                <w:lang w:eastAsia="en-US"/>
              </w:rPr>
              <w:t>ax</w:t>
            </w:r>
          </w:p>
        </w:tc>
        <w:tc>
          <w:tcPr>
            <w:tcW w:w="1878" w:type="dxa"/>
            <w:vAlign w:val="center"/>
          </w:tcPr>
          <w:p w14:paraId="6039D9A9">
            <w:pPr>
              <w:autoSpaceDE w:val="0"/>
              <w:autoSpaceDN w:val="0"/>
              <w:spacing w:before="75" w:line="214" w:lineRule="auto"/>
              <w:ind w:left="638"/>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kg</w:t>
            </w:r>
          </w:p>
        </w:tc>
      </w:tr>
      <w:tr w14:paraId="111E0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jc w:val="center"/>
        </w:trPr>
        <w:tc>
          <w:tcPr>
            <w:tcW w:w="1544" w:type="dxa"/>
            <w:vMerge w:val="continue"/>
            <w:tcBorders>
              <w:top w:val="nil"/>
            </w:tcBorders>
          </w:tcPr>
          <w:p w14:paraId="56043840">
            <w:pPr>
              <w:autoSpaceDE w:val="0"/>
              <w:autoSpaceDN w:val="0"/>
              <w:rPr>
                <w:rFonts w:asciiTheme="minorHAnsi" w:hAnsiTheme="minorHAnsi" w:eastAsiaTheme="minorEastAsia" w:cstheme="minorBidi"/>
                <w:kern w:val="0"/>
                <w:szCs w:val="21"/>
                <w:lang w:eastAsia="en-US"/>
              </w:rPr>
            </w:pPr>
          </w:p>
        </w:tc>
        <w:tc>
          <w:tcPr>
            <w:tcW w:w="2257" w:type="dxa"/>
          </w:tcPr>
          <w:p w14:paraId="1936D183">
            <w:pPr>
              <w:autoSpaceDE w:val="0"/>
              <w:autoSpaceDN w:val="0"/>
              <w:spacing w:before="83" w:line="219" w:lineRule="auto"/>
              <w:ind w:left="111"/>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最低速度</w:t>
            </w:r>
            <w:r>
              <w:rPr>
                <w:rFonts w:asciiTheme="minorHAnsi" w:hAnsiTheme="minorHAnsi" w:eastAsiaTheme="minorEastAsia" w:cstheme="minorBidi"/>
                <w:i/>
                <w:iCs/>
                <w:kern w:val="0"/>
                <w:szCs w:val="21"/>
                <w:lang w:eastAsia="en-US"/>
              </w:rPr>
              <w:t>v</w:t>
            </w:r>
            <w:r>
              <w:rPr>
                <w:rFonts w:asciiTheme="minorHAnsi" w:hAnsiTheme="minorHAnsi" w:eastAsiaTheme="minorEastAsia" w:cstheme="minorBidi"/>
                <w:kern w:val="0"/>
                <w:szCs w:val="21"/>
                <w:vertAlign w:val="subscript"/>
                <w:lang w:eastAsia="en-US"/>
              </w:rPr>
              <w:t>min</w:t>
            </w:r>
          </w:p>
        </w:tc>
        <w:tc>
          <w:tcPr>
            <w:tcW w:w="1488" w:type="dxa"/>
            <w:vAlign w:val="center"/>
          </w:tcPr>
          <w:p w14:paraId="19B0C282">
            <w:pPr>
              <w:autoSpaceDE w:val="0"/>
              <w:autoSpaceDN w:val="0"/>
              <w:spacing w:before="88" w:line="224" w:lineRule="auto"/>
              <w:ind w:left="584"/>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m/s</w:t>
            </w:r>
          </w:p>
        </w:tc>
        <w:tc>
          <w:tcPr>
            <w:tcW w:w="2296" w:type="dxa"/>
            <w:vAlign w:val="center"/>
          </w:tcPr>
          <w:p w14:paraId="6AF70B20">
            <w:pPr>
              <w:autoSpaceDE w:val="0"/>
              <w:autoSpaceDN w:val="0"/>
              <w:spacing w:before="83" w:line="220" w:lineRule="auto"/>
              <w:ind w:left="475"/>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秤量长度</w:t>
            </w:r>
            <w:r>
              <w:rPr>
                <w:rFonts w:asciiTheme="minorHAnsi" w:hAnsiTheme="minorHAnsi" w:eastAsiaTheme="minorEastAsia" w:cstheme="minorBidi"/>
                <w:i/>
                <w:iCs/>
                <w:kern w:val="0"/>
                <w:szCs w:val="21"/>
                <w:lang w:eastAsia="en-US"/>
              </w:rPr>
              <w:t>L</w:t>
            </w:r>
          </w:p>
        </w:tc>
        <w:tc>
          <w:tcPr>
            <w:tcW w:w="1878" w:type="dxa"/>
            <w:vAlign w:val="center"/>
          </w:tcPr>
          <w:p w14:paraId="1A504760">
            <w:pPr>
              <w:autoSpaceDE w:val="0"/>
              <w:autoSpaceDN w:val="0"/>
              <w:spacing w:before="92" w:line="229" w:lineRule="auto"/>
              <w:ind w:left="638"/>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m</w:t>
            </w:r>
          </w:p>
        </w:tc>
      </w:tr>
      <w:tr w14:paraId="4422B2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544" w:type="dxa"/>
            <w:vMerge w:val="restart"/>
            <w:tcBorders>
              <w:bottom w:val="nil"/>
            </w:tcBorders>
          </w:tcPr>
          <w:p w14:paraId="1CE63FF7">
            <w:pPr>
              <w:autoSpaceDE w:val="0"/>
              <w:autoSpaceDN w:val="0"/>
              <w:spacing w:before="135" w:line="250" w:lineRule="auto"/>
              <w:ind w:left="55" w:right="39"/>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皮带每转周的时间</w:t>
            </w:r>
          </w:p>
        </w:tc>
        <w:tc>
          <w:tcPr>
            <w:tcW w:w="2257" w:type="dxa"/>
          </w:tcPr>
          <w:p w14:paraId="36196D4B">
            <w:pPr>
              <w:autoSpaceDE w:val="0"/>
              <w:autoSpaceDN w:val="0"/>
              <w:spacing w:before="78" w:line="219" w:lineRule="auto"/>
              <w:ind w:left="111"/>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最短=B/</w:t>
            </w:r>
            <w:r>
              <w:rPr>
                <w:rFonts w:asciiTheme="minorHAnsi" w:hAnsiTheme="minorHAnsi" w:eastAsiaTheme="minorEastAsia" w:cstheme="minorBidi"/>
                <w:i/>
                <w:iCs/>
                <w:kern w:val="0"/>
                <w:szCs w:val="21"/>
                <w:lang w:eastAsia="en-US"/>
              </w:rPr>
              <w:t>v</w:t>
            </w:r>
            <w:r>
              <w:rPr>
                <w:rFonts w:asciiTheme="minorHAnsi" w:hAnsiTheme="minorHAnsi" w:eastAsiaTheme="minorEastAsia" w:cstheme="minorBidi"/>
                <w:kern w:val="0"/>
                <w:szCs w:val="21"/>
                <w:vertAlign w:val="subscript"/>
                <w:lang w:eastAsia="en-US"/>
              </w:rPr>
              <w:t>max</w:t>
            </w:r>
          </w:p>
        </w:tc>
        <w:tc>
          <w:tcPr>
            <w:tcW w:w="1488" w:type="dxa"/>
            <w:vAlign w:val="center"/>
          </w:tcPr>
          <w:p w14:paraId="1E4D628D">
            <w:pPr>
              <w:autoSpaceDE w:val="0"/>
              <w:autoSpaceDN w:val="0"/>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 xml:space="preserve">      s</w:t>
            </w:r>
          </w:p>
        </w:tc>
        <w:tc>
          <w:tcPr>
            <w:tcW w:w="2296" w:type="dxa"/>
            <w:vAlign w:val="center"/>
          </w:tcPr>
          <w:p w14:paraId="0A68FC4E">
            <w:pPr>
              <w:autoSpaceDE w:val="0"/>
              <w:autoSpaceDN w:val="0"/>
              <w:spacing w:before="85" w:line="219" w:lineRule="auto"/>
              <w:ind w:left="475"/>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皮带长度</w:t>
            </w:r>
            <w:r>
              <w:rPr>
                <w:rFonts w:asciiTheme="minorHAnsi" w:hAnsiTheme="minorHAnsi" w:eastAsiaTheme="minorEastAsia" w:cstheme="minorBidi"/>
                <w:i/>
                <w:iCs/>
                <w:kern w:val="0"/>
                <w:szCs w:val="21"/>
                <w:lang w:eastAsia="en-US"/>
              </w:rPr>
              <w:t>B</w:t>
            </w:r>
          </w:p>
        </w:tc>
        <w:tc>
          <w:tcPr>
            <w:tcW w:w="1878" w:type="dxa"/>
            <w:vAlign w:val="center"/>
          </w:tcPr>
          <w:p w14:paraId="1DA9968A">
            <w:pPr>
              <w:autoSpaceDE w:val="0"/>
              <w:autoSpaceDN w:val="0"/>
              <w:spacing w:before="105" w:line="234" w:lineRule="auto"/>
              <w:ind w:firstLine="630" w:firstLineChars="300"/>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m</w:t>
            </w:r>
          </w:p>
        </w:tc>
      </w:tr>
      <w:tr w14:paraId="50C6DE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jc w:val="center"/>
        </w:trPr>
        <w:tc>
          <w:tcPr>
            <w:tcW w:w="1544" w:type="dxa"/>
            <w:vMerge w:val="continue"/>
            <w:tcBorders>
              <w:top w:val="nil"/>
            </w:tcBorders>
          </w:tcPr>
          <w:p w14:paraId="04B2BFD7">
            <w:pPr>
              <w:autoSpaceDE w:val="0"/>
              <w:autoSpaceDN w:val="0"/>
              <w:rPr>
                <w:rFonts w:asciiTheme="minorHAnsi" w:hAnsiTheme="minorHAnsi" w:eastAsiaTheme="minorEastAsia" w:cstheme="minorBidi"/>
                <w:kern w:val="0"/>
                <w:szCs w:val="21"/>
                <w:lang w:eastAsia="en-US"/>
              </w:rPr>
            </w:pPr>
          </w:p>
        </w:tc>
        <w:tc>
          <w:tcPr>
            <w:tcW w:w="2257" w:type="dxa"/>
            <w:vAlign w:val="center"/>
          </w:tcPr>
          <w:p w14:paraId="6FA92E96">
            <w:pPr>
              <w:autoSpaceDE w:val="0"/>
              <w:autoSpaceDN w:val="0"/>
              <w:spacing w:before="86" w:line="219" w:lineRule="auto"/>
              <w:ind w:left="111"/>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最长=B/</w:t>
            </w:r>
            <w:r>
              <w:rPr>
                <w:rFonts w:asciiTheme="minorHAnsi" w:hAnsiTheme="minorHAnsi" w:eastAsiaTheme="minorEastAsia" w:cstheme="minorBidi"/>
                <w:i/>
                <w:iCs/>
                <w:kern w:val="0"/>
                <w:szCs w:val="21"/>
                <w:lang w:eastAsia="en-US"/>
              </w:rPr>
              <w:t>v</w:t>
            </w:r>
            <w:r>
              <w:rPr>
                <w:rFonts w:asciiTheme="minorHAnsi" w:hAnsiTheme="minorHAnsi" w:eastAsiaTheme="minorEastAsia" w:cstheme="minorBidi"/>
                <w:kern w:val="0"/>
                <w:szCs w:val="21"/>
                <w:vertAlign w:val="subscript"/>
                <w:lang w:eastAsia="en-US"/>
              </w:rPr>
              <w:t>min</w:t>
            </w:r>
          </w:p>
        </w:tc>
        <w:tc>
          <w:tcPr>
            <w:tcW w:w="1488" w:type="dxa"/>
            <w:vAlign w:val="center"/>
          </w:tcPr>
          <w:p w14:paraId="14E4E500">
            <w:pPr>
              <w:autoSpaceDE w:val="0"/>
              <w:autoSpaceDN w:val="0"/>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 xml:space="preserve">      s</w:t>
            </w:r>
          </w:p>
        </w:tc>
        <w:tc>
          <w:tcPr>
            <w:tcW w:w="2296" w:type="dxa"/>
            <w:vAlign w:val="center"/>
          </w:tcPr>
          <w:p w14:paraId="4C655431">
            <w:pPr>
              <w:autoSpaceDE w:val="0"/>
              <w:autoSpaceDN w:val="0"/>
              <w:spacing w:before="86" w:line="219" w:lineRule="auto"/>
              <w:ind w:left="225" w:firstLine="210" w:firstLineChars="100"/>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最小试验载荷</w:t>
            </w:r>
          </w:p>
        </w:tc>
        <w:tc>
          <w:tcPr>
            <w:tcW w:w="1878" w:type="dxa"/>
            <w:vAlign w:val="center"/>
          </w:tcPr>
          <w:p w14:paraId="757CB339">
            <w:pPr>
              <w:autoSpaceDE w:val="0"/>
              <w:autoSpaceDN w:val="0"/>
              <w:spacing w:before="89" w:line="223" w:lineRule="auto"/>
              <w:ind w:left="538"/>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kg或t</w:t>
            </w:r>
          </w:p>
        </w:tc>
      </w:tr>
      <w:tr w14:paraId="6B889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jc w:val="center"/>
        </w:trPr>
        <w:tc>
          <w:tcPr>
            <w:tcW w:w="3801" w:type="dxa"/>
            <w:gridSpan w:val="2"/>
          </w:tcPr>
          <w:p w14:paraId="0345EA51">
            <w:pPr>
              <w:autoSpaceDE w:val="0"/>
              <w:autoSpaceDN w:val="0"/>
              <w:spacing w:before="87" w:line="219" w:lineRule="auto"/>
              <w:ind w:left="104"/>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试验细分示值(小于</w:t>
            </w:r>
            <w:r>
              <w:rPr>
                <w:rFonts w:asciiTheme="minorHAnsi" w:hAnsiTheme="minorHAnsi" w:eastAsiaTheme="minorEastAsia" w:cstheme="minorBidi"/>
                <w:i/>
                <w:iCs/>
                <w:kern w:val="0"/>
                <w:szCs w:val="21"/>
                <w:lang w:eastAsia="en-US"/>
              </w:rPr>
              <w:t>d</w:t>
            </w:r>
            <w:r>
              <w:rPr>
                <w:rFonts w:asciiTheme="minorHAnsi" w:hAnsiTheme="minorHAnsi" w:eastAsiaTheme="minorEastAsia" w:cstheme="minorBidi"/>
                <w:kern w:val="0"/>
                <w:szCs w:val="21"/>
                <w:lang w:eastAsia="en-US"/>
              </w:rPr>
              <w:t>)</w:t>
            </w:r>
          </w:p>
        </w:tc>
        <w:tc>
          <w:tcPr>
            <w:tcW w:w="1488" w:type="dxa"/>
            <w:vAlign w:val="center"/>
          </w:tcPr>
          <w:p w14:paraId="3D4C0BBA">
            <w:pPr>
              <w:autoSpaceDE w:val="0"/>
              <w:autoSpaceDN w:val="0"/>
              <w:ind w:firstLine="630" w:firstLineChars="300"/>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kg</w:t>
            </w:r>
          </w:p>
        </w:tc>
        <w:tc>
          <w:tcPr>
            <w:tcW w:w="2296" w:type="dxa"/>
            <w:vAlign w:val="center"/>
          </w:tcPr>
          <w:p w14:paraId="3729E00E">
            <w:pPr>
              <w:autoSpaceDE w:val="0"/>
              <w:autoSpaceDN w:val="0"/>
              <w:spacing w:before="87" w:line="219" w:lineRule="auto"/>
              <w:ind w:left="165" w:firstLine="210" w:firstLineChars="100"/>
              <w:rPr>
                <w:rFonts w:asciiTheme="minorHAnsi" w:hAnsiTheme="minorHAnsi" w:eastAsiaTheme="minorEastAsia" w:cstheme="minorBidi"/>
                <w:kern w:val="0"/>
                <w:szCs w:val="21"/>
                <w:lang w:eastAsia="zh-CN"/>
              </w:rPr>
            </w:pPr>
            <w:r>
              <w:rPr>
                <w:rFonts w:asciiTheme="minorHAnsi" w:hAnsiTheme="minorHAnsi" w:eastAsiaTheme="minorEastAsia" w:cstheme="minorBidi"/>
                <w:kern w:val="0"/>
                <w:szCs w:val="21"/>
                <w:lang w:eastAsia="zh-CN"/>
              </w:rPr>
              <w:t>最小累计载荷</w:t>
            </w:r>
            <w:r>
              <w:rPr>
                <w:rStyle w:val="39"/>
                <w:b w:val="0"/>
                <w:sz w:val="24"/>
                <w:lang w:eastAsia="zh-CN"/>
              </w:rPr>
              <w:t>∑min</w:t>
            </w:r>
          </w:p>
        </w:tc>
        <w:tc>
          <w:tcPr>
            <w:tcW w:w="1878" w:type="dxa"/>
            <w:vAlign w:val="center"/>
          </w:tcPr>
          <w:p w14:paraId="02B53541">
            <w:pPr>
              <w:autoSpaceDE w:val="0"/>
              <w:autoSpaceDN w:val="0"/>
              <w:spacing w:before="80" w:line="214" w:lineRule="auto"/>
              <w:ind w:left="538"/>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kg或t</w:t>
            </w:r>
          </w:p>
        </w:tc>
      </w:tr>
    </w:tbl>
    <w:p w14:paraId="56056932">
      <w:pPr>
        <w:spacing w:line="360" w:lineRule="auto"/>
        <w:jc w:val="left"/>
        <w:rPr>
          <w:rFonts w:ascii="宋体" w:hAnsi="宋体" w:cs="宋体"/>
          <w:sz w:val="24"/>
        </w:rPr>
      </w:pPr>
      <w:r>
        <w:rPr>
          <w:rFonts w:ascii="宋体" w:hAnsi="宋体" w:cs="宋体"/>
          <w:sz w:val="24"/>
        </w:rPr>
        <w:t>控制衡器信息：</w:t>
      </w:r>
    </w:p>
    <w:p w14:paraId="722542B9">
      <w:pPr>
        <w:spacing w:line="79" w:lineRule="exact"/>
        <w:rPr>
          <w:kern w:val="0"/>
          <w:szCs w:val="21"/>
        </w:rPr>
      </w:pPr>
    </w:p>
    <w:tbl>
      <w:tblPr>
        <w:tblStyle w:val="21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8"/>
        <w:gridCol w:w="1435"/>
        <w:gridCol w:w="1559"/>
        <w:gridCol w:w="1320"/>
        <w:gridCol w:w="1314"/>
        <w:gridCol w:w="1957"/>
      </w:tblGrid>
      <w:tr w14:paraId="4C9B49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1718" w:type="dxa"/>
            <w:vAlign w:val="center"/>
          </w:tcPr>
          <w:p w14:paraId="3CEFEFFF">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衡器名称</w:t>
            </w:r>
          </w:p>
        </w:tc>
        <w:tc>
          <w:tcPr>
            <w:tcW w:w="1435" w:type="dxa"/>
            <w:vAlign w:val="center"/>
          </w:tcPr>
          <w:p w14:paraId="3C0534E6">
            <w:pPr>
              <w:autoSpaceDE w:val="0"/>
              <w:autoSpaceDN w:val="0"/>
              <w:spacing w:line="360" w:lineRule="auto"/>
              <w:jc w:val="center"/>
              <w:rPr>
                <w:rFonts w:asciiTheme="minorHAnsi" w:hAnsiTheme="minorHAnsi" w:eastAsiaTheme="minorEastAsia" w:cstheme="minorBidi"/>
                <w:kern w:val="0"/>
                <w:szCs w:val="21"/>
                <w:lang w:eastAsia="en-US"/>
              </w:rPr>
            </w:pPr>
          </w:p>
        </w:tc>
        <w:tc>
          <w:tcPr>
            <w:tcW w:w="1559" w:type="dxa"/>
            <w:vAlign w:val="center"/>
          </w:tcPr>
          <w:p w14:paraId="0FD07F21">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准确度等级</w:t>
            </w:r>
          </w:p>
        </w:tc>
        <w:tc>
          <w:tcPr>
            <w:tcW w:w="1320" w:type="dxa"/>
            <w:vAlign w:val="center"/>
          </w:tcPr>
          <w:p w14:paraId="5AA5142E">
            <w:pPr>
              <w:autoSpaceDE w:val="0"/>
              <w:autoSpaceDN w:val="0"/>
              <w:spacing w:line="360" w:lineRule="auto"/>
              <w:jc w:val="center"/>
              <w:rPr>
                <w:rFonts w:asciiTheme="minorHAnsi" w:hAnsiTheme="minorHAnsi" w:eastAsiaTheme="minorEastAsia" w:cstheme="minorBidi"/>
                <w:kern w:val="0"/>
                <w:szCs w:val="21"/>
                <w:lang w:eastAsia="en-US"/>
              </w:rPr>
            </w:pPr>
          </w:p>
        </w:tc>
        <w:tc>
          <w:tcPr>
            <w:tcW w:w="1314" w:type="dxa"/>
            <w:vAlign w:val="center"/>
          </w:tcPr>
          <w:p w14:paraId="49C41B21">
            <w:pPr>
              <w:autoSpaceDE w:val="0"/>
              <w:autoSpaceDN w:val="0"/>
              <w:spacing w:line="360" w:lineRule="auto"/>
              <w:jc w:val="center"/>
              <w:rPr>
                <w:rFonts w:asciiTheme="minorHAnsi" w:hAnsiTheme="minorHAnsi" w:eastAsiaTheme="minorEastAsia" w:cstheme="minorBidi"/>
                <w:kern w:val="0"/>
                <w:szCs w:val="21"/>
                <w:lang w:eastAsia="en-US"/>
              </w:rPr>
            </w:pPr>
            <w:r>
              <w:rPr>
                <w:rFonts w:hint="eastAsia" w:asciiTheme="minorHAnsi" w:hAnsiTheme="minorHAnsi" w:eastAsiaTheme="minorEastAsia" w:cstheme="minorBidi"/>
                <w:kern w:val="0"/>
                <w:szCs w:val="21"/>
                <w:lang w:eastAsia="en-US"/>
              </w:rPr>
              <w:t>出厂编号</w:t>
            </w:r>
          </w:p>
        </w:tc>
        <w:tc>
          <w:tcPr>
            <w:tcW w:w="1957" w:type="dxa"/>
            <w:vAlign w:val="center"/>
          </w:tcPr>
          <w:p w14:paraId="41279103">
            <w:pPr>
              <w:autoSpaceDE w:val="0"/>
              <w:autoSpaceDN w:val="0"/>
              <w:spacing w:line="360" w:lineRule="auto"/>
              <w:jc w:val="center"/>
              <w:rPr>
                <w:rFonts w:asciiTheme="minorHAnsi" w:hAnsiTheme="minorHAnsi" w:eastAsiaTheme="minorEastAsia" w:cstheme="minorBidi"/>
                <w:kern w:val="0"/>
                <w:szCs w:val="21"/>
                <w:lang w:eastAsia="en-US"/>
              </w:rPr>
            </w:pPr>
          </w:p>
        </w:tc>
      </w:tr>
      <w:tr w14:paraId="38BFC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1718" w:type="dxa"/>
            <w:vAlign w:val="center"/>
          </w:tcPr>
          <w:p w14:paraId="0783320B">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衡器型号</w:t>
            </w:r>
          </w:p>
        </w:tc>
        <w:tc>
          <w:tcPr>
            <w:tcW w:w="1435" w:type="dxa"/>
            <w:vAlign w:val="center"/>
          </w:tcPr>
          <w:p w14:paraId="0F3D4CED">
            <w:pPr>
              <w:autoSpaceDE w:val="0"/>
              <w:autoSpaceDN w:val="0"/>
              <w:spacing w:line="360" w:lineRule="auto"/>
              <w:jc w:val="center"/>
              <w:rPr>
                <w:rFonts w:asciiTheme="minorHAnsi" w:hAnsiTheme="minorHAnsi" w:eastAsiaTheme="minorEastAsia" w:cstheme="minorBidi"/>
                <w:kern w:val="0"/>
                <w:szCs w:val="21"/>
                <w:lang w:eastAsia="en-US"/>
              </w:rPr>
            </w:pPr>
          </w:p>
        </w:tc>
        <w:tc>
          <w:tcPr>
            <w:tcW w:w="1559" w:type="dxa"/>
            <w:vAlign w:val="center"/>
          </w:tcPr>
          <w:p w14:paraId="1FD9E1FB">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最大秤量max</w:t>
            </w:r>
          </w:p>
        </w:tc>
        <w:tc>
          <w:tcPr>
            <w:tcW w:w="1320" w:type="dxa"/>
            <w:vAlign w:val="center"/>
          </w:tcPr>
          <w:p w14:paraId="23E44EF1">
            <w:pPr>
              <w:autoSpaceDE w:val="0"/>
              <w:autoSpaceDN w:val="0"/>
              <w:spacing w:line="360" w:lineRule="auto"/>
              <w:jc w:val="center"/>
              <w:rPr>
                <w:rFonts w:asciiTheme="minorHAnsi" w:hAnsiTheme="minorHAnsi" w:eastAsiaTheme="minorEastAsia" w:cstheme="minorBidi"/>
                <w:kern w:val="0"/>
                <w:szCs w:val="21"/>
                <w:lang w:eastAsia="en-US"/>
              </w:rPr>
            </w:pPr>
          </w:p>
        </w:tc>
        <w:tc>
          <w:tcPr>
            <w:tcW w:w="1314" w:type="dxa"/>
            <w:vAlign w:val="center"/>
          </w:tcPr>
          <w:p w14:paraId="05D4B00F">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分度值</w:t>
            </w:r>
          </w:p>
        </w:tc>
        <w:tc>
          <w:tcPr>
            <w:tcW w:w="1957" w:type="dxa"/>
            <w:vAlign w:val="center"/>
          </w:tcPr>
          <w:p w14:paraId="2F1FB057">
            <w:pPr>
              <w:autoSpaceDE w:val="0"/>
              <w:autoSpaceDN w:val="0"/>
              <w:spacing w:line="360" w:lineRule="auto"/>
              <w:jc w:val="center"/>
              <w:rPr>
                <w:rFonts w:asciiTheme="minorHAnsi" w:hAnsiTheme="minorHAnsi" w:eastAsiaTheme="minorEastAsia" w:cstheme="minorBidi"/>
                <w:kern w:val="0"/>
                <w:szCs w:val="21"/>
                <w:lang w:eastAsia="en-US"/>
              </w:rPr>
            </w:pPr>
          </w:p>
        </w:tc>
      </w:tr>
      <w:tr w14:paraId="2B9AD3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1718" w:type="dxa"/>
            <w:vAlign w:val="center"/>
          </w:tcPr>
          <w:p w14:paraId="5AEB596B">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检定有效期</w:t>
            </w:r>
          </w:p>
        </w:tc>
        <w:tc>
          <w:tcPr>
            <w:tcW w:w="1435" w:type="dxa"/>
            <w:vAlign w:val="center"/>
          </w:tcPr>
          <w:p w14:paraId="7F57365D">
            <w:pPr>
              <w:autoSpaceDE w:val="0"/>
              <w:autoSpaceDN w:val="0"/>
              <w:spacing w:line="360" w:lineRule="auto"/>
              <w:jc w:val="center"/>
              <w:rPr>
                <w:rFonts w:asciiTheme="minorHAnsi" w:hAnsiTheme="minorHAnsi" w:eastAsiaTheme="minorEastAsia" w:cstheme="minorBidi"/>
                <w:kern w:val="0"/>
                <w:szCs w:val="21"/>
                <w:lang w:eastAsia="en-US"/>
              </w:rPr>
            </w:pPr>
          </w:p>
        </w:tc>
        <w:tc>
          <w:tcPr>
            <w:tcW w:w="1559" w:type="dxa"/>
            <w:vAlign w:val="center"/>
          </w:tcPr>
          <w:p w14:paraId="2F5EE811">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最小秤量min</w:t>
            </w:r>
          </w:p>
        </w:tc>
        <w:tc>
          <w:tcPr>
            <w:tcW w:w="1320" w:type="dxa"/>
            <w:vAlign w:val="center"/>
          </w:tcPr>
          <w:p w14:paraId="78A81D5D">
            <w:pPr>
              <w:autoSpaceDE w:val="0"/>
              <w:autoSpaceDN w:val="0"/>
              <w:spacing w:line="360" w:lineRule="auto"/>
              <w:jc w:val="center"/>
              <w:rPr>
                <w:rFonts w:asciiTheme="minorHAnsi" w:hAnsiTheme="minorHAnsi" w:eastAsiaTheme="minorEastAsia" w:cstheme="minorBidi"/>
                <w:kern w:val="0"/>
                <w:szCs w:val="21"/>
                <w:lang w:eastAsia="en-US"/>
              </w:rPr>
            </w:pPr>
          </w:p>
        </w:tc>
        <w:tc>
          <w:tcPr>
            <w:tcW w:w="1314" w:type="dxa"/>
            <w:vAlign w:val="center"/>
          </w:tcPr>
          <w:p w14:paraId="0021375F">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分度数</w:t>
            </w:r>
          </w:p>
        </w:tc>
        <w:tc>
          <w:tcPr>
            <w:tcW w:w="1957" w:type="dxa"/>
            <w:vAlign w:val="center"/>
          </w:tcPr>
          <w:p w14:paraId="38771831">
            <w:pPr>
              <w:autoSpaceDE w:val="0"/>
              <w:autoSpaceDN w:val="0"/>
              <w:spacing w:line="360" w:lineRule="auto"/>
              <w:jc w:val="center"/>
              <w:rPr>
                <w:rFonts w:asciiTheme="minorHAnsi" w:hAnsiTheme="minorHAnsi" w:eastAsiaTheme="minorEastAsia" w:cstheme="minorBidi"/>
                <w:kern w:val="0"/>
                <w:szCs w:val="21"/>
                <w:lang w:eastAsia="en-US"/>
              </w:rPr>
            </w:pPr>
          </w:p>
        </w:tc>
      </w:tr>
    </w:tbl>
    <w:p w14:paraId="7CC51436">
      <w:pPr>
        <w:spacing w:before="73" w:line="219" w:lineRule="auto"/>
        <w:ind w:left="70"/>
        <w:rPr>
          <w:kern w:val="0"/>
          <w:szCs w:val="21"/>
        </w:rPr>
      </w:pPr>
    </w:p>
    <w:p w14:paraId="4167BD0D">
      <w:pPr>
        <w:spacing w:before="73" w:line="219" w:lineRule="auto"/>
        <w:ind w:left="70"/>
        <w:rPr>
          <w:kern w:val="0"/>
          <w:szCs w:val="21"/>
        </w:rPr>
      </w:pPr>
    </w:p>
    <w:p w14:paraId="777E73F8">
      <w:pPr>
        <w:spacing w:before="73" w:line="219" w:lineRule="auto"/>
        <w:ind w:left="70"/>
        <w:rPr>
          <w:rFonts w:hint="eastAsia" w:ascii="宋体" w:hAnsi="宋体" w:eastAsia="宋体" w:cs="宋体"/>
          <w:sz w:val="24"/>
          <w:lang w:val="en-US" w:eastAsia="zh-CN"/>
        </w:rPr>
      </w:pPr>
      <w:r>
        <w:rPr>
          <w:rFonts w:ascii="宋体" w:hAnsi="宋体" w:cs="宋体"/>
          <w:sz w:val="24"/>
        </w:rPr>
        <w:t>物料传送车辆的信息</w:t>
      </w:r>
      <w:r>
        <w:rPr>
          <w:rFonts w:hint="eastAsia" w:ascii="宋体" w:hAnsi="宋体" w:cs="宋体"/>
          <w:sz w:val="24"/>
          <w:lang w:eastAsia="zh-CN"/>
        </w:rPr>
        <w:t>：</w:t>
      </w:r>
    </w:p>
    <w:p w14:paraId="4488DC4F">
      <w:pPr>
        <w:spacing w:line="36" w:lineRule="exact"/>
        <w:rPr>
          <w:kern w:val="0"/>
          <w:szCs w:val="21"/>
        </w:rPr>
      </w:pPr>
    </w:p>
    <w:tbl>
      <w:tblPr>
        <w:tblStyle w:val="218"/>
        <w:tblW w:w="91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01"/>
        <w:gridCol w:w="2626"/>
        <w:gridCol w:w="1498"/>
        <w:gridCol w:w="3037"/>
      </w:tblGrid>
      <w:tr w14:paraId="5932B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2001" w:type="dxa"/>
            <w:vAlign w:val="center"/>
          </w:tcPr>
          <w:p w14:paraId="384BAFB8">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车辆皮重</w:t>
            </w:r>
          </w:p>
        </w:tc>
        <w:tc>
          <w:tcPr>
            <w:tcW w:w="2626" w:type="dxa"/>
            <w:vAlign w:val="center"/>
          </w:tcPr>
          <w:p w14:paraId="1F908BF9">
            <w:pPr>
              <w:autoSpaceDE w:val="0"/>
              <w:autoSpaceDN w:val="0"/>
              <w:spacing w:line="360" w:lineRule="auto"/>
              <w:rPr>
                <w:rFonts w:asciiTheme="minorHAnsi" w:hAnsiTheme="minorHAnsi" w:eastAsiaTheme="minorEastAsia" w:cstheme="minorBidi"/>
                <w:kern w:val="0"/>
                <w:szCs w:val="21"/>
                <w:lang w:eastAsia="en-US"/>
              </w:rPr>
            </w:pPr>
          </w:p>
        </w:tc>
        <w:tc>
          <w:tcPr>
            <w:tcW w:w="1498" w:type="dxa"/>
            <w:vAlign w:val="center"/>
          </w:tcPr>
          <w:p w14:paraId="24CA1CBC">
            <w:pPr>
              <w:autoSpaceDE w:val="0"/>
              <w:autoSpaceDN w:val="0"/>
              <w:spacing w:line="360" w:lineRule="auto"/>
              <w:jc w:val="center"/>
              <w:rPr>
                <w:rFonts w:asciiTheme="minorHAnsi" w:hAnsiTheme="minorHAnsi" w:eastAsiaTheme="minorEastAsia" w:cstheme="minorBidi"/>
                <w:kern w:val="0"/>
                <w:szCs w:val="21"/>
                <w:lang w:eastAsia="en-US"/>
              </w:rPr>
            </w:pPr>
            <w:r>
              <w:rPr>
                <w:rFonts w:asciiTheme="minorHAnsi" w:hAnsiTheme="minorHAnsi" w:eastAsiaTheme="minorEastAsia" w:cstheme="minorBidi"/>
                <w:kern w:val="0"/>
                <w:szCs w:val="21"/>
                <w:lang w:eastAsia="en-US"/>
              </w:rPr>
              <w:t>载重量</w:t>
            </w:r>
          </w:p>
        </w:tc>
        <w:tc>
          <w:tcPr>
            <w:tcW w:w="3037" w:type="dxa"/>
            <w:vAlign w:val="center"/>
          </w:tcPr>
          <w:p w14:paraId="18D4BA34">
            <w:pPr>
              <w:autoSpaceDE w:val="0"/>
              <w:autoSpaceDN w:val="0"/>
              <w:spacing w:line="360" w:lineRule="auto"/>
              <w:rPr>
                <w:rFonts w:asciiTheme="minorHAnsi" w:hAnsiTheme="minorHAnsi" w:eastAsiaTheme="minorEastAsia" w:cstheme="minorBidi"/>
                <w:kern w:val="0"/>
                <w:szCs w:val="21"/>
                <w:lang w:eastAsia="en-US"/>
              </w:rPr>
            </w:pPr>
          </w:p>
        </w:tc>
      </w:tr>
    </w:tbl>
    <w:p w14:paraId="43397785">
      <w:pPr>
        <w:spacing w:line="360" w:lineRule="auto"/>
        <w:rPr>
          <w:rFonts w:eastAsiaTheme="minorEastAsia"/>
          <w:sz w:val="24"/>
        </w:rPr>
      </w:pPr>
      <w:r>
        <w:rPr>
          <w:rFonts w:eastAsiaTheme="minorEastAsia"/>
          <w:sz w:val="24"/>
        </w:rPr>
        <w:t>1</w:t>
      </w:r>
      <w:r>
        <w:rPr>
          <w:rFonts w:hint="eastAsia" w:eastAsiaTheme="minorEastAsia"/>
          <w:sz w:val="24"/>
          <w:lang w:val="en-US" w:eastAsia="zh-CN"/>
        </w:rPr>
        <w:t xml:space="preserve"> </w:t>
      </w:r>
      <w:r>
        <w:rPr>
          <w:rFonts w:eastAsiaTheme="minorEastAsia"/>
          <w:sz w:val="24"/>
        </w:rPr>
        <w:t>外观</w:t>
      </w:r>
      <w:r>
        <w:rPr>
          <w:rFonts w:hint="eastAsia" w:eastAsiaTheme="minorEastAsia"/>
          <w:sz w:val="24"/>
        </w:rPr>
        <w:t>及使用条件</w:t>
      </w:r>
      <w:r>
        <w:rPr>
          <w:rFonts w:eastAsiaTheme="minorEastAsia"/>
          <w:sz w:val="24"/>
        </w:rPr>
        <w:t>检查：</w:t>
      </w:r>
    </w:p>
    <w:p w14:paraId="08FA6024">
      <w:pPr>
        <w:spacing w:line="360" w:lineRule="auto"/>
        <w:rPr>
          <w:rFonts w:eastAsiaTheme="minorEastAsia"/>
          <w:sz w:val="24"/>
        </w:rPr>
      </w:pPr>
      <w:r>
        <w:rPr>
          <w:rFonts w:hint="eastAsia" w:eastAsiaTheme="minorEastAsia"/>
          <w:sz w:val="24"/>
        </w:rPr>
        <w:t>2</w:t>
      </w:r>
      <w:r>
        <w:rPr>
          <w:rFonts w:hint="eastAsia" w:eastAsiaTheme="minorEastAsia"/>
          <w:sz w:val="24"/>
          <w:lang w:val="en-US" w:eastAsia="zh-CN"/>
        </w:rPr>
        <w:t xml:space="preserve"> </w:t>
      </w:r>
      <w:r>
        <w:rPr>
          <w:rFonts w:hint="eastAsia" w:eastAsiaTheme="minorEastAsia"/>
          <w:sz w:val="24"/>
        </w:rPr>
        <w:t>安装和使用条件检查：</w:t>
      </w:r>
    </w:p>
    <w:p w14:paraId="28BD78CB">
      <w:pPr>
        <w:tabs>
          <w:tab w:val="left" w:pos="5103"/>
        </w:tabs>
        <w:spacing w:line="360" w:lineRule="auto"/>
        <w:rPr>
          <w:rFonts w:eastAsiaTheme="minorEastAsia"/>
          <w:sz w:val="24"/>
        </w:rPr>
      </w:pPr>
      <w:r>
        <w:rPr>
          <w:rFonts w:eastAsiaTheme="minorEastAsia"/>
          <w:sz w:val="24"/>
        </w:rPr>
        <w:t>3</w:t>
      </w:r>
      <w:r>
        <w:rPr>
          <w:rFonts w:hint="eastAsia" w:eastAsiaTheme="minorEastAsia"/>
          <w:sz w:val="24"/>
          <w:lang w:val="en-US" w:eastAsia="zh-CN"/>
        </w:rPr>
        <w:t xml:space="preserve"> </w:t>
      </w:r>
      <w:r>
        <w:rPr>
          <w:rFonts w:hint="eastAsia"/>
          <w:sz w:val="24"/>
        </w:rPr>
        <w:t>零点核查</w:t>
      </w:r>
      <w:r>
        <w:rPr>
          <w:rFonts w:eastAsiaTheme="minorEastAsia"/>
          <w:sz w:val="24"/>
        </w:rPr>
        <w:t>：</w:t>
      </w:r>
    </w:p>
    <w:p w14:paraId="1C381A55">
      <w:pPr>
        <w:tabs>
          <w:tab w:val="left" w:pos="5103"/>
        </w:tabs>
        <w:spacing w:line="360" w:lineRule="auto"/>
        <w:rPr>
          <w:rFonts w:eastAsiaTheme="minorEastAsia"/>
          <w:sz w:val="24"/>
        </w:rPr>
      </w:pPr>
      <w:r>
        <w:rPr>
          <w:rFonts w:eastAsiaTheme="minorEastAsia"/>
          <w:sz w:val="24"/>
        </w:rPr>
        <w:t>3.1</w:t>
      </w:r>
      <w:r>
        <w:rPr>
          <w:rFonts w:hint="eastAsia" w:eastAsiaTheme="minorEastAsia"/>
          <w:sz w:val="24"/>
          <w:lang w:val="en-US" w:eastAsia="zh-CN"/>
        </w:rPr>
        <w:t xml:space="preserve"> </w:t>
      </w:r>
      <w:r>
        <w:rPr>
          <w:rFonts w:hint="eastAsia"/>
          <w:sz w:val="24"/>
        </w:rPr>
        <w:t>零点的累计误差</w:t>
      </w:r>
      <w:r>
        <w:rPr>
          <w:rFonts w:eastAsiaTheme="minorEastAsia"/>
          <w:sz w:val="24"/>
        </w:rPr>
        <w:t>：</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701"/>
        <w:gridCol w:w="1418"/>
        <w:gridCol w:w="1842"/>
        <w:gridCol w:w="1843"/>
        <w:gridCol w:w="1701"/>
      </w:tblGrid>
      <w:tr w14:paraId="7C28A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647F281B">
            <w:pPr>
              <w:widowControl/>
              <w:jc w:val="center"/>
              <w:rPr>
                <w:rFonts w:eastAsiaTheme="minorEastAsia"/>
                <w:szCs w:val="21"/>
              </w:rPr>
            </w:pPr>
            <w:r>
              <w:rPr>
                <w:rFonts w:hAnsiTheme="minorEastAsia" w:eastAsiaTheme="minorEastAsia"/>
                <w:kern w:val="0"/>
                <w:szCs w:val="21"/>
              </w:rPr>
              <w:t>编号</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45D8CE7F">
            <w:pPr>
              <w:widowControl/>
              <w:jc w:val="center"/>
              <w:rPr>
                <w:rFonts w:eastAsiaTheme="minorEastAsia"/>
                <w:szCs w:val="21"/>
              </w:rPr>
            </w:pPr>
            <w:r>
              <w:rPr>
                <w:rFonts w:hAnsiTheme="minorEastAsia" w:eastAsiaTheme="minorEastAsia"/>
                <w:kern w:val="0"/>
                <w:szCs w:val="21"/>
              </w:rPr>
              <w:t>皮带转动圈数</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5484FF04">
            <w:pPr>
              <w:widowControl/>
              <w:jc w:val="center"/>
              <w:rPr>
                <w:rFonts w:eastAsiaTheme="minorEastAsia"/>
                <w:szCs w:val="21"/>
              </w:rPr>
            </w:pPr>
            <w:r>
              <w:rPr>
                <w:rFonts w:hAnsiTheme="minorEastAsia" w:eastAsiaTheme="minorEastAsia"/>
                <w:kern w:val="0"/>
                <w:szCs w:val="21"/>
              </w:rPr>
              <w:t>时续时间</w:t>
            </w:r>
            <w:r>
              <w:rPr>
                <w:rFonts w:eastAsiaTheme="minorEastAsia"/>
                <w:kern w:val="0"/>
                <w:szCs w:val="21"/>
              </w:rPr>
              <w:t>/s</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743F24F2">
            <w:pPr>
              <w:widowControl/>
              <w:jc w:val="center"/>
              <w:rPr>
                <w:rFonts w:eastAsiaTheme="minorEastAsia"/>
                <w:szCs w:val="21"/>
              </w:rPr>
            </w:pPr>
            <w:r>
              <w:rPr>
                <w:rFonts w:hAnsiTheme="minorEastAsia" w:eastAsiaTheme="minorEastAsia"/>
                <w:kern w:val="0"/>
                <w:szCs w:val="21"/>
              </w:rPr>
              <w:t>初始示值</w:t>
            </w:r>
            <w:r>
              <w:rPr>
                <w:rFonts w:eastAsiaTheme="minorEastAsia"/>
                <w:i/>
                <w:iCs/>
                <w:kern w:val="0"/>
                <w:szCs w:val="21"/>
              </w:rPr>
              <w:t>I</w:t>
            </w:r>
            <w:r>
              <w:rPr>
                <w:rFonts w:eastAsiaTheme="minorEastAsia"/>
                <w:kern w:val="0"/>
                <w:szCs w:val="21"/>
                <w:vertAlign w:val="subscript"/>
              </w:rPr>
              <w:t>1</w:t>
            </w:r>
            <w:r>
              <w:rPr>
                <w:rFonts w:hAnsiTheme="minorEastAsia" w:eastAsiaTheme="minorEastAsia"/>
                <w:kern w:val="0"/>
                <w:szCs w:val="21"/>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1C3AB8A1">
            <w:pPr>
              <w:widowControl/>
              <w:jc w:val="center"/>
              <w:rPr>
                <w:rFonts w:eastAsiaTheme="minorEastAsia"/>
                <w:szCs w:val="21"/>
              </w:rPr>
            </w:pPr>
            <w:r>
              <w:rPr>
                <w:rFonts w:hAnsiTheme="minorEastAsia" w:eastAsiaTheme="minorEastAsia"/>
                <w:kern w:val="0"/>
                <w:szCs w:val="21"/>
              </w:rPr>
              <w:t>最终示值</w:t>
            </w:r>
            <w:r>
              <w:rPr>
                <w:rFonts w:eastAsiaTheme="minorEastAsia"/>
                <w:i/>
                <w:iCs/>
                <w:kern w:val="0"/>
                <w:szCs w:val="21"/>
              </w:rPr>
              <w:t>I</w:t>
            </w:r>
            <w:r>
              <w:rPr>
                <w:rFonts w:eastAsiaTheme="minorEastAsia"/>
                <w:kern w:val="0"/>
                <w:szCs w:val="21"/>
                <w:vertAlign w:val="subscript"/>
              </w:rPr>
              <w:t>2</w:t>
            </w:r>
            <w:r>
              <w:rPr>
                <w:rFonts w:hAnsiTheme="minorEastAsia" w:eastAsiaTheme="minorEastAsia"/>
                <w:kern w:val="0"/>
                <w:szCs w:val="21"/>
              </w:rPr>
              <w:t>（）</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573794F6">
            <w:pPr>
              <w:widowControl/>
              <w:jc w:val="center"/>
              <w:rPr>
                <w:rFonts w:eastAsiaTheme="minorEastAsia"/>
                <w:spacing w:val="-20"/>
                <w:szCs w:val="21"/>
              </w:rPr>
            </w:pPr>
            <w:r>
              <w:rPr>
                <w:rFonts w:hAnsiTheme="minorEastAsia" w:eastAsiaTheme="minorEastAsia"/>
                <w:spacing w:val="-20"/>
                <w:kern w:val="0"/>
                <w:szCs w:val="21"/>
              </w:rPr>
              <w:t>差值</w:t>
            </w:r>
            <w:r>
              <w:rPr>
                <w:rFonts w:eastAsiaTheme="minorEastAsia"/>
                <w:i/>
                <w:iCs/>
                <w:spacing w:val="-20"/>
                <w:kern w:val="0"/>
                <w:szCs w:val="21"/>
              </w:rPr>
              <w:t>I</w:t>
            </w:r>
            <w:r>
              <w:rPr>
                <w:rFonts w:eastAsiaTheme="minorEastAsia"/>
                <w:spacing w:val="-20"/>
                <w:kern w:val="0"/>
                <w:szCs w:val="21"/>
                <w:vertAlign w:val="subscript"/>
              </w:rPr>
              <w:t>1</w:t>
            </w:r>
            <w:r>
              <w:rPr>
                <w:rFonts w:eastAsiaTheme="minorEastAsia"/>
                <w:spacing w:val="-20"/>
                <w:kern w:val="0"/>
                <w:szCs w:val="21"/>
              </w:rPr>
              <w:t xml:space="preserve">- </w:t>
            </w:r>
            <w:r>
              <w:rPr>
                <w:rFonts w:eastAsiaTheme="minorEastAsia"/>
                <w:i/>
                <w:iCs/>
                <w:spacing w:val="-20"/>
                <w:kern w:val="0"/>
                <w:szCs w:val="21"/>
              </w:rPr>
              <w:t>I</w:t>
            </w:r>
            <w:r>
              <w:rPr>
                <w:rFonts w:eastAsiaTheme="minorEastAsia"/>
                <w:spacing w:val="-20"/>
                <w:kern w:val="0"/>
                <w:szCs w:val="21"/>
                <w:vertAlign w:val="subscript"/>
              </w:rPr>
              <w:t>2</w:t>
            </w:r>
            <w:r>
              <w:rPr>
                <w:rFonts w:hAnsiTheme="minorEastAsia" w:eastAsiaTheme="minorEastAsia"/>
                <w:spacing w:val="-20"/>
                <w:kern w:val="0"/>
                <w:szCs w:val="21"/>
              </w:rPr>
              <w:t>（）</w:t>
            </w:r>
          </w:p>
        </w:tc>
      </w:tr>
      <w:tr w14:paraId="69F45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797BCFD1">
            <w:pPr>
              <w:widowControl/>
              <w:jc w:val="center"/>
              <w:rPr>
                <w:rFonts w:eastAsiaTheme="minorEastAsia"/>
                <w:szCs w:val="21"/>
              </w:rPr>
            </w:pPr>
            <w:r>
              <w:rPr>
                <w:rFonts w:eastAsiaTheme="minorEastAsia"/>
                <w:kern w:val="0"/>
                <w:szCs w:val="21"/>
              </w:rPr>
              <w:t>1</w:t>
            </w: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5B9463D0">
            <w:pPr>
              <w:widowControl/>
              <w:jc w:val="center"/>
              <w:rPr>
                <w:rFonts w:eastAsiaTheme="minorEastAsia"/>
                <w:szCs w:val="21"/>
              </w:rPr>
            </w:pPr>
          </w:p>
        </w:tc>
        <w:tc>
          <w:tcPr>
            <w:tcW w:w="1418" w:type="dxa"/>
            <w:vMerge w:val="restart"/>
            <w:tcBorders>
              <w:top w:val="nil"/>
              <w:left w:val="single" w:color="auto" w:sz="4" w:space="0"/>
              <w:bottom w:val="single" w:color="auto" w:sz="4" w:space="0"/>
              <w:right w:val="single" w:color="auto" w:sz="4" w:space="0"/>
            </w:tcBorders>
            <w:shd w:val="clear" w:color="auto" w:fill="auto"/>
            <w:vAlign w:val="center"/>
          </w:tcPr>
          <w:p w14:paraId="64CCA2EC">
            <w:pPr>
              <w:widowControl/>
              <w:jc w:val="center"/>
              <w:rPr>
                <w:rFonts w:eastAsiaTheme="minorEastAsia"/>
                <w:szCs w:val="21"/>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4CF570B6">
            <w:pPr>
              <w:spacing w:line="360" w:lineRule="auto"/>
              <w:jc w:val="center"/>
              <w:rPr>
                <w:rFonts w:eastAsiaTheme="minorEastAsia"/>
                <w:szCs w:val="21"/>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10A2D52D">
            <w:pPr>
              <w:spacing w:line="360" w:lineRule="auto"/>
              <w:jc w:val="center"/>
              <w:rPr>
                <w:rFonts w:eastAsiaTheme="minorEastAsia"/>
                <w:szCs w:val="21"/>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2DC17AA0">
            <w:pPr>
              <w:widowControl/>
              <w:jc w:val="center"/>
              <w:rPr>
                <w:rFonts w:eastAsiaTheme="minorEastAsia"/>
                <w:szCs w:val="21"/>
              </w:rPr>
            </w:pPr>
          </w:p>
        </w:tc>
      </w:tr>
      <w:tr w14:paraId="66AFB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4F9896A6">
            <w:pPr>
              <w:widowControl/>
              <w:jc w:val="center"/>
              <w:rPr>
                <w:rFonts w:eastAsiaTheme="minorEastAsia"/>
                <w:szCs w:val="21"/>
              </w:rPr>
            </w:pPr>
            <w:r>
              <w:rPr>
                <w:rFonts w:eastAsiaTheme="minorEastAsia"/>
                <w:kern w:val="0"/>
                <w:szCs w:val="21"/>
              </w:rPr>
              <w:t>2</w:t>
            </w:r>
          </w:p>
        </w:tc>
        <w:tc>
          <w:tcPr>
            <w:tcW w:w="1701" w:type="dxa"/>
            <w:vMerge w:val="continue"/>
            <w:tcBorders>
              <w:top w:val="nil"/>
              <w:left w:val="single" w:color="auto" w:sz="4" w:space="0"/>
              <w:bottom w:val="single" w:color="auto" w:sz="4" w:space="0"/>
              <w:right w:val="single" w:color="auto" w:sz="4" w:space="0"/>
            </w:tcBorders>
            <w:shd w:val="clear" w:color="auto" w:fill="auto"/>
            <w:vAlign w:val="center"/>
          </w:tcPr>
          <w:p w14:paraId="61D7F4C5">
            <w:pPr>
              <w:jc w:val="center"/>
              <w:rPr>
                <w:rFonts w:eastAsiaTheme="minorEastAsia"/>
                <w:szCs w:val="21"/>
              </w:rPr>
            </w:pPr>
          </w:p>
        </w:tc>
        <w:tc>
          <w:tcPr>
            <w:tcW w:w="1418" w:type="dxa"/>
            <w:vMerge w:val="continue"/>
            <w:tcBorders>
              <w:top w:val="nil"/>
              <w:left w:val="single" w:color="auto" w:sz="4" w:space="0"/>
              <w:bottom w:val="single" w:color="auto" w:sz="4" w:space="0"/>
              <w:right w:val="single" w:color="auto" w:sz="4" w:space="0"/>
            </w:tcBorders>
            <w:shd w:val="clear" w:color="auto" w:fill="auto"/>
            <w:vAlign w:val="center"/>
          </w:tcPr>
          <w:p w14:paraId="22F5C8C6">
            <w:pPr>
              <w:jc w:val="center"/>
              <w:rPr>
                <w:rFonts w:eastAsiaTheme="minorEastAsia"/>
                <w:szCs w:val="21"/>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14:paraId="1EC052E8">
            <w:pPr>
              <w:spacing w:line="360" w:lineRule="auto"/>
              <w:jc w:val="center"/>
              <w:rPr>
                <w:rFonts w:eastAsiaTheme="minorEastAsia"/>
                <w:szCs w:val="21"/>
              </w:rPr>
            </w:pP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7EEC10AD">
            <w:pPr>
              <w:widowControl/>
              <w:jc w:val="center"/>
              <w:rPr>
                <w:rFonts w:eastAsiaTheme="minorEastAsia"/>
                <w:szCs w:val="21"/>
              </w:rPr>
            </w:pP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772636A7">
            <w:pPr>
              <w:widowControl/>
              <w:jc w:val="center"/>
              <w:rPr>
                <w:rFonts w:eastAsiaTheme="minorEastAsia"/>
                <w:szCs w:val="21"/>
              </w:rPr>
            </w:pPr>
          </w:p>
        </w:tc>
      </w:tr>
    </w:tbl>
    <w:p w14:paraId="39112F86">
      <w:pPr>
        <w:tabs>
          <w:tab w:val="left" w:pos="5103"/>
        </w:tabs>
        <w:spacing w:line="360" w:lineRule="auto"/>
        <w:rPr>
          <w:rFonts w:eastAsiaTheme="minorEastAsia"/>
          <w:sz w:val="24"/>
        </w:rPr>
      </w:pPr>
      <w:r>
        <w:rPr>
          <w:rFonts w:eastAsiaTheme="minorEastAsia"/>
          <w:sz w:val="24"/>
        </w:rPr>
        <w:t>3.2</w:t>
      </w:r>
      <w:r>
        <w:rPr>
          <w:rFonts w:hint="eastAsia" w:eastAsiaTheme="minorEastAsia"/>
          <w:sz w:val="24"/>
          <w:lang w:val="en-US" w:eastAsia="zh-CN"/>
        </w:rPr>
        <w:t xml:space="preserve"> </w:t>
      </w:r>
      <w:r>
        <w:rPr>
          <w:rFonts w:hint="eastAsia"/>
          <w:sz w:val="24"/>
        </w:rPr>
        <w:t>零载荷的最大偏差</w:t>
      </w:r>
      <w:r>
        <w:rPr>
          <w:rFonts w:eastAsiaTheme="minorEastAsia"/>
          <w:sz w:val="24"/>
        </w:rPr>
        <w:t>：</w:t>
      </w:r>
    </w:p>
    <w:tbl>
      <w:tblPr>
        <w:tblStyle w:val="30"/>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200"/>
        <w:gridCol w:w="1300"/>
        <w:gridCol w:w="1500"/>
        <w:gridCol w:w="1400"/>
        <w:gridCol w:w="1300"/>
        <w:gridCol w:w="1914"/>
      </w:tblGrid>
      <w:tr w14:paraId="3D1C8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Borders>
              <w:top w:val="single" w:color="auto" w:sz="4" w:space="0"/>
              <w:left w:val="single" w:color="auto" w:sz="4" w:space="0"/>
              <w:bottom w:val="single" w:color="auto" w:sz="4" w:space="0"/>
              <w:right w:val="single" w:color="auto" w:sz="4" w:space="0"/>
            </w:tcBorders>
            <w:shd w:val="clear" w:color="auto" w:fill="auto"/>
          </w:tcPr>
          <w:p w14:paraId="710D7B63">
            <w:pPr>
              <w:widowControl/>
              <w:jc w:val="center"/>
              <w:rPr>
                <w:rFonts w:eastAsiaTheme="minorEastAsia"/>
                <w:szCs w:val="21"/>
              </w:rPr>
            </w:pPr>
            <w:r>
              <w:rPr>
                <w:rFonts w:hAnsiTheme="minorEastAsia" w:eastAsiaTheme="minorEastAsia"/>
                <w:kern w:val="0"/>
                <w:szCs w:val="21"/>
              </w:rPr>
              <w:t>编号</w:t>
            </w:r>
          </w:p>
        </w:tc>
        <w:tc>
          <w:tcPr>
            <w:tcW w:w="1200" w:type="dxa"/>
            <w:tcBorders>
              <w:top w:val="single" w:color="auto" w:sz="4" w:space="0"/>
              <w:left w:val="single" w:color="auto" w:sz="4" w:space="0"/>
              <w:bottom w:val="single" w:color="auto" w:sz="4" w:space="0"/>
              <w:right w:val="single" w:color="auto" w:sz="4" w:space="0"/>
            </w:tcBorders>
            <w:shd w:val="clear" w:color="auto" w:fill="auto"/>
          </w:tcPr>
          <w:p w14:paraId="66B56E88">
            <w:pPr>
              <w:widowControl/>
              <w:jc w:val="center"/>
              <w:rPr>
                <w:rFonts w:eastAsiaTheme="minorEastAsia"/>
                <w:szCs w:val="21"/>
              </w:rPr>
            </w:pPr>
            <w:r>
              <w:rPr>
                <w:rFonts w:hAnsiTheme="minorEastAsia" w:eastAsiaTheme="minorEastAsia"/>
                <w:kern w:val="0"/>
                <w:szCs w:val="21"/>
              </w:rPr>
              <w:t>初始示值</w:t>
            </w:r>
            <w:r>
              <w:rPr>
                <w:rFonts w:eastAsiaTheme="minorEastAsia"/>
                <w:i/>
                <w:iCs/>
                <w:kern w:val="0"/>
                <w:szCs w:val="21"/>
              </w:rPr>
              <w:t>I</w:t>
            </w:r>
            <w:r>
              <w:rPr>
                <w:rFonts w:eastAsiaTheme="minorEastAsia"/>
                <w:kern w:val="0"/>
                <w:szCs w:val="21"/>
                <w:vertAlign w:val="subscript"/>
              </w:rPr>
              <w:t>1</w:t>
            </w:r>
            <w:r>
              <w:rPr>
                <w:rFonts w:hAnsiTheme="minorEastAsia" w:eastAsiaTheme="minorEastAsia"/>
                <w:kern w:val="0"/>
                <w:szCs w:val="21"/>
              </w:rPr>
              <w:t>（）</w:t>
            </w:r>
          </w:p>
        </w:tc>
        <w:tc>
          <w:tcPr>
            <w:tcW w:w="1300" w:type="dxa"/>
            <w:tcBorders>
              <w:top w:val="single" w:color="auto" w:sz="4" w:space="0"/>
              <w:left w:val="single" w:color="auto" w:sz="4" w:space="0"/>
              <w:bottom w:val="single" w:color="auto" w:sz="4" w:space="0"/>
              <w:right w:val="single" w:color="auto" w:sz="4" w:space="0"/>
            </w:tcBorders>
            <w:shd w:val="clear" w:color="auto" w:fill="auto"/>
          </w:tcPr>
          <w:p w14:paraId="02325C5E">
            <w:pPr>
              <w:widowControl/>
              <w:jc w:val="center"/>
              <w:rPr>
                <w:rFonts w:eastAsiaTheme="minorEastAsia"/>
                <w:szCs w:val="21"/>
              </w:rPr>
            </w:pPr>
            <w:r>
              <w:rPr>
                <w:rFonts w:hAnsiTheme="minorEastAsia" w:eastAsiaTheme="minorEastAsia"/>
                <w:kern w:val="0"/>
                <w:szCs w:val="21"/>
              </w:rPr>
              <w:t>最大示值</w:t>
            </w:r>
            <w:r>
              <w:rPr>
                <w:rFonts w:eastAsiaTheme="minorEastAsia"/>
                <w:i/>
                <w:iCs/>
                <w:kern w:val="0"/>
                <w:szCs w:val="21"/>
              </w:rPr>
              <w:t>I</w:t>
            </w:r>
            <w:r>
              <w:rPr>
                <w:rFonts w:eastAsiaTheme="minorEastAsia"/>
                <w:kern w:val="0"/>
                <w:szCs w:val="21"/>
                <w:vertAlign w:val="subscript"/>
              </w:rPr>
              <w:t>max</w:t>
            </w:r>
            <w:r>
              <w:rPr>
                <w:rFonts w:hAnsiTheme="minorEastAsia" w:eastAsiaTheme="minorEastAsia"/>
                <w:kern w:val="0"/>
                <w:szCs w:val="21"/>
              </w:rPr>
              <w:t>（）</w:t>
            </w:r>
          </w:p>
        </w:tc>
        <w:tc>
          <w:tcPr>
            <w:tcW w:w="1500" w:type="dxa"/>
            <w:tcBorders>
              <w:top w:val="single" w:color="auto" w:sz="4" w:space="0"/>
              <w:left w:val="single" w:color="auto" w:sz="4" w:space="0"/>
              <w:bottom w:val="single" w:color="auto" w:sz="4" w:space="0"/>
              <w:right w:val="single" w:color="auto" w:sz="4" w:space="0"/>
            </w:tcBorders>
            <w:shd w:val="clear" w:color="auto" w:fill="auto"/>
          </w:tcPr>
          <w:p w14:paraId="6B3462AD">
            <w:pPr>
              <w:widowControl/>
              <w:jc w:val="center"/>
              <w:rPr>
                <w:rFonts w:eastAsiaTheme="minorEastAsia"/>
                <w:szCs w:val="21"/>
              </w:rPr>
            </w:pPr>
            <w:r>
              <w:rPr>
                <w:rFonts w:hAnsiTheme="minorEastAsia" w:eastAsiaTheme="minorEastAsia"/>
                <w:kern w:val="0"/>
                <w:szCs w:val="21"/>
              </w:rPr>
              <w:t>最小示值</w:t>
            </w:r>
            <w:r>
              <w:rPr>
                <w:rFonts w:eastAsiaTheme="minorEastAsia"/>
                <w:i/>
                <w:iCs/>
                <w:kern w:val="0"/>
                <w:szCs w:val="21"/>
              </w:rPr>
              <w:t>I</w:t>
            </w:r>
            <w:r>
              <w:rPr>
                <w:rFonts w:eastAsiaTheme="minorEastAsia"/>
                <w:kern w:val="0"/>
                <w:szCs w:val="21"/>
                <w:vertAlign w:val="subscript"/>
              </w:rPr>
              <w:t>min</w:t>
            </w:r>
            <w:r>
              <w:rPr>
                <w:rFonts w:hAnsiTheme="minorEastAsia" w:eastAsiaTheme="minorEastAsia"/>
                <w:kern w:val="0"/>
                <w:szCs w:val="21"/>
              </w:rPr>
              <w:t>（）</w:t>
            </w:r>
          </w:p>
        </w:tc>
        <w:tc>
          <w:tcPr>
            <w:tcW w:w="1400" w:type="dxa"/>
            <w:tcBorders>
              <w:top w:val="single" w:color="auto" w:sz="4" w:space="0"/>
              <w:left w:val="single" w:color="auto" w:sz="4" w:space="0"/>
              <w:bottom w:val="single" w:color="auto" w:sz="4" w:space="0"/>
              <w:right w:val="single" w:color="auto" w:sz="4" w:space="0"/>
            </w:tcBorders>
            <w:shd w:val="clear" w:color="auto" w:fill="auto"/>
          </w:tcPr>
          <w:p w14:paraId="04BAF567">
            <w:pPr>
              <w:widowControl/>
              <w:jc w:val="center"/>
              <w:rPr>
                <w:rFonts w:eastAsiaTheme="minorEastAsia"/>
                <w:szCs w:val="21"/>
                <w:vertAlign w:val="subscript"/>
              </w:rPr>
            </w:pPr>
            <w:r>
              <w:rPr>
                <w:rFonts w:hAnsiTheme="minorEastAsia" w:eastAsiaTheme="minorEastAsia"/>
                <w:kern w:val="0"/>
                <w:szCs w:val="21"/>
              </w:rPr>
              <w:t>︱</w:t>
            </w:r>
            <w:r>
              <w:rPr>
                <w:rFonts w:eastAsiaTheme="minorEastAsia"/>
                <w:i/>
                <w:iCs/>
                <w:kern w:val="0"/>
                <w:szCs w:val="21"/>
              </w:rPr>
              <w:t>I</w:t>
            </w:r>
            <w:r>
              <w:rPr>
                <w:rFonts w:eastAsiaTheme="minorEastAsia"/>
                <w:kern w:val="0"/>
                <w:szCs w:val="21"/>
                <w:vertAlign w:val="subscript"/>
              </w:rPr>
              <w:t>1</w:t>
            </w:r>
            <w:r>
              <w:rPr>
                <w:rFonts w:eastAsiaTheme="minorEastAsia"/>
                <w:kern w:val="0"/>
                <w:szCs w:val="21"/>
              </w:rPr>
              <w:t>-</w:t>
            </w:r>
            <w:r>
              <w:rPr>
                <w:rFonts w:eastAsiaTheme="minorEastAsia"/>
                <w:i/>
                <w:iCs/>
                <w:kern w:val="0"/>
                <w:szCs w:val="21"/>
              </w:rPr>
              <w:t>I</w:t>
            </w:r>
            <w:r>
              <w:rPr>
                <w:rFonts w:eastAsiaTheme="minorEastAsia"/>
                <w:kern w:val="0"/>
                <w:szCs w:val="21"/>
                <w:vertAlign w:val="subscript"/>
              </w:rPr>
              <w:t>max</w:t>
            </w:r>
            <w:r>
              <w:rPr>
                <w:rFonts w:hAnsiTheme="minorEastAsia" w:eastAsiaTheme="minorEastAsia"/>
                <w:kern w:val="0"/>
                <w:szCs w:val="21"/>
              </w:rPr>
              <w:t>︱</w:t>
            </w:r>
          </w:p>
          <w:p w14:paraId="50E8D98F">
            <w:pPr>
              <w:widowControl/>
              <w:jc w:val="center"/>
              <w:rPr>
                <w:rFonts w:eastAsiaTheme="minorEastAsia"/>
                <w:szCs w:val="21"/>
              </w:rPr>
            </w:pPr>
            <w:r>
              <w:rPr>
                <w:rFonts w:eastAsiaTheme="minorEastAsia"/>
                <w:kern w:val="0"/>
                <w:szCs w:val="21"/>
              </w:rPr>
              <w:t>A</w:t>
            </w:r>
            <w:r>
              <w:rPr>
                <w:rFonts w:hAnsiTheme="minorEastAsia" w:eastAsiaTheme="minorEastAsia"/>
                <w:kern w:val="0"/>
                <w:szCs w:val="21"/>
              </w:rPr>
              <w:t>（）</w:t>
            </w:r>
          </w:p>
        </w:tc>
        <w:tc>
          <w:tcPr>
            <w:tcW w:w="1300" w:type="dxa"/>
            <w:tcBorders>
              <w:top w:val="single" w:color="auto" w:sz="4" w:space="0"/>
              <w:left w:val="single" w:color="auto" w:sz="4" w:space="0"/>
              <w:bottom w:val="single" w:color="auto" w:sz="4" w:space="0"/>
              <w:right w:val="single" w:color="auto" w:sz="4" w:space="0"/>
            </w:tcBorders>
            <w:shd w:val="clear" w:color="auto" w:fill="auto"/>
          </w:tcPr>
          <w:p w14:paraId="45B0A124">
            <w:pPr>
              <w:widowControl/>
              <w:jc w:val="center"/>
              <w:rPr>
                <w:rFonts w:eastAsiaTheme="minorEastAsia"/>
                <w:szCs w:val="21"/>
                <w:vertAlign w:val="subscript"/>
              </w:rPr>
            </w:pPr>
            <w:r>
              <w:rPr>
                <w:rFonts w:hAnsiTheme="minorEastAsia" w:eastAsiaTheme="minorEastAsia"/>
                <w:kern w:val="0"/>
                <w:szCs w:val="21"/>
              </w:rPr>
              <w:t>︱</w:t>
            </w:r>
            <w:r>
              <w:rPr>
                <w:rFonts w:eastAsiaTheme="minorEastAsia"/>
                <w:i/>
                <w:iCs/>
                <w:kern w:val="0"/>
                <w:szCs w:val="21"/>
              </w:rPr>
              <w:t>I</w:t>
            </w:r>
            <w:r>
              <w:rPr>
                <w:rFonts w:eastAsiaTheme="minorEastAsia"/>
                <w:kern w:val="0"/>
                <w:szCs w:val="21"/>
                <w:vertAlign w:val="subscript"/>
              </w:rPr>
              <w:t>1</w:t>
            </w:r>
            <w:r>
              <w:rPr>
                <w:rFonts w:eastAsiaTheme="minorEastAsia"/>
                <w:kern w:val="0"/>
                <w:szCs w:val="21"/>
              </w:rPr>
              <w:t>-</w:t>
            </w:r>
            <w:r>
              <w:rPr>
                <w:rFonts w:eastAsiaTheme="minorEastAsia"/>
                <w:i/>
                <w:iCs/>
                <w:kern w:val="0"/>
                <w:szCs w:val="21"/>
              </w:rPr>
              <w:t>I</w:t>
            </w:r>
            <w:r>
              <w:rPr>
                <w:rFonts w:eastAsiaTheme="minorEastAsia"/>
                <w:kern w:val="0"/>
                <w:szCs w:val="21"/>
                <w:vertAlign w:val="subscript"/>
              </w:rPr>
              <w:t>min</w:t>
            </w:r>
            <w:r>
              <w:rPr>
                <w:rFonts w:hAnsiTheme="minorEastAsia" w:eastAsiaTheme="minorEastAsia"/>
                <w:kern w:val="0"/>
                <w:szCs w:val="21"/>
              </w:rPr>
              <w:t>︱</w:t>
            </w:r>
          </w:p>
          <w:p w14:paraId="07747408">
            <w:pPr>
              <w:widowControl/>
              <w:jc w:val="center"/>
              <w:rPr>
                <w:rFonts w:eastAsiaTheme="minorEastAsia"/>
                <w:szCs w:val="21"/>
              </w:rPr>
            </w:pPr>
            <w:r>
              <w:rPr>
                <w:rFonts w:eastAsiaTheme="minorEastAsia"/>
                <w:kern w:val="0"/>
                <w:szCs w:val="21"/>
              </w:rPr>
              <w:t>B</w:t>
            </w:r>
            <w:r>
              <w:rPr>
                <w:rFonts w:hAnsiTheme="minorEastAsia" w:eastAsiaTheme="minorEastAsia"/>
                <w:kern w:val="0"/>
                <w:szCs w:val="21"/>
              </w:rPr>
              <w:t>（）</w:t>
            </w: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03824EED">
            <w:pPr>
              <w:widowControl/>
              <w:jc w:val="center"/>
              <w:rPr>
                <w:rFonts w:eastAsiaTheme="minorEastAsia"/>
                <w:szCs w:val="21"/>
              </w:rPr>
            </w:pPr>
            <w:r>
              <w:rPr>
                <w:rFonts w:eastAsiaTheme="minorEastAsia"/>
                <w:kern w:val="0"/>
                <w:szCs w:val="21"/>
              </w:rPr>
              <w:t>A</w:t>
            </w:r>
            <w:r>
              <w:rPr>
                <w:rFonts w:hAnsiTheme="minorEastAsia" w:eastAsiaTheme="minorEastAsia"/>
                <w:kern w:val="0"/>
                <w:szCs w:val="21"/>
              </w:rPr>
              <w:t>或</w:t>
            </w:r>
            <w:r>
              <w:rPr>
                <w:rFonts w:eastAsiaTheme="minorEastAsia"/>
                <w:kern w:val="0"/>
                <w:szCs w:val="21"/>
              </w:rPr>
              <w:t>B</w:t>
            </w:r>
            <w:r>
              <w:rPr>
                <w:rFonts w:hAnsiTheme="minorEastAsia" w:eastAsiaTheme="minorEastAsia"/>
                <w:kern w:val="0"/>
                <w:szCs w:val="21"/>
              </w:rPr>
              <w:t>中的</w:t>
            </w:r>
            <w:r>
              <w:rPr>
                <w:rFonts w:hint="eastAsia" w:hAnsiTheme="minorEastAsia" w:eastAsiaTheme="minorEastAsia"/>
                <w:kern w:val="0"/>
                <w:szCs w:val="21"/>
                <w:lang w:val="en-US" w:eastAsia="zh-CN"/>
              </w:rPr>
              <w:t>较</w:t>
            </w:r>
            <w:r>
              <w:rPr>
                <w:rFonts w:hAnsiTheme="minorEastAsia" w:eastAsiaTheme="minorEastAsia"/>
                <w:kern w:val="0"/>
                <w:szCs w:val="21"/>
              </w:rPr>
              <w:t>大者（）</w:t>
            </w:r>
          </w:p>
        </w:tc>
      </w:tr>
      <w:tr w14:paraId="40E78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Borders>
              <w:top w:val="single" w:color="auto" w:sz="4" w:space="0"/>
              <w:left w:val="single" w:color="auto" w:sz="4" w:space="0"/>
              <w:bottom w:val="single" w:color="auto" w:sz="4" w:space="0"/>
              <w:right w:val="single" w:color="auto" w:sz="4" w:space="0"/>
            </w:tcBorders>
            <w:shd w:val="clear" w:color="auto" w:fill="auto"/>
          </w:tcPr>
          <w:p w14:paraId="07FFE011">
            <w:pPr>
              <w:widowControl/>
              <w:jc w:val="center"/>
              <w:rPr>
                <w:rFonts w:eastAsiaTheme="minorEastAsia"/>
                <w:szCs w:val="21"/>
              </w:rPr>
            </w:pPr>
            <w:r>
              <w:rPr>
                <w:rFonts w:eastAsiaTheme="minorEastAsia"/>
                <w:kern w:val="0"/>
                <w:szCs w:val="21"/>
              </w:rPr>
              <w:t>1</w:t>
            </w:r>
          </w:p>
        </w:tc>
        <w:tc>
          <w:tcPr>
            <w:tcW w:w="1200" w:type="dxa"/>
            <w:tcBorders>
              <w:top w:val="single" w:color="auto" w:sz="4" w:space="0"/>
              <w:left w:val="single" w:color="auto" w:sz="4" w:space="0"/>
              <w:bottom w:val="single" w:color="auto" w:sz="4" w:space="0"/>
              <w:right w:val="single" w:color="auto" w:sz="4" w:space="0"/>
            </w:tcBorders>
            <w:shd w:val="clear" w:color="auto" w:fill="auto"/>
          </w:tcPr>
          <w:p w14:paraId="556ADA94">
            <w:pPr>
              <w:widowControl/>
              <w:jc w:val="center"/>
              <w:rPr>
                <w:rFonts w:eastAsiaTheme="minorEastAsia"/>
                <w:szCs w:val="21"/>
              </w:rPr>
            </w:pPr>
          </w:p>
        </w:tc>
        <w:tc>
          <w:tcPr>
            <w:tcW w:w="1300" w:type="dxa"/>
            <w:tcBorders>
              <w:top w:val="single" w:color="auto" w:sz="4" w:space="0"/>
              <w:left w:val="single" w:color="auto" w:sz="4" w:space="0"/>
              <w:bottom w:val="single" w:color="auto" w:sz="4" w:space="0"/>
              <w:right w:val="single" w:color="auto" w:sz="4" w:space="0"/>
            </w:tcBorders>
            <w:shd w:val="clear" w:color="auto" w:fill="auto"/>
          </w:tcPr>
          <w:p w14:paraId="59D9EB67">
            <w:pPr>
              <w:widowControl/>
              <w:jc w:val="center"/>
              <w:rPr>
                <w:rFonts w:eastAsiaTheme="minorEastAsia"/>
                <w:szCs w:val="21"/>
              </w:rPr>
            </w:pPr>
          </w:p>
        </w:tc>
        <w:tc>
          <w:tcPr>
            <w:tcW w:w="1500" w:type="dxa"/>
            <w:tcBorders>
              <w:top w:val="single" w:color="auto" w:sz="4" w:space="0"/>
              <w:left w:val="single" w:color="auto" w:sz="4" w:space="0"/>
              <w:bottom w:val="single" w:color="auto" w:sz="4" w:space="0"/>
              <w:right w:val="single" w:color="auto" w:sz="4" w:space="0"/>
            </w:tcBorders>
            <w:shd w:val="clear" w:color="auto" w:fill="auto"/>
          </w:tcPr>
          <w:p w14:paraId="4DB4639B">
            <w:pPr>
              <w:widowControl/>
              <w:jc w:val="center"/>
              <w:rPr>
                <w:rFonts w:eastAsiaTheme="minorEastAsia"/>
                <w:szCs w:val="21"/>
              </w:rPr>
            </w:pPr>
          </w:p>
        </w:tc>
        <w:tc>
          <w:tcPr>
            <w:tcW w:w="1400" w:type="dxa"/>
            <w:tcBorders>
              <w:top w:val="single" w:color="auto" w:sz="4" w:space="0"/>
              <w:left w:val="single" w:color="auto" w:sz="4" w:space="0"/>
              <w:bottom w:val="single" w:color="auto" w:sz="4" w:space="0"/>
              <w:right w:val="single" w:color="auto" w:sz="4" w:space="0"/>
            </w:tcBorders>
            <w:shd w:val="clear" w:color="auto" w:fill="auto"/>
          </w:tcPr>
          <w:p w14:paraId="354B684F">
            <w:pPr>
              <w:widowControl/>
              <w:jc w:val="center"/>
              <w:rPr>
                <w:rFonts w:eastAsiaTheme="minorEastAsia"/>
                <w:szCs w:val="21"/>
              </w:rPr>
            </w:pPr>
          </w:p>
        </w:tc>
        <w:tc>
          <w:tcPr>
            <w:tcW w:w="1300" w:type="dxa"/>
            <w:tcBorders>
              <w:top w:val="single" w:color="auto" w:sz="4" w:space="0"/>
              <w:left w:val="single" w:color="auto" w:sz="4" w:space="0"/>
              <w:bottom w:val="single" w:color="auto" w:sz="4" w:space="0"/>
              <w:right w:val="single" w:color="auto" w:sz="4" w:space="0"/>
            </w:tcBorders>
            <w:shd w:val="clear" w:color="auto" w:fill="auto"/>
          </w:tcPr>
          <w:p w14:paraId="2D8E1303">
            <w:pPr>
              <w:widowControl/>
              <w:jc w:val="center"/>
              <w:rPr>
                <w:rFonts w:eastAsiaTheme="minorEastAsia"/>
                <w:szCs w:val="21"/>
              </w:rPr>
            </w:pP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162C0683">
            <w:pPr>
              <w:widowControl/>
              <w:jc w:val="center"/>
              <w:rPr>
                <w:rFonts w:eastAsiaTheme="minorEastAsia"/>
                <w:szCs w:val="21"/>
              </w:rPr>
            </w:pPr>
          </w:p>
        </w:tc>
      </w:tr>
      <w:tr w14:paraId="3EA75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0" w:type="dxa"/>
            <w:tcBorders>
              <w:top w:val="single" w:color="auto" w:sz="4" w:space="0"/>
              <w:left w:val="single" w:color="auto" w:sz="4" w:space="0"/>
              <w:bottom w:val="single" w:color="auto" w:sz="4" w:space="0"/>
              <w:right w:val="single" w:color="auto" w:sz="4" w:space="0"/>
            </w:tcBorders>
            <w:shd w:val="clear" w:color="auto" w:fill="auto"/>
          </w:tcPr>
          <w:p w14:paraId="5F8A29D9">
            <w:pPr>
              <w:widowControl/>
              <w:jc w:val="center"/>
              <w:rPr>
                <w:rFonts w:eastAsiaTheme="minorEastAsia"/>
                <w:szCs w:val="21"/>
              </w:rPr>
            </w:pPr>
            <w:r>
              <w:rPr>
                <w:rFonts w:eastAsiaTheme="minorEastAsia"/>
                <w:kern w:val="0"/>
                <w:szCs w:val="21"/>
              </w:rPr>
              <w:t>2</w:t>
            </w:r>
          </w:p>
        </w:tc>
        <w:tc>
          <w:tcPr>
            <w:tcW w:w="1200" w:type="dxa"/>
            <w:tcBorders>
              <w:top w:val="single" w:color="auto" w:sz="4" w:space="0"/>
              <w:left w:val="single" w:color="auto" w:sz="4" w:space="0"/>
              <w:bottom w:val="single" w:color="auto" w:sz="4" w:space="0"/>
              <w:right w:val="single" w:color="auto" w:sz="4" w:space="0"/>
            </w:tcBorders>
            <w:shd w:val="clear" w:color="auto" w:fill="auto"/>
          </w:tcPr>
          <w:p w14:paraId="16F31BD9">
            <w:pPr>
              <w:widowControl/>
              <w:jc w:val="center"/>
              <w:rPr>
                <w:rFonts w:eastAsiaTheme="minorEastAsia"/>
                <w:szCs w:val="21"/>
              </w:rPr>
            </w:pPr>
          </w:p>
        </w:tc>
        <w:tc>
          <w:tcPr>
            <w:tcW w:w="1300" w:type="dxa"/>
            <w:tcBorders>
              <w:top w:val="single" w:color="auto" w:sz="4" w:space="0"/>
              <w:left w:val="single" w:color="auto" w:sz="4" w:space="0"/>
              <w:bottom w:val="single" w:color="auto" w:sz="4" w:space="0"/>
              <w:right w:val="single" w:color="auto" w:sz="4" w:space="0"/>
            </w:tcBorders>
            <w:shd w:val="clear" w:color="auto" w:fill="auto"/>
          </w:tcPr>
          <w:p w14:paraId="3FF46410">
            <w:pPr>
              <w:widowControl/>
              <w:jc w:val="center"/>
              <w:rPr>
                <w:rFonts w:eastAsiaTheme="minorEastAsia"/>
                <w:szCs w:val="21"/>
              </w:rPr>
            </w:pPr>
          </w:p>
        </w:tc>
        <w:tc>
          <w:tcPr>
            <w:tcW w:w="1500" w:type="dxa"/>
            <w:tcBorders>
              <w:top w:val="single" w:color="auto" w:sz="4" w:space="0"/>
              <w:left w:val="single" w:color="auto" w:sz="4" w:space="0"/>
              <w:bottom w:val="single" w:color="auto" w:sz="4" w:space="0"/>
              <w:right w:val="single" w:color="auto" w:sz="4" w:space="0"/>
            </w:tcBorders>
            <w:shd w:val="clear" w:color="auto" w:fill="auto"/>
          </w:tcPr>
          <w:p w14:paraId="32ABF16E">
            <w:pPr>
              <w:widowControl/>
              <w:jc w:val="center"/>
              <w:rPr>
                <w:rFonts w:eastAsiaTheme="minorEastAsia"/>
                <w:szCs w:val="21"/>
              </w:rPr>
            </w:pPr>
          </w:p>
        </w:tc>
        <w:tc>
          <w:tcPr>
            <w:tcW w:w="1400" w:type="dxa"/>
            <w:tcBorders>
              <w:top w:val="single" w:color="auto" w:sz="4" w:space="0"/>
              <w:left w:val="single" w:color="auto" w:sz="4" w:space="0"/>
              <w:bottom w:val="single" w:color="auto" w:sz="4" w:space="0"/>
              <w:right w:val="single" w:color="auto" w:sz="4" w:space="0"/>
            </w:tcBorders>
            <w:shd w:val="clear" w:color="auto" w:fill="auto"/>
          </w:tcPr>
          <w:p w14:paraId="12C41567">
            <w:pPr>
              <w:widowControl/>
              <w:jc w:val="center"/>
              <w:rPr>
                <w:rFonts w:eastAsiaTheme="minorEastAsia"/>
                <w:szCs w:val="21"/>
              </w:rPr>
            </w:pPr>
          </w:p>
        </w:tc>
        <w:tc>
          <w:tcPr>
            <w:tcW w:w="1300" w:type="dxa"/>
            <w:tcBorders>
              <w:top w:val="single" w:color="auto" w:sz="4" w:space="0"/>
              <w:left w:val="single" w:color="auto" w:sz="4" w:space="0"/>
              <w:bottom w:val="single" w:color="auto" w:sz="4" w:space="0"/>
              <w:right w:val="single" w:color="auto" w:sz="4" w:space="0"/>
            </w:tcBorders>
            <w:shd w:val="clear" w:color="auto" w:fill="auto"/>
          </w:tcPr>
          <w:p w14:paraId="25AB1198">
            <w:pPr>
              <w:widowControl/>
              <w:jc w:val="center"/>
              <w:rPr>
                <w:rFonts w:eastAsiaTheme="minorEastAsia"/>
                <w:szCs w:val="21"/>
              </w:rPr>
            </w:pPr>
          </w:p>
        </w:tc>
        <w:tc>
          <w:tcPr>
            <w:tcW w:w="1914" w:type="dxa"/>
            <w:tcBorders>
              <w:top w:val="single" w:color="auto" w:sz="4" w:space="0"/>
              <w:left w:val="single" w:color="auto" w:sz="4" w:space="0"/>
              <w:bottom w:val="single" w:color="auto" w:sz="4" w:space="0"/>
              <w:right w:val="single" w:color="auto" w:sz="4" w:space="0"/>
            </w:tcBorders>
            <w:shd w:val="clear" w:color="auto" w:fill="auto"/>
          </w:tcPr>
          <w:p w14:paraId="72C589D4">
            <w:pPr>
              <w:widowControl/>
              <w:jc w:val="center"/>
              <w:rPr>
                <w:rFonts w:eastAsiaTheme="minorEastAsia"/>
                <w:szCs w:val="21"/>
              </w:rPr>
            </w:pPr>
          </w:p>
        </w:tc>
      </w:tr>
    </w:tbl>
    <w:p w14:paraId="231FE5FC">
      <w:pPr>
        <w:tabs>
          <w:tab w:val="left" w:pos="5103"/>
        </w:tabs>
        <w:spacing w:line="360" w:lineRule="auto"/>
        <w:rPr>
          <w:rFonts w:eastAsiaTheme="minorEastAsia"/>
          <w:sz w:val="24"/>
        </w:rPr>
      </w:pPr>
      <w:r>
        <w:rPr>
          <w:rFonts w:eastAsiaTheme="minorEastAsia"/>
          <w:sz w:val="24"/>
        </w:rPr>
        <w:t>3.3</w:t>
      </w:r>
      <w:r>
        <w:rPr>
          <w:rFonts w:hint="eastAsia" w:eastAsiaTheme="minorEastAsia"/>
          <w:sz w:val="24"/>
          <w:lang w:val="en-US" w:eastAsia="zh-CN"/>
        </w:rPr>
        <w:t xml:space="preserve"> </w:t>
      </w:r>
      <w:r>
        <w:rPr>
          <w:rFonts w:hint="eastAsia"/>
          <w:sz w:val="24"/>
        </w:rPr>
        <w:t>重复性和示值误差</w:t>
      </w:r>
      <w:r>
        <w:rPr>
          <w:rFonts w:eastAsiaTheme="minorEastAsia"/>
          <w:sz w:val="24"/>
        </w:rPr>
        <w:t>：</w:t>
      </w:r>
    </w:p>
    <w:p w14:paraId="509F78F8">
      <w:pPr>
        <w:spacing w:line="360" w:lineRule="auto"/>
        <w:ind w:right="420"/>
        <w:rPr>
          <w:rFonts w:asciiTheme="minorEastAsia" w:hAnsiTheme="minorEastAsia" w:eastAsiaTheme="minorEastAsia"/>
          <w:sz w:val="24"/>
        </w:rPr>
      </w:pPr>
      <w:r>
        <w:rPr>
          <w:rFonts w:hint="eastAsia"/>
          <w:sz w:val="24"/>
        </w:rPr>
        <w:t>3.</w:t>
      </w:r>
      <w:r>
        <w:rPr>
          <w:sz w:val="24"/>
        </w:rPr>
        <w:t>3.1</w:t>
      </w:r>
      <w:r>
        <w:rPr>
          <w:rFonts w:hint="eastAsia"/>
          <w:sz w:val="24"/>
        </w:rPr>
        <w:t xml:space="preserve"> 依据规程核查法：</w:t>
      </w:r>
    </w:p>
    <w:p w14:paraId="1D86E632">
      <w:pPr>
        <w:widowControl/>
        <w:spacing w:beforeLines="50"/>
        <w:ind w:firstLine="2940" w:firstLineChars="1400"/>
        <w:jc w:val="left"/>
        <w:rPr>
          <w:rFonts w:eastAsiaTheme="minorEastAsia"/>
          <w:szCs w:val="21"/>
        </w:rPr>
      </w:pPr>
      <w:r>
        <w:rPr>
          <w:rFonts w:eastAsiaTheme="minorEastAsia"/>
          <w:kern w:val="0"/>
          <w:szCs w:val="21"/>
        </w:rPr>
        <w:t xml:space="preserve">物料试验重复性允差：     %         最大允差：        %             </w:t>
      </w:r>
    </w:p>
    <w:tbl>
      <w:tblPr>
        <w:tblStyle w:val="30"/>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gridCol w:w="1357"/>
        <w:gridCol w:w="1100"/>
        <w:gridCol w:w="1229"/>
        <w:gridCol w:w="1275"/>
        <w:gridCol w:w="1134"/>
        <w:gridCol w:w="1276"/>
      </w:tblGrid>
      <w:tr w14:paraId="7753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trPr>
        <w:tc>
          <w:tcPr>
            <w:tcW w:w="817" w:type="dxa"/>
            <w:tcBorders>
              <w:top w:val="single" w:color="auto" w:sz="4" w:space="0"/>
              <w:left w:val="single" w:color="auto" w:sz="4" w:space="0"/>
              <w:bottom w:val="nil"/>
              <w:right w:val="single" w:color="auto" w:sz="4" w:space="0"/>
            </w:tcBorders>
            <w:shd w:val="clear" w:color="auto" w:fill="auto"/>
            <w:vAlign w:val="center"/>
          </w:tcPr>
          <w:p w14:paraId="7E47D1F5">
            <w:pPr>
              <w:widowControl/>
              <w:jc w:val="center"/>
              <w:rPr>
                <w:rFonts w:eastAsiaTheme="minorEastAsia"/>
                <w:szCs w:val="21"/>
              </w:rPr>
            </w:pPr>
            <w:r>
              <w:rPr>
                <w:rFonts w:eastAsiaTheme="minorEastAsia"/>
                <w:kern w:val="0"/>
                <w:szCs w:val="21"/>
              </w:rPr>
              <w:t>编号</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60DA9DD1">
            <w:pPr>
              <w:widowControl/>
              <w:jc w:val="center"/>
              <w:rPr>
                <w:rFonts w:eastAsiaTheme="minorEastAsia"/>
                <w:szCs w:val="21"/>
              </w:rPr>
            </w:pPr>
            <w:r>
              <w:rPr>
                <w:rFonts w:eastAsiaTheme="minorEastAsia"/>
                <w:kern w:val="0"/>
                <w:szCs w:val="21"/>
              </w:rPr>
              <w:t>皮带秤示值</w:t>
            </w:r>
            <w:r>
              <w:rPr>
                <w:rFonts w:eastAsiaTheme="minorEastAsia"/>
                <w:i/>
                <w:kern w:val="0"/>
                <w:szCs w:val="21"/>
              </w:rPr>
              <w:t>I</w:t>
            </w:r>
            <w:r>
              <w:rPr>
                <w:rFonts w:eastAsiaTheme="minorEastAsia"/>
                <w:iCs/>
                <w:kern w:val="0"/>
                <w:szCs w:val="21"/>
              </w:rPr>
              <w:t>（）</w:t>
            </w:r>
          </w:p>
        </w:tc>
        <w:tc>
          <w:tcPr>
            <w:tcW w:w="1357" w:type="dxa"/>
            <w:tcBorders>
              <w:top w:val="single" w:color="auto" w:sz="4" w:space="0"/>
              <w:left w:val="single" w:color="auto" w:sz="4" w:space="0"/>
              <w:bottom w:val="single" w:color="auto" w:sz="4" w:space="0"/>
              <w:right w:val="single" w:color="auto" w:sz="4" w:space="0"/>
            </w:tcBorders>
            <w:shd w:val="clear" w:color="auto" w:fill="auto"/>
            <w:vAlign w:val="center"/>
          </w:tcPr>
          <w:p w14:paraId="5ECB0CC1">
            <w:pPr>
              <w:widowControl/>
              <w:jc w:val="center"/>
              <w:rPr>
                <w:rFonts w:eastAsiaTheme="minorEastAsia"/>
                <w:kern w:val="0"/>
                <w:szCs w:val="21"/>
              </w:rPr>
            </w:pPr>
            <w:r>
              <w:rPr>
                <w:rFonts w:eastAsiaTheme="minorEastAsia"/>
                <w:kern w:val="0"/>
                <w:szCs w:val="21"/>
              </w:rPr>
              <w:t>控制的载荷</w:t>
            </w:r>
          </w:p>
          <w:p w14:paraId="22B45C2B">
            <w:pPr>
              <w:widowControl/>
              <w:jc w:val="center"/>
              <w:rPr>
                <w:rFonts w:eastAsiaTheme="minorEastAsia"/>
                <w:szCs w:val="21"/>
              </w:rPr>
            </w:pPr>
            <w:r>
              <w:rPr>
                <w:rFonts w:eastAsiaTheme="minorEastAsia"/>
                <w:i/>
                <w:iCs/>
                <w:kern w:val="0"/>
                <w:szCs w:val="21"/>
              </w:rPr>
              <w:t>P</w:t>
            </w:r>
            <w:r>
              <w:rPr>
                <w:rFonts w:eastAsiaTheme="minorEastAsia"/>
                <w:kern w:val="0"/>
                <w:szCs w:val="21"/>
              </w:rPr>
              <w:t>（）</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1D0EFF3A">
            <w:pPr>
              <w:widowControl/>
              <w:jc w:val="center"/>
              <w:rPr>
                <w:rFonts w:eastAsiaTheme="minorEastAsia"/>
                <w:szCs w:val="21"/>
              </w:rPr>
            </w:pPr>
            <w:r>
              <w:rPr>
                <w:rFonts w:eastAsiaTheme="minorEastAsia"/>
                <w:kern w:val="0"/>
                <w:szCs w:val="21"/>
              </w:rPr>
              <w:t>给料流量（ /h）</w:t>
            </w:r>
          </w:p>
        </w:tc>
        <w:tc>
          <w:tcPr>
            <w:tcW w:w="1229" w:type="dxa"/>
            <w:tcBorders>
              <w:top w:val="single" w:color="auto" w:sz="4" w:space="0"/>
              <w:left w:val="single" w:color="auto" w:sz="4" w:space="0"/>
              <w:bottom w:val="nil"/>
              <w:right w:val="single" w:color="auto" w:sz="4" w:space="0"/>
            </w:tcBorders>
            <w:shd w:val="clear" w:color="auto" w:fill="auto"/>
            <w:vAlign w:val="center"/>
          </w:tcPr>
          <w:p w14:paraId="2B29CCAD">
            <w:pPr>
              <w:widowControl/>
              <w:jc w:val="center"/>
              <w:rPr>
                <w:rFonts w:eastAsiaTheme="minorEastAsia"/>
                <w:szCs w:val="21"/>
              </w:rPr>
            </w:pPr>
            <w:r>
              <w:rPr>
                <w:rFonts w:eastAsiaTheme="minorEastAsia"/>
                <w:kern w:val="0"/>
                <w:szCs w:val="21"/>
              </w:rPr>
              <w:t>示值误差</w:t>
            </w:r>
            <w:r>
              <w:rPr>
                <w:rFonts w:eastAsiaTheme="minorEastAsia"/>
                <w:i/>
                <w:kern w:val="0"/>
                <w:szCs w:val="21"/>
              </w:rPr>
              <w:t>I</w:t>
            </w:r>
            <w:r>
              <w:rPr>
                <w:rFonts w:eastAsiaTheme="minorEastAsia"/>
                <w:iCs/>
                <w:kern w:val="0"/>
                <w:szCs w:val="21"/>
              </w:rPr>
              <w:t>-</w:t>
            </w:r>
            <w:r>
              <w:rPr>
                <w:rFonts w:eastAsiaTheme="minorEastAsia"/>
                <w:i/>
                <w:iCs/>
                <w:kern w:val="0"/>
                <w:szCs w:val="21"/>
              </w:rPr>
              <w:t>P</w:t>
            </w:r>
            <w:r>
              <w:rPr>
                <w:rFonts w:eastAsiaTheme="minorEastAsia"/>
                <w:kern w:val="0"/>
                <w:szCs w:val="21"/>
              </w:rPr>
              <w:t>（）</w:t>
            </w:r>
          </w:p>
        </w:tc>
        <w:tc>
          <w:tcPr>
            <w:tcW w:w="1275" w:type="dxa"/>
            <w:tcBorders>
              <w:top w:val="single" w:color="auto" w:sz="4" w:space="0"/>
              <w:left w:val="single" w:color="auto" w:sz="4" w:space="0"/>
              <w:bottom w:val="nil"/>
              <w:right w:val="single" w:color="auto" w:sz="4" w:space="0"/>
            </w:tcBorders>
            <w:shd w:val="clear" w:color="auto" w:fill="auto"/>
            <w:vAlign w:val="center"/>
          </w:tcPr>
          <w:p w14:paraId="04440555">
            <w:pPr>
              <w:widowControl/>
              <w:jc w:val="center"/>
              <w:rPr>
                <w:rFonts w:eastAsiaTheme="minorEastAsia"/>
                <w:szCs w:val="21"/>
              </w:rPr>
            </w:pPr>
            <w:r>
              <w:rPr>
                <w:rFonts w:eastAsiaTheme="minorEastAsia"/>
                <w:kern w:val="0"/>
                <w:szCs w:val="21"/>
              </w:rPr>
              <w:t>相对误差%</w:t>
            </w:r>
          </w:p>
        </w:tc>
        <w:tc>
          <w:tcPr>
            <w:tcW w:w="1134" w:type="dxa"/>
            <w:tcBorders>
              <w:top w:val="single" w:color="auto" w:sz="4" w:space="0"/>
              <w:left w:val="single" w:color="auto" w:sz="4" w:space="0"/>
              <w:bottom w:val="nil"/>
              <w:right w:val="single" w:color="auto" w:sz="4" w:space="0"/>
            </w:tcBorders>
            <w:shd w:val="clear" w:color="auto" w:fill="auto"/>
            <w:vAlign w:val="center"/>
          </w:tcPr>
          <w:p w14:paraId="786C33A7">
            <w:pPr>
              <w:widowControl/>
              <w:jc w:val="center"/>
              <w:rPr>
                <w:rFonts w:eastAsiaTheme="minorEastAsia"/>
                <w:szCs w:val="21"/>
              </w:rPr>
            </w:pPr>
            <w:r>
              <w:rPr>
                <w:rFonts w:eastAsiaTheme="minorEastAsia"/>
                <w:kern w:val="0"/>
                <w:szCs w:val="21"/>
              </w:rPr>
              <w:t>重复性%</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77792089">
            <w:pPr>
              <w:widowControl/>
              <w:jc w:val="center"/>
              <w:rPr>
                <w:rFonts w:eastAsiaTheme="minorEastAsia"/>
                <w:szCs w:val="21"/>
              </w:rPr>
            </w:pPr>
            <w:r>
              <w:rPr>
                <w:rFonts w:eastAsiaTheme="minorEastAsia"/>
                <w:kern w:val="0"/>
                <w:szCs w:val="21"/>
              </w:rPr>
              <w:t>相对误差的平均值%</w:t>
            </w:r>
          </w:p>
        </w:tc>
      </w:tr>
      <w:tr w14:paraId="50AA5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8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A90C39">
            <w:pPr>
              <w:widowControl/>
              <w:jc w:val="center"/>
              <w:rPr>
                <w:rFonts w:eastAsiaTheme="minorEastAsia"/>
                <w:szCs w:val="21"/>
              </w:rPr>
            </w:pPr>
            <w:r>
              <w:rPr>
                <w:rFonts w:eastAsiaTheme="minorEastAsia"/>
                <w:kern w:val="0"/>
                <w:szCs w:val="21"/>
              </w:rPr>
              <w:t>1</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30A1D07">
            <w:pPr>
              <w:widowControl/>
              <w:jc w:val="right"/>
              <w:textAlignment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1FF3A737">
            <w:pPr>
              <w:widowControl/>
              <w:jc w:val="center"/>
              <w:rPr>
                <w:rFonts w:eastAsiaTheme="minorEastAsia"/>
                <w:szCs w:val="21"/>
              </w:rPr>
            </w:pPr>
          </w:p>
        </w:tc>
        <w:tc>
          <w:tcPr>
            <w:tcW w:w="1100" w:type="dxa"/>
            <w:vMerge w:val="restart"/>
            <w:tcBorders>
              <w:top w:val="nil"/>
              <w:left w:val="single" w:color="auto" w:sz="4" w:space="0"/>
              <w:bottom w:val="single" w:color="auto" w:sz="4" w:space="0"/>
              <w:right w:val="single" w:color="auto" w:sz="4" w:space="0"/>
            </w:tcBorders>
            <w:shd w:val="clear" w:color="auto" w:fill="auto"/>
            <w:vAlign w:val="center"/>
          </w:tcPr>
          <w:p w14:paraId="43503142">
            <w:pPr>
              <w:widowControl/>
              <w:jc w:val="cente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1B8F5970">
            <w:pPr>
              <w:widowControl/>
              <w:jc w:val="right"/>
              <w:textAlignment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B769CA2">
            <w:pPr>
              <w:widowControl/>
              <w:jc w:val="right"/>
              <w:textAlignment w:val="center"/>
              <w:rPr>
                <w:rFonts w:eastAsiaTheme="minorEastAsia"/>
                <w:szCs w:val="21"/>
              </w:rPr>
            </w:pP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1DCFDF">
            <w:pPr>
              <w:widowControl/>
              <w:jc w:val="center"/>
              <w:rPr>
                <w:rFonts w:eastAsiaTheme="minorEastAsia"/>
                <w:szCs w:val="21"/>
              </w:rPr>
            </w:pP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47E38823">
            <w:pPr>
              <w:widowControl/>
              <w:jc w:val="center"/>
              <w:rPr>
                <w:rFonts w:eastAsiaTheme="minorEastAsia"/>
                <w:szCs w:val="21"/>
              </w:rPr>
            </w:pPr>
          </w:p>
        </w:tc>
      </w:tr>
      <w:tr w14:paraId="68B89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96C64B">
            <w:pPr>
              <w:rPr>
                <w:rFonts w:eastAsiaTheme="minorEastAsia"/>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DD4C88E">
            <w:pPr>
              <w:widowControl/>
              <w:jc w:val="right"/>
              <w:textAlignment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6FCA8375">
            <w:pPr>
              <w:rPr>
                <w:rFonts w:eastAsiaTheme="minorEastAsia"/>
                <w:szCs w:val="21"/>
              </w:rPr>
            </w:pPr>
          </w:p>
        </w:tc>
        <w:tc>
          <w:tcPr>
            <w:tcW w:w="1100" w:type="dxa"/>
            <w:vMerge w:val="continue"/>
            <w:tcBorders>
              <w:top w:val="nil"/>
              <w:left w:val="single" w:color="auto" w:sz="4" w:space="0"/>
              <w:bottom w:val="single" w:color="auto" w:sz="4" w:space="0"/>
              <w:right w:val="single" w:color="auto" w:sz="4" w:space="0"/>
            </w:tcBorders>
            <w:shd w:val="clear" w:color="auto" w:fill="auto"/>
            <w:vAlign w:val="center"/>
          </w:tcPr>
          <w:p w14:paraId="2C4EF116">
            <w:pP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156FBCCA">
            <w:pPr>
              <w:widowControl/>
              <w:jc w:val="right"/>
              <w:textAlignment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1B48D2F0">
            <w:pPr>
              <w:widowControl/>
              <w:jc w:val="right"/>
              <w:textAlignment w:val="center"/>
              <w:rPr>
                <w:rFonts w:eastAsiaTheme="minorEastAsia"/>
                <w:szCs w:val="21"/>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66E8741">
            <w:pPr>
              <w:rPr>
                <w:rFonts w:eastAsiaTheme="minorEastAsia"/>
                <w:szCs w:val="21"/>
              </w:rPr>
            </w:pPr>
          </w:p>
        </w:tc>
        <w:tc>
          <w:tcPr>
            <w:tcW w:w="1276" w:type="dxa"/>
            <w:vMerge w:val="continue"/>
            <w:tcBorders>
              <w:top w:val="nil"/>
              <w:left w:val="single" w:color="auto" w:sz="4" w:space="0"/>
              <w:bottom w:val="single" w:color="auto" w:sz="4" w:space="0"/>
              <w:right w:val="single" w:color="auto" w:sz="4" w:space="0"/>
            </w:tcBorders>
            <w:shd w:val="clear" w:color="auto" w:fill="auto"/>
            <w:vAlign w:val="center"/>
          </w:tcPr>
          <w:p w14:paraId="2775F2D9">
            <w:pPr>
              <w:rPr>
                <w:rFonts w:eastAsiaTheme="minorEastAsia"/>
                <w:szCs w:val="21"/>
              </w:rPr>
            </w:pPr>
          </w:p>
        </w:tc>
      </w:tr>
      <w:tr w14:paraId="4068D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8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4EAD66">
            <w:pPr>
              <w:rPr>
                <w:rFonts w:eastAsiaTheme="minorEastAsia"/>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AE3ECB4">
            <w:pPr>
              <w:widowControl/>
              <w:jc w:val="right"/>
              <w:textAlignment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0918726A">
            <w:pPr>
              <w:rPr>
                <w:rFonts w:eastAsiaTheme="minorEastAsia"/>
                <w:szCs w:val="21"/>
              </w:rPr>
            </w:pPr>
          </w:p>
        </w:tc>
        <w:tc>
          <w:tcPr>
            <w:tcW w:w="1100" w:type="dxa"/>
            <w:vMerge w:val="continue"/>
            <w:tcBorders>
              <w:top w:val="nil"/>
              <w:left w:val="single" w:color="auto" w:sz="4" w:space="0"/>
              <w:bottom w:val="single" w:color="auto" w:sz="4" w:space="0"/>
              <w:right w:val="single" w:color="auto" w:sz="4" w:space="0"/>
            </w:tcBorders>
            <w:shd w:val="clear" w:color="auto" w:fill="auto"/>
            <w:vAlign w:val="center"/>
          </w:tcPr>
          <w:p w14:paraId="0ECA9D05">
            <w:pP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23BEF6E7">
            <w:pPr>
              <w:widowControl/>
              <w:jc w:val="right"/>
              <w:textAlignment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6232F1E5">
            <w:pPr>
              <w:widowControl/>
              <w:jc w:val="right"/>
              <w:textAlignment w:val="center"/>
              <w:rPr>
                <w:rFonts w:eastAsiaTheme="minorEastAsia"/>
                <w:szCs w:val="21"/>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A58FDBD">
            <w:pPr>
              <w:rPr>
                <w:rFonts w:eastAsiaTheme="minorEastAsia"/>
                <w:szCs w:val="21"/>
              </w:rPr>
            </w:pPr>
          </w:p>
        </w:tc>
        <w:tc>
          <w:tcPr>
            <w:tcW w:w="1276" w:type="dxa"/>
            <w:vMerge w:val="continue"/>
            <w:tcBorders>
              <w:top w:val="nil"/>
              <w:left w:val="single" w:color="auto" w:sz="4" w:space="0"/>
              <w:bottom w:val="single" w:color="auto" w:sz="4" w:space="0"/>
              <w:right w:val="single" w:color="auto" w:sz="4" w:space="0"/>
            </w:tcBorders>
            <w:shd w:val="clear" w:color="auto" w:fill="auto"/>
            <w:vAlign w:val="center"/>
          </w:tcPr>
          <w:p w14:paraId="647C145B">
            <w:pPr>
              <w:rPr>
                <w:rFonts w:eastAsiaTheme="minorEastAsia"/>
                <w:szCs w:val="21"/>
              </w:rPr>
            </w:pPr>
          </w:p>
        </w:tc>
      </w:tr>
      <w:tr w14:paraId="58039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817" w:type="dxa"/>
            <w:vMerge w:val="restart"/>
            <w:tcBorders>
              <w:top w:val="nil"/>
              <w:left w:val="single" w:color="auto" w:sz="4" w:space="0"/>
              <w:bottom w:val="single" w:color="auto" w:sz="4" w:space="0"/>
              <w:right w:val="single" w:color="auto" w:sz="4" w:space="0"/>
            </w:tcBorders>
            <w:shd w:val="clear" w:color="auto" w:fill="auto"/>
            <w:vAlign w:val="center"/>
          </w:tcPr>
          <w:p w14:paraId="147D30AA">
            <w:pPr>
              <w:widowControl/>
              <w:jc w:val="center"/>
              <w:rPr>
                <w:rFonts w:eastAsiaTheme="minorEastAsia"/>
                <w:szCs w:val="21"/>
              </w:rPr>
            </w:pPr>
            <w:r>
              <w:rPr>
                <w:rFonts w:eastAsiaTheme="minorEastAsia"/>
                <w:kern w:val="0"/>
                <w:szCs w:val="21"/>
              </w:rPr>
              <w:t>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0E90F30">
            <w:pPr>
              <w:widowControl/>
              <w:jc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47E8E1BF">
            <w:pPr>
              <w:widowControl/>
              <w:jc w:val="center"/>
              <w:rPr>
                <w:rFonts w:eastAsiaTheme="minorEastAsia"/>
                <w:szCs w:val="21"/>
              </w:rPr>
            </w:pPr>
          </w:p>
        </w:tc>
        <w:tc>
          <w:tcPr>
            <w:tcW w:w="1100" w:type="dxa"/>
            <w:vMerge w:val="restart"/>
            <w:tcBorders>
              <w:top w:val="nil"/>
              <w:left w:val="single" w:color="auto" w:sz="4" w:space="0"/>
              <w:bottom w:val="single" w:color="auto" w:sz="4" w:space="0"/>
              <w:right w:val="single" w:color="auto" w:sz="4" w:space="0"/>
            </w:tcBorders>
            <w:shd w:val="clear" w:color="auto" w:fill="auto"/>
            <w:vAlign w:val="center"/>
          </w:tcPr>
          <w:p w14:paraId="55E76717">
            <w:pPr>
              <w:widowControl/>
              <w:jc w:val="cente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247D0C50">
            <w:pPr>
              <w:widowControl/>
              <w:jc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A5C9707">
            <w:pPr>
              <w:widowControl/>
              <w:jc w:val="center"/>
              <w:rPr>
                <w:rFonts w:eastAsiaTheme="minorEastAsia"/>
                <w:szCs w:val="21"/>
              </w:rPr>
            </w:pPr>
          </w:p>
        </w:tc>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7A988C59">
            <w:pPr>
              <w:widowControl/>
              <w:jc w:val="center"/>
              <w:rPr>
                <w:rFonts w:eastAsiaTheme="minorEastAsia"/>
                <w:szCs w:val="21"/>
              </w:rPr>
            </w:pP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2EE40981">
            <w:pPr>
              <w:widowControl/>
              <w:jc w:val="center"/>
              <w:rPr>
                <w:rFonts w:eastAsiaTheme="minorEastAsia"/>
                <w:szCs w:val="21"/>
              </w:rPr>
            </w:pPr>
          </w:p>
        </w:tc>
      </w:tr>
      <w:tr w14:paraId="6664F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17" w:type="dxa"/>
            <w:vMerge w:val="continue"/>
            <w:tcBorders>
              <w:top w:val="nil"/>
              <w:left w:val="single" w:color="auto" w:sz="4" w:space="0"/>
              <w:bottom w:val="single" w:color="auto" w:sz="4" w:space="0"/>
              <w:right w:val="single" w:color="auto" w:sz="4" w:space="0"/>
            </w:tcBorders>
            <w:shd w:val="clear" w:color="auto" w:fill="auto"/>
            <w:vAlign w:val="center"/>
          </w:tcPr>
          <w:p w14:paraId="35E5F486">
            <w:pPr>
              <w:rPr>
                <w:rFonts w:eastAsiaTheme="minorEastAsia"/>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873E44A">
            <w:pPr>
              <w:widowControl/>
              <w:jc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770BE99D">
            <w:pPr>
              <w:rPr>
                <w:rFonts w:eastAsiaTheme="minorEastAsia"/>
                <w:szCs w:val="21"/>
              </w:rPr>
            </w:pPr>
          </w:p>
        </w:tc>
        <w:tc>
          <w:tcPr>
            <w:tcW w:w="1100" w:type="dxa"/>
            <w:vMerge w:val="continue"/>
            <w:tcBorders>
              <w:top w:val="nil"/>
              <w:left w:val="single" w:color="auto" w:sz="4" w:space="0"/>
              <w:bottom w:val="single" w:color="auto" w:sz="4" w:space="0"/>
              <w:right w:val="single" w:color="auto" w:sz="4" w:space="0"/>
            </w:tcBorders>
            <w:shd w:val="clear" w:color="auto" w:fill="auto"/>
            <w:vAlign w:val="center"/>
          </w:tcPr>
          <w:p w14:paraId="02BAC290">
            <w:pP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7FDB0F04">
            <w:pPr>
              <w:widowControl/>
              <w:jc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3DEEE59">
            <w:pPr>
              <w:widowControl/>
              <w:jc w:val="center"/>
              <w:rPr>
                <w:rFonts w:eastAsiaTheme="minorEastAsia"/>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vAlign w:val="center"/>
          </w:tcPr>
          <w:p w14:paraId="5F2952AF">
            <w:pPr>
              <w:rPr>
                <w:rFonts w:eastAsiaTheme="minorEastAsia"/>
                <w:szCs w:val="21"/>
              </w:rPr>
            </w:pPr>
          </w:p>
        </w:tc>
        <w:tc>
          <w:tcPr>
            <w:tcW w:w="1276" w:type="dxa"/>
            <w:vMerge w:val="continue"/>
            <w:tcBorders>
              <w:top w:val="nil"/>
              <w:left w:val="single" w:color="auto" w:sz="4" w:space="0"/>
              <w:bottom w:val="single" w:color="auto" w:sz="4" w:space="0"/>
              <w:right w:val="single" w:color="auto" w:sz="4" w:space="0"/>
            </w:tcBorders>
            <w:shd w:val="clear" w:color="auto" w:fill="auto"/>
            <w:vAlign w:val="center"/>
          </w:tcPr>
          <w:p w14:paraId="6E26B33B">
            <w:pPr>
              <w:rPr>
                <w:rFonts w:eastAsiaTheme="minorEastAsia"/>
                <w:szCs w:val="21"/>
              </w:rPr>
            </w:pPr>
          </w:p>
        </w:tc>
      </w:tr>
      <w:tr w14:paraId="3B819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817" w:type="dxa"/>
            <w:vMerge w:val="continue"/>
            <w:tcBorders>
              <w:top w:val="nil"/>
              <w:left w:val="single" w:color="auto" w:sz="4" w:space="0"/>
              <w:bottom w:val="single" w:color="auto" w:sz="4" w:space="0"/>
              <w:right w:val="single" w:color="auto" w:sz="4" w:space="0"/>
            </w:tcBorders>
            <w:shd w:val="clear" w:color="auto" w:fill="auto"/>
            <w:vAlign w:val="center"/>
          </w:tcPr>
          <w:p w14:paraId="273816EF">
            <w:pPr>
              <w:rPr>
                <w:rFonts w:eastAsiaTheme="minorEastAsia"/>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590C417">
            <w:pPr>
              <w:widowControl/>
              <w:jc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0E5AC9F1">
            <w:pPr>
              <w:rPr>
                <w:rFonts w:eastAsiaTheme="minorEastAsia"/>
                <w:szCs w:val="21"/>
              </w:rPr>
            </w:pPr>
          </w:p>
        </w:tc>
        <w:tc>
          <w:tcPr>
            <w:tcW w:w="1100" w:type="dxa"/>
            <w:vMerge w:val="continue"/>
            <w:tcBorders>
              <w:top w:val="nil"/>
              <w:left w:val="single" w:color="auto" w:sz="4" w:space="0"/>
              <w:bottom w:val="single" w:color="auto" w:sz="4" w:space="0"/>
              <w:right w:val="single" w:color="auto" w:sz="4" w:space="0"/>
            </w:tcBorders>
            <w:shd w:val="clear" w:color="auto" w:fill="auto"/>
            <w:vAlign w:val="center"/>
          </w:tcPr>
          <w:p w14:paraId="0E36B25A">
            <w:pP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2B0FDD83">
            <w:pPr>
              <w:widowControl/>
              <w:jc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789A9CA1">
            <w:pPr>
              <w:widowControl/>
              <w:jc w:val="center"/>
              <w:rPr>
                <w:rFonts w:eastAsiaTheme="minorEastAsia"/>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vAlign w:val="center"/>
          </w:tcPr>
          <w:p w14:paraId="3F18B0C6">
            <w:pPr>
              <w:rPr>
                <w:rFonts w:eastAsiaTheme="minorEastAsia"/>
                <w:szCs w:val="21"/>
              </w:rPr>
            </w:pPr>
          </w:p>
        </w:tc>
        <w:tc>
          <w:tcPr>
            <w:tcW w:w="1276" w:type="dxa"/>
            <w:vMerge w:val="continue"/>
            <w:tcBorders>
              <w:top w:val="nil"/>
              <w:left w:val="single" w:color="auto" w:sz="4" w:space="0"/>
              <w:bottom w:val="single" w:color="auto" w:sz="4" w:space="0"/>
              <w:right w:val="single" w:color="auto" w:sz="4" w:space="0"/>
            </w:tcBorders>
            <w:shd w:val="clear" w:color="auto" w:fill="auto"/>
            <w:vAlign w:val="center"/>
          </w:tcPr>
          <w:p w14:paraId="1076290D">
            <w:pPr>
              <w:rPr>
                <w:rFonts w:eastAsiaTheme="minorEastAsia"/>
                <w:szCs w:val="21"/>
              </w:rPr>
            </w:pPr>
          </w:p>
        </w:tc>
      </w:tr>
      <w:tr w14:paraId="5B1C2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817" w:type="dxa"/>
            <w:vMerge w:val="restart"/>
            <w:tcBorders>
              <w:top w:val="nil"/>
              <w:left w:val="single" w:color="auto" w:sz="4" w:space="0"/>
              <w:bottom w:val="single" w:color="auto" w:sz="4" w:space="0"/>
              <w:right w:val="single" w:color="auto" w:sz="4" w:space="0"/>
            </w:tcBorders>
            <w:shd w:val="clear" w:color="auto" w:fill="auto"/>
            <w:vAlign w:val="center"/>
          </w:tcPr>
          <w:p w14:paraId="68069E7B">
            <w:pPr>
              <w:widowControl/>
              <w:jc w:val="center"/>
              <w:rPr>
                <w:rFonts w:eastAsiaTheme="minorEastAsia"/>
                <w:szCs w:val="21"/>
              </w:rPr>
            </w:pPr>
            <w:r>
              <w:rPr>
                <w:rFonts w:eastAsiaTheme="minorEastAsia"/>
                <w:kern w:val="0"/>
                <w:szCs w:val="21"/>
              </w:rPr>
              <w:t>3</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3A7B5F1">
            <w:pPr>
              <w:widowControl/>
              <w:jc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4A3AD51D">
            <w:pPr>
              <w:widowControl/>
              <w:jc w:val="center"/>
              <w:rPr>
                <w:rFonts w:eastAsiaTheme="minorEastAsia"/>
                <w:szCs w:val="21"/>
              </w:rPr>
            </w:pPr>
          </w:p>
        </w:tc>
        <w:tc>
          <w:tcPr>
            <w:tcW w:w="1100" w:type="dxa"/>
            <w:vMerge w:val="restart"/>
            <w:tcBorders>
              <w:top w:val="nil"/>
              <w:left w:val="single" w:color="auto" w:sz="4" w:space="0"/>
              <w:bottom w:val="single" w:color="auto" w:sz="4" w:space="0"/>
              <w:right w:val="single" w:color="auto" w:sz="4" w:space="0"/>
            </w:tcBorders>
            <w:shd w:val="clear" w:color="auto" w:fill="auto"/>
            <w:vAlign w:val="center"/>
          </w:tcPr>
          <w:p w14:paraId="6A3B22D7">
            <w:pPr>
              <w:widowControl/>
              <w:jc w:val="cente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136D5EAE">
            <w:pPr>
              <w:widowControl/>
              <w:jc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2468585">
            <w:pPr>
              <w:widowControl/>
              <w:jc w:val="center"/>
              <w:rPr>
                <w:rFonts w:eastAsiaTheme="minorEastAsia"/>
                <w:szCs w:val="21"/>
              </w:rPr>
            </w:pPr>
          </w:p>
        </w:tc>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11FDB399">
            <w:pPr>
              <w:widowControl/>
              <w:jc w:val="center"/>
              <w:rPr>
                <w:rFonts w:eastAsiaTheme="minorEastAsia"/>
                <w:szCs w:val="21"/>
              </w:rPr>
            </w:pP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15C4FBCD">
            <w:pPr>
              <w:widowControl/>
              <w:jc w:val="center"/>
              <w:rPr>
                <w:rFonts w:eastAsiaTheme="minorEastAsia"/>
                <w:szCs w:val="21"/>
              </w:rPr>
            </w:pPr>
          </w:p>
        </w:tc>
      </w:tr>
      <w:tr w14:paraId="2A78B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17" w:type="dxa"/>
            <w:vMerge w:val="continue"/>
            <w:tcBorders>
              <w:top w:val="nil"/>
              <w:left w:val="single" w:color="auto" w:sz="4" w:space="0"/>
              <w:bottom w:val="single" w:color="auto" w:sz="4" w:space="0"/>
              <w:right w:val="single" w:color="auto" w:sz="4" w:space="0"/>
            </w:tcBorders>
            <w:shd w:val="clear" w:color="auto" w:fill="auto"/>
            <w:vAlign w:val="center"/>
          </w:tcPr>
          <w:p w14:paraId="7CCD1369">
            <w:pPr>
              <w:rPr>
                <w:rFonts w:eastAsiaTheme="minorEastAsia"/>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3153597E">
            <w:pPr>
              <w:widowControl/>
              <w:jc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75914B13">
            <w:pPr>
              <w:rPr>
                <w:rFonts w:eastAsiaTheme="minorEastAsia"/>
                <w:szCs w:val="21"/>
              </w:rPr>
            </w:pPr>
          </w:p>
        </w:tc>
        <w:tc>
          <w:tcPr>
            <w:tcW w:w="1100" w:type="dxa"/>
            <w:vMerge w:val="continue"/>
            <w:tcBorders>
              <w:top w:val="nil"/>
              <w:left w:val="single" w:color="auto" w:sz="4" w:space="0"/>
              <w:bottom w:val="single" w:color="auto" w:sz="4" w:space="0"/>
              <w:right w:val="single" w:color="auto" w:sz="4" w:space="0"/>
            </w:tcBorders>
            <w:shd w:val="clear" w:color="auto" w:fill="auto"/>
            <w:vAlign w:val="center"/>
          </w:tcPr>
          <w:p w14:paraId="36B54713">
            <w:pP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2E03B307">
            <w:pPr>
              <w:widowControl/>
              <w:jc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406C438D">
            <w:pPr>
              <w:widowControl/>
              <w:jc w:val="center"/>
              <w:rPr>
                <w:rFonts w:eastAsiaTheme="minorEastAsia"/>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vAlign w:val="center"/>
          </w:tcPr>
          <w:p w14:paraId="75AD63CE">
            <w:pPr>
              <w:rPr>
                <w:rFonts w:eastAsiaTheme="minorEastAsia"/>
                <w:szCs w:val="21"/>
              </w:rPr>
            </w:pPr>
          </w:p>
        </w:tc>
        <w:tc>
          <w:tcPr>
            <w:tcW w:w="1276" w:type="dxa"/>
            <w:vMerge w:val="continue"/>
            <w:tcBorders>
              <w:top w:val="nil"/>
              <w:left w:val="single" w:color="auto" w:sz="4" w:space="0"/>
              <w:bottom w:val="single" w:color="auto" w:sz="4" w:space="0"/>
              <w:right w:val="single" w:color="auto" w:sz="4" w:space="0"/>
            </w:tcBorders>
            <w:shd w:val="clear" w:color="auto" w:fill="auto"/>
            <w:vAlign w:val="center"/>
          </w:tcPr>
          <w:p w14:paraId="1445A523">
            <w:pPr>
              <w:rPr>
                <w:rFonts w:eastAsiaTheme="minorEastAsia"/>
                <w:szCs w:val="21"/>
              </w:rPr>
            </w:pPr>
          </w:p>
        </w:tc>
      </w:tr>
      <w:tr w14:paraId="56E90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817" w:type="dxa"/>
            <w:vMerge w:val="continue"/>
            <w:tcBorders>
              <w:top w:val="nil"/>
              <w:left w:val="single" w:color="auto" w:sz="4" w:space="0"/>
              <w:bottom w:val="single" w:color="auto" w:sz="4" w:space="0"/>
              <w:right w:val="single" w:color="auto" w:sz="4" w:space="0"/>
            </w:tcBorders>
            <w:shd w:val="clear" w:color="auto" w:fill="auto"/>
            <w:vAlign w:val="center"/>
          </w:tcPr>
          <w:p w14:paraId="5A41C4BC">
            <w:pPr>
              <w:rPr>
                <w:rFonts w:eastAsiaTheme="minorEastAsia"/>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4DCB06FE">
            <w:pPr>
              <w:widowControl/>
              <w:jc w:val="center"/>
              <w:rPr>
                <w:rFonts w:eastAsiaTheme="minorEastAsia"/>
                <w:szCs w:val="21"/>
              </w:rPr>
            </w:pPr>
          </w:p>
        </w:tc>
        <w:tc>
          <w:tcPr>
            <w:tcW w:w="1357" w:type="dxa"/>
            <w:tcBorders>
              <w:top w:val="nil"/>
              <w:left w:val="single" w:color="auto" w:sz="4" w:space="0"/>
              <w:bottom w:val="single" w:color="auto" w:sz="4" w:space="0"/>
              <w:right w:val="single" w:color="auto" w:sz="4" w:space="0"/>
            </w:tcBorders>
            <w:shd w:val="clear" w:color="auto" w:fill="auto"/>
            <w:vAlign w:val="center"/>
          </w:tcPr>
          <w:p w14:paraId="76173F78">
            <w:pPr>
              <w:rPr>
                <w:rFonts w:eastAsiaTheme="minorEastAsia"/>
                <w:szCs w:val="21"/>
              </w:rPr>
            </w:pPr>
          </w:p>
        </w:tc>
        <w:tc>
          <w:tcPr>
            <w:tcW w:w="1100" w:type="dxa"/>
            <w:vMerge w:val="continue"/>
            <w:tcBorders>
              <w:top w:val="nil"/>
              <w:left w:val="single" w:color="auto" w:sz="4" w:space="0"/>
              <w:bottom w:val="single" w:color="auto" w:sz="4" w:space="0"/>
              <w:right w:val="single" w:color="auto" w:sz="4" w:space="0"/>
            </w:tcBorders>
            <w:shd w:val="clear" w:color="auto" w:fill="auto"/>
            <w:vAlign w:val="center"/>
          </w:tcPr>
          <w:p w14:paraId="53252D51">
            <w:pPr>
              <w:rPr>
                <w:rFonts w:eastAsiaTheme="minorEastAsia"/>
                <w:szCs w:val="21"/>
              </w:rPr>
            </w:pPr>
          </w:p>
        </w:tc>
        <w:tc>
          <w:tcPr>
            <w:tcW w:w="1229" w:type="dxa"/>
            <w:tcBorders>
              <w:top w:val="single" w:color="auto" w:sz="4" w:space="0"/>
              <w:left w:val="single" w:color="auto" w:sz="4" w:space="0"/>
              <w:bottom w:val="single" w:color="auto" w:sz="4" w:space="0"/>
              <w:right w:val="single" w:color="auto" w:sz="4" w:space="0"/>
            </w:tcBorders>
            <w:shd w:val="clear" w:color="auto" w:fill="auto"/>
            <w:vAlign w:val="center"/>
          </w:tcPr>
          <w:p w14:paraId="7A1035F1">
            <w:pPr>
              <w:widowControl/>
              <w:jc w:val="center"/>
              <w:rPr>
                <w:rFonts w:eastAsiaTheme="minorEastAsia"/>
                <w:szCs w:val="21"/>
              </w:rPr>
            </w:pP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2E07465A">
            <w:pPr>
              <w:widowControl/>
              <w:jc w:val="center"/>
              <w:rPr>
                <w:rFonts w:eastAsiaTheme="minorEastAsia"/>
                <w:szCs w:val="21"/>
              </w:rPr>
            </w:pPr>
          </w:p>
        </w:tc>
        <w:tc>
          <w:tcPr>
            <w:tcW w:w="1134" w:type="dxa"/>
            <w:vMerge w:val="continue"/>
            <w:tcBorders>
              <w:top w:val="nil"/>
              <w:left w:val="single" w:color="auto" w:sz="4" w:space="0"/>
              <w:bottom w:val="single" w:color="auto" w:sz="4" w:space="0"/>
              <w:right w:val="single" w:color="auto" w:sz="4" w:space="0"/>
            </w:tcBorders>
            <w:shd w:val="clear" w:color="auto" w:fill="auto"/>
            <w:vAlign w:val="center"/>
          </w:tcPr>
          <w:p w14:paraId="2A71E1D9">
            <w:pPr>
              <w:rPr>
                <w:rFonts w:eastAsiaTheme="minorEastAsia"/>
                <w:szCs w:val="21"/>
              </w:rPr>
            </w:pPr>
          </w:p>
        </w:tc>
        <w:tc>
          <w:tcPr>
            <w:tcW w:w="1276" w:type="dxa"/>
            <w:vMerge w:val="continue"/>
            <w:tcBorders>
              <w:top w:val="nil"/>
              <w:left w:val="single" w:color="auto" w:sz="4" w:space="0"/>
              <w:bottom w:val="single" w:color="auto" w:sz="4" w:space="0"/>
              <w:right w:val="single" w:color="auto" w:sz="4" w:space="0"/>
            </w:tcBorders>
            <w:shd w:val="clear" w:color="auto" w:fill="auto"/>
            <w:vAlign w:val="center"/>
          </w:tcPr>
          <w:p w14:paraId="096B1002">
            <w:pPr>
              <w:rPr>
                <w:rFonts w:eastAsiaTheme="minorEastAsia"/>
                <w:szCs w:val="21"/>
              </w:rPr>
            </w:pPr>
          </w:p>
        </w:tc>
      </w:tr>
    </w:tbl>
    <w:p w14:paraId="413CB8AA">
      <w:pPr>
        <w:spacing w:line="360" w:lineRule="auto"/>
        <w:ind w:right="420"/>
        <w:rPr>
          <w:sz w:val="24"/>
        </w:rPr>
      </w:pPr>
      <w:r>
        <w:rPr>
          <w:rFonts w:hint="eastAsia"/>
          <w:sz w:val="24"/>
        </w:rPr>
        <w:t>3.</w:t>
      </w:r>
      <w:r>
        <w:rPr>
          <w:sz w:val="24"/>
        </w:rPr>
        <w:t>3.2</w:t>
      </w:r>
      <w:r>
        <w:rPr>
          <w:rFonts w:hint="eastAsia"/>
          <w:sz w:val="24"/>
        </w:rPr>
        <w:t xml:space="preserve"> 基于物料校验参数修正的模拟载荷核查法：</w:t>
      </w:r>
    </w:p>
    <w:p w14:paraId="34D1B189">
      <w:pPr>
        <w:spacing w:line="360" w:lineRule="auto"/>
        <w:ind w:right="420"/>
        <w:rPr>
          <w:rFonts w:asciiTheme="minorEastAsia" w:hAnsiTheme="minorEastAsia" w:eastAsiaTheme="minorEastAsia"/>
          <w:sz w:val="24"/>
        </w:rPr>
      </w:pPr>
      <w:r>
        <w:rPr>
          <w:rFonts w:hint="eastAsia" w:asciiTheme="minorEastAsia" w:hAnsiTheme="minorEastAsia" w:eastAsiaTheme="minorEastAsia"/>
          <w:sz w:val="24"/>
        </w:rPr>
        <w:t>皮带秤日常校准试验：</w:t>
      </w:r>
    </w:p>
    <w:p w14:paraId="1A575320">
      <w:pPr>
        <w:ind w:firstLine="4410" w:firstLineChars="2100"/>
      </w:pPr>
      <w:r>
        <w:t xml:space="preserve">重复性允差：       %    最大允差：     %  </w:t>
      </w:r>
    </w:p>
    <w:tbl>
      <w:tblPr>
        <w:tblStyle w:val="30"/>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140"/>
        <w:gridCol w:w="1470"/>
        <w:gridCol w:w="1230"/>
        <w:gridCol w:w="1560"/>
        <w:gridCol w:w="1134"/>
        <w:gridCol w:w="1984"/>
      </w:tblGrid>
      <w:tr w14:paraId="24ECD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trPr>
        <w:tc>
          <w:tcPr>
            <w:tcW w:w="804" w:type="dxa"/>
            <w:tcBorders>
              <w:bottom w:val="nil"/>
            </w:tcBorders>
            <w:vAlign w:val="center"/>
          </w:tcPr>
          <w:p w14:paraId="5FDF4532">
            <w:pPr>
              <w:jc w:val="center"/>
            </w:pPr>
            <w:r>
              <w:rPr>
                <w:rFonts w:hint="eastAsia"/>
              </w:rPr>
              <w:t>流量</w:t>
            </w:r>
          </w:p>
        </w:tc>
        <w:tc>
          <w:tcPr>
            <w:tcW w:w="1140" w:type="dxa"/>
            <w:tcBorders>
              <w:bottom w:val="single" w:color="auto" w:sz="4" w:space="0"/>
            </w:tcBorders>
            <w:vAlign w:val="center"/>
          </w:tcPr>
          <w:p w14:paraId="274D734A">
            <w:pPr>
              <w:jc w:val="center"/>
            </w:pPr>
            <w:r>
              <w:t>皮带秤示值</w:t>
            </w:r>
            <w:r>
              <w:rPr>
                <w:i/>
              </w:rPr>
              <w:t>I</w:t>
            </w:r>
            <w:r>
              <w:rPr>
                <w:iCs/>
              </w:rPr>
              <w:t>（）</w:t>
            </w:r>
          </w:p>
        </w:tc>
        <w:tc>
          <w:tcPr>
            <w:tcW w:w="1470" w:type="dxa"/>
            <w:tcBorders>
              <w:bottom w:val="single" w:color="auto" w:sz="4" w:space="0"/>
            </w:tcBorders>
            <w:vAlign w:val="center"/>
          </w:tcPr>
          <w:p w14:paraId="733BEB71">
            <w:pPr>
              <w:jc w:val="center"/>
            </w:pPr>
            <w:r>
              <w:t>模拟载荷装置的示值</w:t>
            </w:r>
            <w:r>
              <w:rPr>
                <w:i/>
                <w:iCs/>
              </w:rPr>
              <w:t>T</w:t>
            </w:r>
            <w:r>
              <w:t>（）</w:t>
            </w:r>
          </w:p>
        </w:tc>
        <w:tc>
          <w:tcPr>
            <w:tcW w:w="1230" w:type="dxa"/>
            <w:tcBorders>
              <w:bottom w:val="nil"/>
            </w:tcBorders>
            <w:vAlign w:val="center"/>
          </w:tcPr>
          <w:p w14:paraId="556218EE">
            <w:pPr>
              <w:jc w:val="center"/>
            </w:pPr>
            <w:r>
              <w:t>示值误差</w:t>
            </w:r>
            <w:r>
              <w:rPr>
                <w:i/>
              </w:rPr>
              <w:t>I</w:t>
            </w:r>
            <w:r>
              <w:rPr>
                <w:iCs/>
              </w:rPr>
              <w:t>-</w:t>
            </w:r>
            <w:r>
              <w:rPr>
                <w:i/>
                <w:iCs/>
              </w:rPr>
              <w:t>T</w:t>
            </w:r>
            <w:r>
              <w:t>（）</w:t>
            </w:r>
          </w:p>
        </w:tc>
        <w:tc>
          <w:tcPr>
            <w:tcW w:w="1560" w:type="dxa"/>
            <w:tcBorders>
              <w:bottom w:val="nil"/>
            </w:tcBorders>
            <w:vAlign w:val="center"/>
          </w:tcPr>
          <w:p w14:paraId="301896FC">
            <w:pPr>
              <w:jc w:val="center"/>
            </w:pPr>
            <w:r>
              <w:rPr>
                <w:rFonts w:hint="eastAsia"/>
              </w:rPr>
              <w:t>模拟载荷试验</w:t>
            </w:r>
            <w:r>
              <w:t>相对误差%</w:t>
            </w:r>
          </w:p>
        </w:tc>
        <w:tc>
          <w:tcPr>
            <w:tcW w:w="1134" w:type="dxa"/>
            <w:tcBorders>
              <w:bottom w:val="nil"/>
            </w:tcBorders>
            <w:vAlign w:val="center"/>
          </w:tcPr>
          <w:p w14:paraId="418750D9">
            <w:pPr>
              <w:jc w:val="center"/>
            </w:pPr>
            <w:r>
              <w:t>重复性%</w:t>
            </w:r>
          </w:p>
        </w:tc>
        <w:tc>
          <w:tcPr>
            <w:tcW w:w="1984" w:type="dxa"/>
            <w:tcBorders>
              <w:bottom w:val="single" w:color="auto" w:sz="4" w:space="0"/>
              <w:right w:val="single" w:color="auto" w:sz="4" w:space="0"/>
            </w:tcBorders>
            <w:vAlign w:val="center"/>
          </w:tcPr>
          <w:p w14:paraId="31741E67">
            <w:pPr>
              <w:jc w:val="center"/>
            </w:pPr>
            <w:r>
              <w:rPr>
                <w:rFonts w:hint="eastAsia"/>
              </w:rPr>
              <w:t>模拟载荷试验</w:t>
            </w:r>
            <w:r>
              <w:t>相对误差的平均值</w:t>
            </w:r>
            <w:r>
              <w:rPr>
                <w:i/>
              </w:rPr>
              <w:t>E</w:t>
            </w:r>
            <w:r>
              <w:rPr>
                <w:vertAlign w:val="subscript"/>
              </w:rPr>
              <w:t>3</w:t>
            </w:r>
            <w:r>
              <w:t xml:space="preserve"> %</w:t>
            </w:r>
          </w:p>
        </w:tc>
      </w:tr>
      <w:tr w14:paraId="5692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804" w:type="dxa"/>
            <w:vMerge w:val="restart"/>
            <w:vAlign w:val="center"/>
          </w:tcPr>
          <w:p w14:paraId="7A098C6F">
            <w:pPr>
              <w:jc w:val="center"/>
            </w:pPr>
            <w:r>
              <w:rPr>
                <w:rFonts w:hint="eastAsia"/>
              </w:rPr>
              <w:t>最小流量</w:t>
            </w:r>
          </w:p>
        </w:tc>
        <w:tc>
          <w:tcPr>
            <w:tcW w:w="1140" w:type="dxa"/>
            <w:vAlign w:val="center"/>
          </w:tcPr>
          <w:p w14:paraId="07F93561">
            <w:pPr>
              <w:widowControl/>
              <w:jc w:val="right"/>
              <w:textAlignment w:val="center"/>
            </w:pPr>
          </w:p>
        </w:tc>
        <w:tc>
          <w:tcPr>
            <w:tcW w:w="1470" w:type="dxa"/>
            <w:vMerge w:val="restart"/>
            <w:vAlign w:val="center"/>
          </w:tcPr>
          <w:p w14:paraId="630B1AE4">
            <w:pPr>
              <w:jc w:val="center"/>
            </w:pPr>
          </w:p>
        </w:tc>
        <w:tc>
          <w:tcPr>
            <w:tcW w:w="1230" w:type="dxa"/>
            <w:vAlign w:val="center"/>
          </w:tcPr>
          <w:p w14:paraId="3B15B407">
            <w:pPr>
              <w:widowControl/>
              <w:jc w:val="right"/>
              <w:textAlignment w:val="center"/>
              <w:rPr>
                <w:sz w:val="24"/>
              </w:rPr>
            </w:pPr>
          </w:p>
        </w:tc>
        <w:tc>
          <w:tcPr>
            <w:tcW w:w="1560" w:type="dxa"/>
            <w:vAlign w:val="center"/>
          </w:tcPr>
          <w:p w14:paraId="207B5E38">
            <w:pPr>
              <w:widowControl/>
              <w:jc w:val="right"/>
              <w:textAlignment w:val="center"/>
              <w:rPr>
                <w:sz w:val="24"/>
              </w:rPr>
            </w:pPr>
          </w:p>
        </w:tc>
        <w:tc>
          <w:tcPr>
            <w:tcW w:w="1134" w:type="dxa"/>
            <w:vMerge w:val="restart"/>
            <w:vAlign w:val="center"/>
          </w:tcPr>
          <w:p w14:paraId="6B36E302">
            <w:pPr>
              <w:jc w:val="center"/>
            </w:pPr>
          </w:p>
        </w:tc>
        <w:tc>
          <w:tcPr>
            <w:tcW w:w="1984" w:type="dxa"/>
            <w:vMerge w:val="restart"/>
            <w:tcBorders>
              <w:right w:val="single" w:color="auto" w:sz="4" w:space="0"/>
            </w:tcBorders>
            <w:vAlign w:val="center"/>
          </w:tcPr>
          <w:p w14:paraId="29313AD1">
            <w:pPr>
              <w:jc w:val="center"/>
            </w:pPr>
          </w:p>
        </w:tc>
      </w:tr>
      <w:tr w14:paraId="33ED9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04" w:type="dxa"/>
            <w:vMerge w:val="continue"/>
            <w:vAlign w:val="center"/>
          </w:tcPr>
          <w:p w14:paraId="4108918C">
            <w:pPr>
              <w:jc w:val="center"/>
            </w:pPr>
          </w:p>
        </w:tc>
        <w:tc>
          <w:tcPr>
            <w:tcW w:w="1140" w:type="dxa"/>
            <w:vAlign w:val="center"/>
          </w:tcPr>
          <w:p w14:paraId="616142AC">
            <w:pPr>
              <w:widowControl/>
              <w:jc w:val="right"/>
              <w:textAlignment w:val="center"/>
            </w:pPr>
          </w:p>
        </w:tc>
        <w:tc>
          <w:tcPr>
            <w:tcW w:w="1470" w:type="dxa"/>
            <w:vMerge w:val="continue"/>
            <w:vAlign w:val="center"/>
          </w:tcPr>
          <w:p w14:paraId="2BB8B571">
            <w:pPr>
              <w:jc w:val="center"/>
            </w:pPr>
          </w:p>
        </w:tc>
        <w:tc>
          <w:tcPr>
            <w:tcW w:w="1230" w:type="dxa"/>
            <w:vAlign w:val="center"/>
          </w:tcPr>
          <w:p w14:paraId="5D26DEAE">
            <w:pPr>
              <w:widowControl/>
              <w:jc w:val="right"/>
              <w:textAlignment w:val="center"/>
              <w:rPr>
                <w:sz w:val="24"/>
              </w:rPr>
            </w:pPr>
          </w:p>
        </w:tc>
        <w:tc>
          <w:tcPr>
            <w:tcW w:w="1560" w:type="dxa"/>
            <w:vAlign w:val="center"/>
          </w:tcPr>
          <w:p w14:paraId="5D6340E7">
            <w:pPr>
              <w:widowControl/>
              <w:jc w:val="right"/>
              <w:textAlignment w:val="center"/>
              <w:rPr>
                <w:sz w:val="24"/>
              </w:rPr>
            </w:pPr>
          </w:p>
        </w:tc>
        <w:tc>
          <w:tcPr>
            <w:tcW w:w="1134" w:type="dxa"/>
            <w:vMerge w:val="continue"/>
            <w:vAlign w:val="center"/>
          </w:tcPr>
          <w:p w14:paraId="79EFB0DA">
            <w:pPr>
              <w:jc w:val="center"/>
            </w:pPr>
          </w:p>
        </w:tc>
        <w:tc>
          <w:tcPr>
            <w:tcW w:w="1984" w:type="dxa"/>
            <w:vMerge w:val="continue"/>
            <w:tcBorders>
              <w:right w:val="single" w:color="auto" w:sz="4" w:space="0"/>
            </w:tcBorders>
            <w:vAlign w:val="center"/>
          </w:tcPr>
          <w:p w14:paraId="0EC9B518">
            <w:pPr>
              <w:jc w:val="center"/>
            </w:pPr>
          </w:p>
        </w:tc>
      </w:tr>
      <w:tr w14:paraId="6D103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804" w:type="dxa"/>
            <w:vMerge w:val="continue"/>
            <w:vAlign w:val="center"/>
          </w:tcPr>
          <w:p w14:paraId="74A6149E">
            <w:pPr>
              <w:jc w:val="center"/>
            </w:pPr>
          </w:p>
        </w:tc>
        <w:tc>
          <w:tcPr>
            <w:tcW w:w="1140" w:type="dxa"/>
            <w:vAlign w:val="center"/>
          </w:tcPr>
          <w:p w14:paraId="679C4E26">
            <w:pPr>
              <w:widowControl/>
              <w:jc w:val="right"/>
              <w:textAlignment w:val="center"/>
            </w:pPr>
          </w:p>
        </w:tc>
        <w:tc>
          <w:tcPr>
            <w:tcW w:w="1470" w:type="dxa"/>
            <w:vMerge w:val="continue"/>
            <w:vAlign w:val="center"/>
          </w:tcPr>
          <w:p w14:paraId="40739ECB">
            <w:pPr>
              <w:jc w:val="center"/>
            </w:pPr>
          </w:p>
        </w:tc>
        <w:tc>
          <w:tcPr>
            <w:tcW w:w="1230" w:type="dxa"/>
            <w:vAlign w:val="center"/>
          </w:tcPr>
          <w:p w14:paraId="30598924">
            <w:pPr>
              <w:widowControl/>
              <w:jc w:val="right"/>
              <w:textAlignment w:val="center"/>
              <w:rPr>
                <w:sz w:val="24"/>
              </w:rPr>
            </w:pPr>
          </w:p>
        </w:tc>
        <w:tc>
          <w:tcPr>
            <w:tcW w:w="1560" w:type="dxa"/>
            <w:vAlign w:val="center"/>
          </w:tcPr>
          <w:p w14:paraId="1832CAF3">
            <w:pPr>
              <w:widowControl/>
              <w:jc w:val="right"/>
              <w:textAlignment w:val="center"/>
              <w:rPr>
                <w:sz w:val="24"/>
              </w:rPr>
            </w:pPr>
          </w:p>
        </w:tc>
        <w:tc>
          <w:tcPr>
            <w:tcW w:w="1134" w:type="dxa"/>
            <w:vMerge w:val="continue"/>
            <w:vAlign w:val="center"/>
          </w:tcPr>
          <w:p w14:paraId="55299113">
            <w:pPr>
              <w:jc w:val="center"/>
            </w:pPr>
          </w:p>
        </w:tc>
        <w:tc>
          <w:tcPr>
            <w:tcW w:w="1984" w:type="dxa"/>
            <w:vMerge w:val="continue"/>
            <w:tcBorders>
              <w:right w:val="single" w:color="auto" w:sz="4" w:space="0"/>
            </w:tcBorders>
            <w:vAlign w:val="center"/>
          </w:tcPr>
          <w:p w14:paraId="2B0F0FA7">
            <w:pPr>
              <w:jc w:val="center"/>
            </w:pPr>
          </w:p>
        </w:tc>
      </w:tr>
      <w:tr w14:paraId="28C89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804" w:type="dxa"/>
            <w:vMerge w:val="restart"/>
            <w:vAlign w:val="center"/>
          </w:tcPr>
          <w:p w14:paraId="50D867FC">
            <w:pPr>
              <w:jc w:val="center"/>
            </w:pPr>
            <w:r>
              <w:rPr>
                <w:rFonts w:hint="eastAsia"/>
              </w:rPr>
              <w:t>常用给料流量</w:t>
            </w:r>
          </w:p>
        </w:tc>
        <w:tc>
          <w:tcPr>
            <w:tcW w:w="1140" w:type="dxa"/>
            <w:vAlign w:val="center"/>
          </w:tcPr>
          <w:p w14:paraId="6D4A4323">
            <w:pPr>
              <w:jc w:val="center"/>
            </w:pPr>
          </w:p>
        </w:tc>
        <w:tc>
          <w:tcPr>
            <w:tcW w:w="1470" w:type="dxa"/>
            <w:vMerge w:val="restart"/>
            <w:vAlign w:val="center"/>
          </w:tcPr>
          <w:p w14:paraId="5D10E0E8">
            <w:pPr>
              <w:jc w:val="center"/>
            </w:pPr>
          </w:p>
        </w:tc>
        <w:tc>
          <w:tcPr>
            <w:tcW w:w="1230" w:type="dxa"/>
            <w:vAlign w:val="center"/>
          </w:tcPr>
          <w:p w14:paraId="541AE8AF">
            <w:pPr>
              <w:jc w:val="center"/>
            </w:pPr>
          </w:p>
        </w:tc>
        <w:tc>
          <w:tcPr>
            <w:tcW w:w="1560" w:type="dxa"/>
            <w:vAlign w:val="center"/>
          </w:tcPr>
          <w:p w14:paraId="2920FCBF">
            <w:pPr>
              <w:jc w:val="center"/>
            </w:pPr>
          </w:p>
        </w:tc>
        <w:tc>
          <w:tcPr>
            <w:tcW w:w="1134" w:type="dxa"/>
            <w:vMerge w:val="restart"/>
            <w:vAlign w:val="center"/>
          </w:tcPr>
          <w:p w14:paraId="46D4CADD">
            <w:pPr>
              <w:jc w:val="center"/>
            </w:pPr>
          </w:p>
        </w:tc>
        <w:tc>
          <w:tcPr>
            <w:tcW w:w="1984" w:type="dxa"/>
            <w:vMerge w:val="restart"/>
            <w:tcBorders>
              <w:right w:val="single" w:color="auto" w:sz="4" w:space="0"/>
            </w:tcBorders>
            <w:vAlign w:val="center"/>
          </w:tcPr>
          <w:p w14:paraId="51549D95">
            <w:pPr>
              <w:jc w:val="center"/>
            </w:pPr>
          </w:p>
        </w:tc>
      </w:tr>
      <w:tr w14:paraId="25EEF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04" w:type="dxa"/>
            <w:vMerge w:val="continue"/>
            <w:vAlign w:val="center"/>
          </w:tcPr>
          <w:p w14:paraId="7F5185C5">
            <w:pPr>
              <w:jc w:val="center"/>
            </w:pPr>
          </w:p>
        </w:tc>
        <w:tc>
          <w:tcPr>
            <w:tcW w:w="1140" w:type="dxa"/>
            <w:vAlign w:val="center"/>
          </w:tcPr>
          <w:p w14:paraId="6FA9F876">
            <w:pPr>
              <w:jc w:val="center"/>
            </w:pPr>
          </w:p>
        </w:tc>
        <w:tc>
          <w:tcPr>
            <w:tcW w:w="1470" w:type="dxa"/>
            <w:vMerge w:val="continue"/>
            <w:vAlign w:val="center"/>
          </w:tcPr>
          <w:p w14:paraId="36AF2B0B">
            <w:pPr>
              <w:jc w:val="center"/>
            </w:pPr>
          </w:p>
        </w:tc>
        <w:tc>
          <w:tcPr>
            <w:tcW w:w="1230" w:type="dxa"/>
            <w:vAlign w:val="center"/>
          </w:tcPr>
          <w:p w14:paraId="0BD2AD40">
            <w:pPr>
              <w:jc w:val="center"/>
            </w:pPr>
          </w:p>
        </w:tc>
        <w:tc>
          <w:tcPr>
            <w:tcW w:w="1560" w:type="dxa"/>
            <w:vAlign w:val="center"/>
          </w:tcPr>
          <w:p w14:paraId="4917B323">
            <w:pPr>
              <w:jc w:val="center"/>
            </w:pPr>
          </w:p>
        </w:tc>
        <w:tc>
          <w:tcPr>
            <w:tcW w:w="1134" w:type="dxa"/>
            <w:vMerge w:val="continue"/>
            <w:vAlign w:val="center"/>
          </w:tcPr>
          <w:p w14:paraId="54B96B3E">
            <w:pPr>
              <w:jc w:val="center"/>
            </w:pPr>
          </w:p>
        </w:tc>
        <w:tc>
          <w:tcPr>
            <w:tcW w:w="1984" w:type="dxa"/>
            <w:vMerge w:val="continue"/>
            <w:tcBorders>
              <w:right w:val="single" w:color="auto" w:sz="4" w:space="0"/>
            </w:tcBorders>
            <w:vAlign w:val="center"/>
          </w:tcPr>
          <w:p w14:paraId="3E6CCB43">
            <w:pPr>
              <w:jc w:val="center"/>
            </w:pPr>
          </w:p>
        </w:tc>
      </w:tr>
      <w:tr w14:paraId="56B6F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04" w:type="dxa"/>
            <w:vMerge w:val="continue"/>
            <w:vAlign w:val="center"/>
          </w:tcPr>
          <w:p w14:paraId="695113BF">
            <w:pPr>
              <w:jc w:val="center"/>
            </w:pPr>
          </w:p>
        </w:tc>
        <w:tc>
          <w:tcPr>
            <w:tcW w:w="1140" w:type="dxa"/>
            <w:vAlign w:val="center"/>
          </w:tcPr>
          <w:p w14:paraId="17804DFF">
            <w:pPr>
              <w:jc w:val="center"/>
            </w:pPr>
          </w:p>
        </w:tc>
        <w:tc>
          <w:tcPr>
            <w:tcW w:w="1470" w:type="dxa"/>
            <w:vMerge w:val="continue"/>
            <w:vAlign w:val="center"/>
          </w:tcPr>
          <w:p w14:paraId="044B51B7">
            <w:pPr>
              <w:jc w:val="center"/>
            </w:pPr>
          </w:p>
        </w:tc>
        <w:tc>
          <w:tcPr>
            <w:tcW w:w="1230" w:type="dxa"/>
            <w:vAlign w:val="center"/>
          </w:tcPr>
          <w:p w14:paraId="6655F7B3">
            <w:pPr>
              <w:jc w:val="center"/>
            </w:pPr>
          </w:p>
        </w:tc>
        <w:tc>
          <w:tcPr>
            <w:tcW w:w="1560" w:type="dxa"/>
            <w:vAlign w:val="center"/>
          </w:tcPr>
          <w:p w14:paraId="1C381AF4">
            <w:pPr>
              <w:jc w:val="center"/>
            </w:pPr>
          </w:p>
        </w:tc>
        <w:tc>
          <w:tcPr>
            <w:tcW w:w="1134" w:type="dxa"/>
            <w:vMerge w:val="continue"/>
            <w:vAlign w:val="center"/>
          </w:tcPr>
          <w:p w14:paraId="03CA32E2">
            <w:pPr>
              <w:jc w:val="center"/>
            </w:pPr>
          </w:p>
        </w:tc>
        <w:tc>
          <w:tcPr>
            <w:tcW w:w="1984" w:type="dxa"/>
            <w:vMerge w:val="continue"/>
            <w:tcBorders>
              <w:right w:val="single" w:color="auto" w:sz="4" w:space="0"/>
            </w:tcBorders>
            <w:vAlign w:val="center"/>
          </w:tcPr>
          <w:p w14:paraId="3A51C5EA">
            <w:pPr>
              <w:jc w:val="center"/>
            </w:pPr>
          </w:p>
        </w:tc>
      </w:tr>
      <w:tr w14:paraId="70358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04" w:type="dxa"/>
            <w:vMerge w:val="restart"/>
            <w:vAlign w:val="center"/>
          </w:tcPr>
          <w:p w14:paraId="6B17D6E0">
            <w:pPr>
              <w:jc w:val="center"/>
            </w:pPr>
            <w:r>
              <w:rPr>
                <w:rFonts w:hint="eastAsia"/>
              </w:rPr>
              <w:t>最大流量</w:t>
            </w:r>
          </w:p>
        </w:tc>
        <w:tc>
          <w:tcPr>
            <w:tcW w:w="1140" w:type="dxa"/>
            <w:vAlign w:val="center"/>
          </w:tcPr>
          <w:p w14:paraId="11B023FC">
            <w:pPr>
              <w:jc w:val="center"/>
            </w:pPr>
          </w:p>
        </w:tc>
        <w:tc>
          <w:tcPr>
            <w:tcW w:w="1470" w:type="dxa"/>
            <w:vMerge w:val="restart"/>
            <w:vAlign w:val="center"/>
          </w:tcPr>
          <w:p w14:paraId="338953E7">
            <w:pPr>
              <w:jc w:val="center"/>
            </w:pPr>
          </w:p>
        </w:tc>
        <w:tc>
          <w:tcPr>
            <w:tcW w:w="1230" w:type="dxa"/>
            <w:vAlign w:val="center"/>
          </w:tcPr>
          <w:p w14:paraId="344D0F2B">
            <w:pPr>
              <w:jc w:val="center"/>
            </w:pPr>
          </w:p>
        </w:tc>
        <w:tc>
          <w:tcPr>
            <w:tcW w:w="1560" w:type="dxa"/>
            <w:vAlign w:val="center"/>
          </w:tcPr>
          <w:p w14:paraId="1B1396B6">
            <w:pPr>
              <w:jc w:val="center"/>
            </w:pPr>
          </w:p>
        </w:tc>
        <w:tc>
          <w:tcPr>
            <w:tcW w:w="1134" w:type="dxa"/>
            <w:vMerge w:val="restart"/>
            <w:vAlign w:val="center"/>
          </w:tcPr>
          <w:p w14:paraId="5115CB06">
            <w:pPr>
              <w:jc w:val="center"/>
            </w:pPr>
          </w:p>
        </w:tc>
        <w:tc>
          <w:tcPr>
            <w:tcW w:w="1984" w:type="dxa"/>
            <w:vMerge w:val="restart"/>
            <w:tcBorders>
              <w:right w:val="single" w:color="auto" w:sz="4" w:space="0"/>
            </w:tcBorders>
            <w:vAlign w:val="center"/>
          </w:tcPr>
          <w:p w14:paraId="325C0381">
            <w:pPr>
              <w:jc w:val="center"/>
            </w:pPr>
          </w:p>
        </w:tc>
      </w:tr>
      <w:tr w14:paraId="68A57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04" w:type="dxa"/>
            <w:vMerge w:val="continue"/>
            <w:vAlign w:val="center"/>
          </w:tcPr>
          <w:p w14:paraId="407AAD2F">
            <w:pPr>
              <w:jc w:val="center"/>
            </w:pPr>
          </w:p>
        </w:tc>
        <w:tc>
          <w:tcPr>
            <w:tcW w:w="1140" w:type="dxa"/>
            <w:vAlign w:val="center"/>
          </w:tcPr>
          <w:p w14:paraId="44C30B87">
            <w:pPr>
              <w:jc w:val="center"/>
            </w:pPr>
          </w:p>
        </w:tc>
        <w:tc>
          <w:tcPr>
            <w:tcW w:w="1470" w:type="dxa"/>
            <w:vMerge w:val="continue"/>
            <w:vAlign w:val="center"/>
          </w:tcPr>
          <w:p w14:paraId="4DB397FF">
            <w:pPr>
              <w:jc w:val="center"/>
            </w:pPr>
          </w:p>
        </w:tc>
        <w:tc>
          <w:tcPr>
            <w:tcW w:w="1230" w:type="dxa"/>
            <w:vAlign w:val="center"/>
          </w:tcPr>
          <w:p w14:paraId="3F2FA085">
            <w:pPr>
              <w:jc w:val="center"/>
            </w:pPr>
          </w:p>
        </w:tc>
        <w:tc>
          <w:tcPr>
            <w:tcW w:w="1560" w:type="dxa"/>
            <w:vAlign w:val="center"/>
          </w:tcPr>
          <w:p w14:paraId="654B23D4">
            <w:pPr>
              <w:jc w:val="center"/>
            </w:pPr>
          </w:p>
        </w:tc>
        <w:tc>
          <w:tcPr>
            <w:tcW w:w="1134" w:type="dxa"/>
            <w:vMerge w:val="continue"/>
            <w:vAlign w:val="center"/>
          </w:tcPr>
          <w:p w14:paraId="146E287B">
            <w:pPr>
              <w:jc w:val="center"/>
            </w:pPr>
          </w:p>
        </w:tc>
        <w:tc>
          <w:tcPr>
            <w:tcW w:w="1984" w:type="dxa"/>
            <w:vMerge w:val="continue"/>
            <w:tcBorders>
              <w:right w:val="single" w:color="auto" w:sz="4" w:space="0"/>
            </w:tcBorders>
            <w:vAlign w:val="center"/>
          </w:tcPr>
          <w:p w14:paraId="4A2C0858">
            <w:pPr>
              <w:jc w:val="center"/>
            </w:pPr>
          </w:p>
        </w:tc>
      </w:tr>
      <w:tr w14:paraId="6E9DC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804" w:type="dxa"/>
            <w:vMerge w:val="continue"/>
            <w:vAlign w:val="center"/>
          </w:tcPr>
          <w:p w14:paraId="1066324D">
            <w:pPr>
              <w:jc w:val="center"/>
            </w:pPr>
          </w:p>
        </w:tc>
        <w:tc>
          <w:tcPr>
            <w:tcW w:w="1140" w:type="dxa"/>
            <w:vAlign w:val="center"/>
          </w:tcPr>
          <w:p w14:paraId="00B5D49C">
            <w:pPr>
              <w:jc w:val="center"/>
            </w:pPr>
          </w:p>
        </w:tc>
        <w:tc>
          <w:tcPr>
            <w:tcW w:w="1470" w:type="dxa"/>
            <w:vMerge w:val="continue"/>
            <w:vAlign w:val="center"/>
          </w:tcPr>
          <w:p w14:paraId="470C8674">
            <w:pPr>
              <w:jc w:val="center"/>
            </w:pPr>
          </w:p>
        </w:tc>
        <w:tc>
          <w:tcPr>
            <w:tcW w:w="1230" w:type="dxa"/>
            <w:vAlign w:val="center"/>
          </w:tcPr>
          <w:p w14:paraId="3BCF0D52">
            <w:pPr>
              <w:jc w:val="center"/>
            </w:pPr>
          </w:p>
        </w:tc>
        <w:tc>
          <w:tcPr>
            <w:tcW w:w="1560" w:type="dxa"/>
            <w:vAlign w:val="center"/>
          </w:tcPr>
          <w:p w14:paraId="0D786EDB">
            <w:pPr>
              <w:jc w:val="center"/>
            </w:pPr>
          </w:p>
        </w:tc>
        <w:tc>
          <w:tcPr>
            <w:tcW w:w="1134" w:type="dxa"/>
            <w:vMerge w:val="continue"/>
            <w:vAlign w:val="center"/>
          </w:tcPr>
          <w:p w14:paraId="39C40D5C">
            <w:pPr>
              <w:jc w:val="center"/>
            </w:pPr>
          </w:p>
        </w:tc>
        <w:tc>
          <w:tcPr>
            <w:tcW w:w="1984" w:type="dxa"/>
            <w:vMerge w:val="continue"/>
            <w:tcBorders>
              <w:right w:val="single" w:color="auto" w:sz="4" w:space="0"/>
            </w:tcBorders>
            <w:vAlign w:val="center"/>
          </w:tcPr>
          <w:p w14:paraId="6DB7E18C">
            <w:pPr>
              <w:jc w:val="center"/>
            </w:pPr>
          </w:p>
        </w:tc>
      </w:tr>
    </w:tbl>
    <w:p w14:paraId="5BE3121A">
      <w:pPr>
        <w:spacing w:line="360" w:lineRule="auto"/>
        <w:ind w:right="420"/>
        <w:rPr>
          <w:sz w:val="24"/>
        </w:rPr>
      </w:pPr>
      <w:r>
        <w:rPr>
          <w:rFonts w:hint="eastAsia"/>
          <w:sz w:val="24"/>
        </w:rPr>
        <w:t>基于物料校验参数修正的模拟载荷试验：</w:t>
      </w:r>
      <w:r>
        <w:rPr>
          <w:rFonts w:hAnsi="宋体"/>
          <w:kern w:val="0"/>
          <w:position w:val="-12"/>
          <w:sz w:val="24"/>
          <w:lang w:val="zh-CN"/>
        </w:rPr>
        <w:object>
          <v:shape id="_x0000_i1030" o:spt="75" type="#_x0000_t75" style="height:19.3pt;width:82.7pt;" o:ole="t" filled="f" o:preferrelative="t" stroked="f" coordsize="21600,21600">
            <v:path/>
            <v:fill on="f" focussize="0,0"/>
            <v:stroke on="f" joinstyle="miter"/>
            <v:imagedata r:id="rId28" o:title=""/>
            <o:lock v:ext="edit" aspectratio="t"/>
            <w10:wrap type="none"/>
            <w10:anchorlock/>
          </v:shape>
          <o:OLEObject Type="Embed" ProgID="Equation.KSEE3" ShapeID="_x0000_i1030" DrawAspect="Content" ObjectID="_1468075730" r:id="rId29">
            <o:LockedField>false</o:LockedField>
          </o:OLEObject>
        </w:objec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701"/>
        <w:gridCol w:w="1985"/>
        <w:gridCol w:w="1843"/>
        <w:gridCol w:w="1984"/>
      </w:tblGrid>
      <w:tr w14:paraId="4500A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14:paraId="42E858E8">
            <w:pPr>
              <w:spacing w:before="81" w:line="219" w:lineRule="auto"/>
              <w:rPr>
                <w:rFonts w:eastAsiaTheme="minorEastAsia"/>
                <w:kern w:val="0"/>
                <w:szCs w:val="21"/>
              </w:rPr>
            </w:pPr>
            <w:r>
              <w:rPr>
                <w:rFonts w:hint="eastAsia"/>
              </w:rPr>
              <w:t>流量</w:t>
            </w:r>
          </w:p>
        </w:tc>
        <w:tc>
          <w:tcPr>
            <w:tcW w:w="1701" w:type="dxa"/>
          </w:tcPr>
          <w:p w14:paraId="751AC17D">
            <w:pPr>
              <w:spacing w:before="81" w:line="219" w:lineRule="auto"/>
              <w:rPr>
                <w:rFonts w:eastAsiaTheme="minorEastAsia"/>
                <w:kern w:val="0"/>
                <w:szCs w:val="21"/>
              </w:rPr>
            </w:pPr>
            <m:oMathPara>
              <m:oMath>
                <m:sSub>
                  <m:sSubPr>
                    <m:ctrlPr>
                      <w:rPr>
                        <w:rFonts w:ascii="Cambria Math" w:hAnsi="Cambria Math"/>
                        <w:i/>
                        <w:sz w:val="24"/>
                      </w:rPr>
                    </m:ctrlPr>
                  </m:sSubPr>
                  <m:e>
                    <m:r>
                      <m:rPr/>
                      <w:rPr>
                        <w:rFonts w:hint="eastAsia" w:ascii="Cambria Math" w:hAnsi="Cambria Math"/>
                        <w:sz w:val="24"/>
                      </w:rPr>
                      <m:t>E</m:t>
                    </m:r>
                    <m:ctrlPr>
                      <w:rPr>
                        <w:rFonts w:ascii="Cambria Math" w:hAnsi="Cambria Math"/>
                        <w:i/>
                        <w:sz w:val="24"/>
                      </w:rPr>
                    </m:ctrlPr>
                  </m:e>
                  <m:sub>
                    <m:r>
                      <m:rPr/>
                      <w:rPr>
                        <w:rFonts w:ascii="Cambria Math" w:hAnsi="Cambria Math"/>
                        <w:sz w:val="24"/>
                      </w:rPr>
                      <m:t>1</m:t>
                    </m:r>
                    <m:ctrlPr>
                      <w:rPr>
                        <w:rFonts w:ascii="Cambria Math" w:hAnsi="Cambria Math"/>
                        <w:i/>
                        <w:sz w:val="24"/>
                      </w:rPr>
                    </m:ctrlPr>
                  </m:sub>
                </m:sSub>
              </m:oMath>
            </m:oMathPara>
          </w:p>
        </w:tc>
        <w:tc>
          <w:tcPr>
            <w:tcW w:w="1985" w:type="dxa"/>
          </w:tcPr>
          <w:p w14:paraId="1FBBEC01">
            <w:pPr>
              <w:spacing w:before="81" w:line="219" w:lineRule="auto"/>
              <w:rPr>
                <w:rFonts w:eastAsiaTheme="minorEastAsia"/>
                <w:kern w:val="0"/>
                <w:szCs w:val="21"/>
              </w:rPr>
            </w:pPr>
            <m:oMathPara>
              <m:oMath>
                <m:sSub>
                  <m:sSubPr>
                    <m:ctrlPr>
                      <w:rPr>
                        <w:rFonts w:ascii="Cambria Math" w:hAnsi="Cambria Math"/>
                        <w:i/>
                        <w:sz w:val="24"/>
                      </w:rPr>
                    </m:ctrlPr>
                  </m:sSubPr>
                  <m:e>
                    <m:r>
                      <m:rPr/>
                      <w:rPr>
                        <w:rFonts w:hint="eastAsia" w:ascii="Cambria Math" w:hAnsi="Cambria Math"/>
                        <w:sz w:val="24"/>
                      </w:rPr>
                      <m:t>E</m:t>
                    </m:r>
                    <m:ctrlPr>
                      <w:rPr>
                        <w:rFonts w:ascii="Cambria Math" w:hAnsi="Cambria Math"/>
                        <w:i/>
                        <w:sz w:val="24"/>
                      </w:rPr>
                    </m:ctrlPr>
                  </m:e>
                  <m:sub>
                    <m:r>
                      <m:rPr/>
                      <w:rPr>
                        <w:rFonts w:ascii="Cambria Math" w:hAnsi="Cambria Math"/>
                        <w:sz w:val="24"/>
                      </w:rPr>
                      <m:t>2</m:t>
                    </m:r>
                    <m:ctrlPr>
                      <w:rPr>
                        <w:rFonts w:ascii="Cambria Math" w:hAnsi="Cambria Math"/>
                        <w:i/>
                        <w:sz w:val="24"/>
                      </w:rPr>
                    </m:ctrlPr>
                  </m:sub>
                </m:sSub>
              </m:oMath>
            </m:oMathPara>
          </w:p>
        </w:tc>
        <w:tc>
          <w:tcPr>
            <w:tcW w:w="1843" w:type="dxa"/>
          </w:tcPr>
          <w:p w14:paraId="55EA0B82">
            <w:pPr>
              <w:spacing w:before="81" w:line="219" w:lineRule="auto"/>
              <w:rPr>
                <w:rFonts w:eastAsiaTheme="minorEastAsia"/>
                <w:kern w:val="0"/>
                <w:szCs w:val="21"/>
              </w:rPr>
            </w:pPr>
            <m:oMathPara>
              <m:oMath>
                <m:sSub>
                  <m:sSubPr>
                    <m:ctrlPr>
                      <w:rPr>
                        <w:rFonts w:ascii="Cambria Math" w:hAnsi="Cambria Math"/>
                        <w:i/>
                        <w:sz w:val="24"/>
                      </w:rPr>
                    </m:ctrlPr>
                  </m:sSubPr>
                  <m:e>
                    <m:r>
                      <m:rPr/>
                      <w:rPr>
                        <w:rFonts w:hint="eastAsia" w:ascii="Cambria Math" w:hAnsi="Cambria Math"/>
                        <w:sz w:val="24"/>
                      </w:rPr>
                      <m:t>E</m:t>
                    </m:r>
                    <m:ctrlPr>
                      <w:rPr>
                        <w:rFonts w:ascii="Cambria Math" w:hAnsi="Cambria Math"/>
                        <w:i/>
                        <w:sz w:val="24"/>
                      </w:rPr>
                    </m:ctrlPr>
                  </m:e>
                  <m:sub>
                    <m:r>
                      <m:rPr/>
                      <w:rPr>
                        <w:rFonts w:ascii="Cambria Math" w:hAnsi="Cambria Math"/>
                        <w:sz w:val="24"/>
                      </w:rPr>
                      <m:t>3</m:t>
                    </m:r>
                    <m:ctrlPr>
                      <w:rPr>
                        <w:rFonts w:ascii="Cambria Math" w:hAnsi="Cambria Math"/>
                        <w:i/>
                        <w:sz w:val="24"/>
                      </w:rPr>
                    </m:ctrlPr>
                  </m:sub>
                </m:sSub>
              </m:oMath>
            </m:oMathPara>
          </w:p>
        </w:tc>
        <w:tc>
          <w:tcPr>
            <w:tcW w:w="1984" w:type="dxa"/>
          </w:tcPr>
          <w:p w14:paraId="68B5BB30">
            <w:pPr>
              <w:spacing w:before="81" w:line="219" w:lineRule="auto"/>
              <w:rPr>
                <w:rFonts w:hAnsi="宋体"/>
                <w:sz w:val="24"/>
              </w:rPr>
            </w:pPr>
            <m:oMathPara>
              <m:oMath>
                <m:r>
                  <m:rPr/>
                  <w:rPr>
                    <w:rFonts w:hint="eastAsia" w:ascii="Cambria Math" w:hAnsi="Cambria Math"/>
                    <w:sz w:val="24"/>
                  </w:rPr>
                  <m:t>E</m:t>
                </m:r>
              </m:oMath>
            </m:oMathPara>
          </w:p>
        </w:tc>
      </w:tr>
      <w:tr w14:paraId="501ED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14:paraId="01CFE075">
            <w:pPr>
              <w:spacing w:before="81" w:line="219" w:lineRule="auto"/>
              <w:rPr>
                <w:rFonts w:eastAsiaTheme="minorEastAsia"/>
                <w:kern w:val="0"/>
                <w:szCs w:val="21"/>
              </w:rPr>
            </w:pPr>
            <w:r>
              <w:rPr>
                <w:rFonts w:hint="eastAsia"/>
              </w:rPr>
              <w:t>最小流量</w:t>
            </w:r>
          </w:p>
        </w:tc>
        <w:tc>
          <w:tcPr>
            <w:tcW w:w="1701" w:type="dxa"/>
          </w:tcPr>
          <w:p w14:paraId="7AD12F59">
            <w:pPr>
              <w:spacing w:before="81" w:line="219" w:lineRule="auto"/>
              <w:rPr>
                <w:rFonts w:eastAsiaTheme="minorEastAsia"/>
                <w:kern w:val="0"/>
                <w:szCs w:val="21"/>
              </w:rPr>
            </w:pPr>
          </w:p>
        </w:tc>
        <w:tc>
          <w:tcPr>
            <w:tcW w:w="1985" w:type="dxa"/>
          </w:tcPr>
          <w:p w14:paraId="52E42102">
            <w:pPr>
              <w:spacing w:before="81" w:line="219" w:lineRule="auto"/>
              <w:rPr>
                <w:rFonts w:eastAsiaTheme="minorEastAsia"/>
                <w:kern w:val="0"/>
                <w:szCs w:val="21"/>
              </w:rPr>
            </w:pPr>
          </w:p>
        </w:tc>
        <w:tc>
          <w:tcPr>
            <w:tcW w:w="1843" w:type="dxa"/>
          </w:tcPr>
          <w:p w14:paraId="2FCDA89F">
            <w:pPr>
              <w:spacing w:before="81" w:line="219" w:lineRule="auto"/>
              <w:rPr>
                <w:rFonts w:eastAsiaTheme="minorEastAsia"/>
                <w:kern w:val="0"/>
                <w:szCs w:val="21"/>
              </w:rPr>
            </w:pPr>
          </w:p>
        </w:tc>
        <w:tc>
          <w:tcPr>
            <w:tcW w:w="1984" w:type="dxa"/>
          </w:tcPr>
          <w:p w14:paraId="6589F97E">
            <w:pPr>
              <w:spacing w:before="81" w:line="219" w:lineRule="auto"/>
              <w:rPr>
                <w:rFonts w:eastAsiaTheme="minorEastAsia"/>
                <w:kern w:val="0"/>
                <w:szCs w:val="21"/>
              </w:rPr>
            </w:pPr>
          </w:p>
        </w:tc>
      </w:tr>
      <w:tr w14:paraId="1AB5C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14:paraId="63B413D6">
            <w:pPr>
              <w:spacing w:before="81" w:line="219" w:lineRule="auto"/>
              <w:rPr>
                <w:rFonts w:eastAsiaTheme="minorEastAsia"/>
                <w:kern w:val="0"/>
                <w:szCs w:val="21"/>
              </w:rPr>
            </w:pPr>
            <w:r>
              <w:rPr>
                <w:rFonts w:hint="eastAsia"/>
              </w:rPr>
              <w:t>常用给料流量</w:t>
            </w:r>
          </w:p>
        </w:tc>
        <w:tc>
          <w:tcPr>
            <w:tcW w:w="1701" w:type="dxa"/>
          </w:tcPr>
          <w:p w14:paraId="636B129A">
            <w:pPr>
              <w:spacing w:before="81" w:line="219" w:lineRule="auto"/>
              <w:rPr>
                <w:rFonts w:eastAsiaTheme="minorEastAsia"/>
                <w:kern w:val="0"/>
                <w:szCs w:val="21"/>
              </w:rPr>
            </w:pPr>
          </w:p>
        </w:tc>
        <w:tc>
          <w:tcPr>
            <w:tcW w:w="1985" w:type="dxa"/>
          </w:tcPr>
          <w:p w14:paraId="23CAAC8F">
            <w:pPr>
              <w:spacing w:before="81" w:line="219" w:lineRule="auto"/>
              <w:rPr>
                <w:rFonts w:eastAsiaTheme="minorEastAsia"/>
                <w:kern w:val="0"/>
                <w:szCs w:val="21"/>
              </w:rPr>
            </w:pPr>
          </w:p>
        </w:tc>
        <w:tc>
          <w:tcPr>
            <w:tcW w:w="1843" w:type="dxa"/>
          </w:tcPr>
          <w:p w14:paraId="4CBB19CB">
            <w:pPr>
              <w:spacing w:before="81" w:line="219" w:lineRule="auto"/>
              <w:rPr>
                <w:rFonts w:eastAsiaTheme="minorEastAsia"/>
                <w:kern w:val="0"/>
                <w:szCs w:val="21"/>
              </w:rPr>
            </w:pPr>
          </w:p>
        </w:tc>
        <w:tc>
          <w:tcPr>
            <w:tcW w:w="1984" w:type="dxa"/>
          </w:tcPr>
          <w:p w14:paraId="15747D7C">
            <w:pPr>
              <w:spacing w:before="81" w:line="219" w:lineRule="auto"/>
              <w:rPr>
                <w:rFonts w:eastAsiaTheme="minorEastAsia"/>
                <w:kern w:val="0"/>
                <w:szCs w:val="21"/>
              </w:rPr>
            </w:pPr>
          </w:p>
        </w:tc>
      </w:tr>
      <w:tr w14:paraId="74C7B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14:paraId="1A5B0FF1">
            <w:pPr>
              <w:spacing w:before="81" w:line="219" w:lineRule="auto"/>
            </w:pPr>
            <w:r>
              <w:rPr>
                <w:rFonts w:hint="eastAsia"/>
              </w:rPr>
              <w:t>最大流量</w:t>
            </w:r>
          </w:p>
        </w:tc>
        <w:tc>
          <w:tcPr>
            <w:tcW w:w="1701" w:type="dxa"/>
          </w:tcPr>
          <w:p w14:paraId="640179EE">
            <w:pPr>
              <w:spacing w:before="81" w:line="219" w:lineRule="auto"/>
              <w:rPr>
                <w:rFonts w:eastAsiaTheme="minorEastAsia"/>
                <w:kern w:val="0"/>
                <w:szCs w:val="21"/>
              </w:rPr>
            </w:pPr>
          </w:p>
        </w:tc>
        <w:tc>
          <w:tcPr>
            <w:tcW w:w="1985" w:type="dxa"/>
          </w:tcPr>
          <w:p w14:paraId="58AECE69">
            <w:pPr>
              <w:spacing w:before="81" w:line="219" w:lineRule="auto"/>
              <w:rPr>
                <w:rFonts w:eastAsiaTheme="minorEastAsia"/>
                <w:kern w:val="0"/>
                <w:szCs w:val="21"/>
              </w:rPr>
            </w:pPr>
          </w:p>
        </w:tc>
        <w:tc>
          <w:tcPr>
            <w:tcW w:w="1843" w:type="dxa"/>
          </w:tcPr>
          <w:p w14:paraId="32F7A189">
            <w:pPr>
              <w:spacing w:before="81" w:line="219" w:lineRule="auto"/>
              <w:rPr>
                <w:rFonts w:eastAsiaTheme="minorEastAsia"/>
                <w:kern w:val="0"/>
                <w:szCs w:val="21"/>
              </w:rPr>
            </w:pPr>
          </w:p>
        </w:tc>
        <w:tc>
          <w:tcPr>
            <w:tcW w:w="1984" w:type="dxa"/>
          </w:tcPr>
          <w:p w14:paraId="724080D5">
            <w:pPr>
              <w:spacing w:before="81" w:line="219" w:lineRule="auto"/>
              <w:rPr>
                <w:rFonts w:eastAsiaTheme="minorEastAsia"/>
                <w:kern w:val="0"/>
                <w:szCs w:val="21"/>
              </w:rPr>
            </w:pPr>
          </w:p>
        </w:tc>
      </w:tr>
    </w:tbl>
    <w:p w14:paraId="07A221AF">
      <w:pPr>
        <w:spacing w:before="81" w:line="219" w:lineRule="auto"/>
      </w:pPr>
    </w:p>
    <w:p w14:paraId="67820122">
      <w:pPr>
        <w:spacing w:line="68" w:lineRule="exact"/>
      </w:pPr>
    </w:p>
    <w:tbl>
      <w:tblPr>
        <w:tblStyle w:val="218"/>
        <w:tblW w:w="9356"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40"/>
        <w:gridCol w:w="2327"/>
        <w:gridCol w:w="2308"/>
        <w:gridCol w:w="2281"/>
      </w:tblGrid>
      <w:tr w14:paraId="63181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2440" w:type="dxa"/>
          </w:tcPr>
          <w:p w14:paraId="2F0BC9E0">
            <w:pPr>
              <w:autoSpaceDE w:val="0"/>
              <w:autoSpaceDN w:val="0"/>
              <w:spacing w:before="102" w:line="219" w:lineRule="auto"/>
              <w:ind w:left="814"/>
              <w:rPr>
                <w:rFonts w:asciiTheme="minorHAnsi" w:hAnsiTheme="minorHAnsi" w:eastAsiaTheme="minorEastAsia" w:cstheme="minorBidi"/>
                <w:lang w:eastAsia="en-US"/>
              </w:rPr>
            </w:pPr>
            <w:r>
              <w:rPr>
                <w:rFonts w:hint="eastAsia" w:asciiTheme="minorHAnsi" w:hAnsiTheme="minorHAnsi" w:eastAsiaTheme="minorEastAsia" w:cstheme="minorBidi"/>
                <w:lang w:eastAsia="en-US"/>
              </w:rPr>
              <w:t>核查</w:t>
            </w:r>
            <w:r>
              <w:rPr>
                <w:rFonts w:asciiTheme="minorHAnsi" w:hAnsiTheme="minorHAnsi" w:eastAsiaTheme="minorEastAsia" w:cstheme="minorBidi"/>
                <w:lang w:eastAsia="en-US"/>
              </w:rPr>
              <w:t>员</w:t>
            </w:r>
          </w:p>
        </w:tc>
        <w:tc>
          <w:tcPr>
            <w:tcW w:w="2327" w:type="dxa"/>
          </w:tcPr>
          <w:p w14:paraId="5402C5EB">
            <w:pPr>
              <w:autoSpaceDE w:val="0"/>
              <w:autoSpaceDN w:val="0"/>
              <w:rPr>
                <w:rFonts w:asciiTheme="minorHAnsi" w:hAnsiTheme="minorHAnsi" w:eastAsiaTheme="minorEastAsia" w:cstheme="minorBidi"/>
                <w:lang w:eastAsia="en-US"/>
              </w:rPr>
            </w:pPr>
          </w:p>
        </w:tc>
        <w:tc>
          <w:tcPr>
            <w:tcW w:w="2308" w:type="dxa"/>
            <w:vAlign w:val="center"/>
          </w:tcPr>
          <w:p w14:paraId="5B318473">
            <w:pPr>
              <w:autoSpaceDE w:val="0"/>
              <w:autoSpaceDN w:val="0"/>
              <w:spacing w:before="102" w:line="219" w:lineRule="auto"/>
              <w:ind w:firstLine="630" w:firstLineChars="300"/>
              <w:rPr>
                <w:rFonts w:asciiTheme="minorHAnsi" w:hAnsiTheme="minorHAnsi" w:eastAsiaTheme="minorEastAsia" w:cstheme="minorBidi"/>
                <w:lang w:eastAsia="en-US"/>
              </w:rPr>
            </w:pPr>
            <w:r>
              <w:rPr>
                <w:rFonts w:hint="eastAsia" w:asciiTheme="minorHAnsi" w:hAnsiTheme="minorHAnsi" w:eastAsiaTheme="minorEastAsia" w:cstheme="minorBidi"/>
                <w:kern w:val="0"/>
                <w:szCs w:val="21"/>
                <w:lang w:eastAsia="en-US"/>
              </w:rPr>
              <w:t>核查</w:t>
            </w:r>
            <w:r>
              <w:rPr>
                <w:rFonts w:asciiTheme="minorHAnsi" w:hAnsiTheme="minorHAnsi" w:eastAsiaTheme="minorEastAsia" w:cstheme="minorBidi"/>
                <w:lang w:eastAsia="en-US"/>
              </w:rPr>
              <w:t>日期</w:t>
            </w:r>
          </w:p>
        </w:tc>
        <w:tc>
          <w:tcPr>
            <w:tcW w:w="2281" w:type="dxa"/>
          </w:tcPr>
          <w:p w14:paraId="1D0D1625">
            <w:pPr>
              <w:autoSpaceDE w:val="0"/>
              <w:autoSpaceDN w:val="0"/>
              <w:rPr>
                <w:rFonts w:asciiTheme="minorHAnsi" w:hAnsiTheme="minorHAnsi" w:eastAsiaTheme="minorEastAsia" w:cstheme="minorBidi"/>
                <w:lang w:eastAsia="en-US"/>
              </w:rPr>
            </w:pPr>
          </w:p>
        </w:tc>
      </w:tr>
      <w:tr w14:paraId="74737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trPr>
        <w:tc>
          <w:tcPr>
            <w:tcW w:w="2440" w:type="dxa"/>
          </w:tcPr>
          <w:p w14:paraId="51461E0A">
            <w:pPr>
              <w:autoSpaceDE w:val="0"/>
              <w:autoSpaceDN w:val="0"/>
              <w:spacing w:before="106" w:line="220" w:lineRule="auto"/>
              <w:ind w:left="814"/>
              <w:rPr>
                <w:rFonts w:asciiTheme="minorHAnsi" w:hAnsiTheme="minorHAnsi" w:eastAsiaTheme="minorEastAsia" w:cstheme="minorBidi"/>
                <w:lang w:eastAsia="en-US"/>
              </w:rPr>
            </w:pPr>
            <w:r>
              <w:rPr>
                <w:rFonts w:asciiTheme="minorHAnsi" w:hAnsiTheme="minorHAnsi" w:eastAsiaTheme="minorEastAsia" w:cstheme="minorBidi"/>
                <w:lang w:eastAsia="en-US"/>
              </w:rPr>
              <w:t>核验员</w:t>
            </w:r>
          </w:p>
        </w:tc>
        <w:tc>
          <w:tcPr>
            <w:tcW w:w="2327" w:type="dxa"/>
          </w:tcPr>
          <w:p w14:paraId="099386AF">
            <w:pPr>
              <w:autoSpaceDE w:val="0"/>
              <w:autoSpaceDN w:val="0"/>
              <w:rPr>
                <w:rFonts w:asciiTheme="minorHAnsi" w:hAnsiTheme="minorHAnsi" w:eastAsiaTheme="minorEastAsia" w:cstheme="minorBidi"/>
                <w:lang w:eastAsia="en-US"/>
              </w:rPr>
            </w:pPr>
          </w:p>
        </w:tc>
        <w:tc>
          <w:tcPr>
            <w:tcW w:w="2308" w:type="dxa"/>
            <w:vAlign w:val="center"/>
          </w:tcPr>
          <w:p w14:paraId="5F1C9D32">
            <w:pPr>
              <w:autoSpaceDE w:val="0"/>
              <w:autoSpaceDN w:val="0"/>
              <w:spacing w:before="104" w:line="219" w:lineRule="auto"/>
              <w:ind w:firstLine="630" w:firstLineChars="300"/>
              <w:rPr>
                <w:rFonts w:asciiTheme="minorHAnsi" w:hAnsiTheme="minorHAnsi" w:eastAsiaTheme="minorEastAsia" w:cstheme="minorBidi"/>
                <w:lang w:eastAsia="en-US"/>
              </w:rPr>
            </w:pPr>
            <w:r>
              <w:rPr>
                <w:rFonts w:hint="eastAsia" w:asciiTheme="minorHAnsi" w:hAnsiTheme="minorHAnsi" w:eastAsiaTheme="minorEastAsia" w:cstheme="minorBidi"/>
                <w:lang w:eastAsia="en-US"/>
              </w:rPr>
              <w:t>报告</w:t>
            </w:r>
            <w:r>
              <w:rPr>
                <w:rFonts w:asciiTheme="minorHAnsi" w:hAnsiTheme="minorHAnsi" w:eastAsiaTheme="minorEastAsia" w:cstheme="minorBidi"/>
                <w:lang w:eastAsia="en-US"/>
              </w:rPr>
              <w:t>编号</w:t>
            </w:r>
          </w:p>
        </w:tc>
        <w:tc>
          <w:tcPr>
            <w:tcW w:w="2281" w:type="dxa"/>
          </w:tcPr>
          <w:p w14:paraId="5DA538CB">
            <w:pPr>
              <w:autoSpaceDE w:val="0"/>
              <w:autoSpaceDN w:val="0"/>
              <w:rPr>
                <w:rFonts w:asciiTheme="minorHAnsi" w:hAnsiTheme="minorHAnsi" w:eastAsiaTheme="minorEastAsia" w:cstheme="minorBidi"/>
                <w:lang w:eastAsia="en-US"/>
              </w:rPr>
            </w:pPr>
          </w:p>
        </w:tc>
      </w:tr>
    </w:tbl>
    <w:p w14:paraId="01D51D51">
      <w:pPr>
        <w:spacing w:beforeLines="50" w:afterLines="50" w:line="480" w:lineRule="auto"/>
        <w:rPr>
          <w:rFonts w:ascii="黑体" w:hAnsi="黑体" w:eastAsia="黑体" w:cs="黑体"/>
          <w:sz w:val="28"/>
          <w:szCs w:val="28"/>
        </w:rPr>
      </w:pPr>
    </w:p>
    <w:p w14:paraId="1EF7E49D">
      <w:pPr>
        <w:snapToGrid w:val="0"/>
        <w:spacing w:beforeLines="50" w:line="360" w:lineRule="auto"/>
        <w:jc w:val="left"/>
        <w:outlineLvl w:val="0"/>
        <w:rPr>
          <w:rFonts w:ascii="黑体" w:hAnsi="黑体" w:eastAsia="黑体"/>
          <w:sz w:val="28"/>
          <w:szCs w:val="28"/>
        </w:rPr>
      </w:pPr>
      <w:bookmarkStart w:id="147" w:name="_Toc20206"/>
    </w:p>
    <w:p w14:paraId="18A208C5">
      <w:pPr>
        <w:snapToGrid w:val="0"/>
        <w:spacing w:beforeLines="50" w:line="360" w:lineRule="auto"/>
        <w:jc w:val="left"/>
        <w:outlineLvl w:val="0"/>
        <w:rPr>
          <w:rFonts w:ascii="黑体" w:hAnsi="黑体" w:eastAsia="黑体"/>
          <w:sz w:val="28"/>
          <w:szCs w:val="28"/>
        </w:rPr>
      </w:pPr>
    </w:p>
    <w:p w14:paraId="36971B41">
      <w:pPr>
        <w:snapToGrid w:val="0"/>
        <w:spacing w:beforeLines="50" w:line="360" w:lineRule="auto"/>
        <w:jc w:val="left"/>
        <w:outlineLvl w:val="0"/>
        <w:rPr>
          <w:rFonts w:ascii="黑体" w:hAnsi="黑体" w:eastAsia="黑体"/>
          <w:sz w:val="28"/>
          <w:szCs w:val="28"/>
        </w:rPr>
      </w:pPr>
    </w:p>
    <w:p w14:paraId="6295AF28">
      <w:pPr>
        <w:snapToGrid w:val="0"/>
        <w:spacing w:beforeLines="50" w:line="360" w:lineRule="auto"/>
        <w:jc w:val="left"/>
        <w:outlineLvl w:val="0"/>
        <w:rPr>
          <w:rFonts w:ascii="黑体" w:hAnsi="黑体" w:eastAsia="黑体"/>
          <w:sz w:val="28"/>
          <w:szCs w:val="28"/>
        </w:rPr>
      </w:pPr>
    </w:p>
    <w:p w14:paraId="58DA9E08">
      <w:pPr>
        <w:snapToGrid w:val="0"/>
        <w:spacing w:beforeLines="50" w:line="360" w:lineRule="auto"/>
        <w:jc w:val="left"/>
        <w:outlineLvl w:val="0"/>
        <w:rPr>
          <w:rFonts w:ascii="黑体" w:hAnsi="黑体" w:eastAsia="黑体"/>
          <w:sz w:val="28"/>
          <w:szCs w:val="28"/>
        </w:rPr>
      </w:pPr>
    </w:p>
    <w:p w14:paraId="37AECE5B">
      <w:pPr>
        <w:snapToGrid w:val="0"/>
        <w:spacing w:beforeLines="50" w:line="360" w:lineRule="auto"/>
        <w:jc w:val="left"/>
        <w:outlineLvl w:val="0"/>
        <w:rPr>
          <w:rFonts w:ascii="黑体" w:hAnsi="黑体" w:eastAsia="黑体"/>
          <w:sz w:val="28"/>
          <w:szCs w:val="28"/>
        </w:rPr>
      </w:pPr>
    </w:p>
    <w:p w14:paraId="6A1DA594">
      <w:pPr>
        <w:snapToGrid w:val="0"/>
        <w:spacing w:beforeLines="50" w:line="360" w:lineRule="auto"/>
        <w:jc w:val="left"/>
        <w:outlineLvl w:val="0"/>
        <w:rPr>
          <w:rFonts w:ascii="黑体" w:hAnsi="黑体" w:eastAsia="黑体"/>
          <w:sz w:val="28"/>
          <w:szCs w:val="28"/>
        </w:rPr>
      </w:pPr>
    </w:p>
    <w:p w14:paraId="0670B650">
      <w:pPr>
        <w:snapToGrid w:val="0"/>
        <w:spacing w:beforeLines="50" w:line="360" w:lineRule="auto"/>
        <w:jc w:val="left"/>
        <w:outlineLvl w:val="0"/>
        <w:rPr>
          <w:rFonts w:ascii="黑体" w:hAnsi="黑体" w:eastAsia="黑体"/>
          <w:sz w:val="28"/>
          <w:szCs w:val="28"/>
        </w:rPr>
      </w:pPr>
    </w:p>
    <w:p w14:paraId="6BFA9556">
      <w:pPr>
        <w:snapToGrid w:val="0"/>
        <w:spacing w:beforeLines="50" w:line="360" w:lineRule="auto"/>
        <w:jc w:val="left"/>
        <w:outlineLvl w:val="0"/>
        <w:rPr>
          <w:rFonts w:ascii="黑体" w:hAnsi="黑体" w:eastAsia="黑体"/>
          <w:sz w:val="28"/>
          <w:szCs w:val="28"/>
        </w:rPr>
      </w:pPr>
    </w:p>
    <w:p w14:paraId="69958D9D">
      <w:pPr>
        <w:snapToGrid w:val="0"/>
        <w:spacing w:beforeLines="50" w:line="360" w:lineRule="auto"/>
        <w:jc w:val="left"/>
        <w:outlineLvl w:val="0"/>
        <w:rPr>
          <w:rFonts w:ascii="黑体" w:hAnsi="黑体" w:eastAsia="黑体"/>
          <w:sz w:val="28"/>
          <w:szCs w:val="28"/>
        </w:rPr>
      </w:pPr>
    </w:p>
    <w:p w14:paraId="351B7090">
      <w:pPr>
        <w:snapToGrid w:val="0"/>
        <w:spacing w:beforeLines="50" w:line="360" w:lineRule="auto"/>
        <w:jc w:val="left"/>
        <w:outlineLvl w:val="0"/>
        <w:rPr>
          <w:rFonts w:ascii="黑体" w:hAnsi="黑体" w:eastAsia="黑体"/>
          <w:sz w:val="28"/>
          <w:szCs w:val="28"/>
        </w:rPr>
      </w:pPr>
    </w:p>
    <w:p w14:paraId="349FDE26">
      <w:pPr>
        <w:snapToGrid w:val="0"/>
        <w:spacing w:beforeLines="50" w:line="360" w:lineRule="auto"/>
        <w:jc w:val="left"/>
        <w:outlineLvl w:val="0"/>
        <w:rPr>
          <w:rFonts w:ascii="黑体" w:hAnsi="黑体" w:eastAsia="黑体"/>
          <w:sz w:val="28"/>
          <w:szCs w:val="28"/>
        </w:rPr>
      </w:pPr>
      <w:r>
        <w:rPr>
          <w:rFonts w:ascii="黑体" w:hAnsi="黑体" w:eastAsia="黑体"/>
          <w:sz w:val="28"/>
          <w:szCs w:val="28"/>
        </w:rPr>
        <w:t>附录</w:t>
      </w:r>
      <w:bookmarkEnd w:id="147"/>
      <w:r>
        <w:rPr>
          <w:rFonts w:hint="eastAsia" w:eastAsia="黑体"/>
          <w:sz w:val="28"/>
          <w:szCs w:val="28"/>
        </w:rPr>
        <w:t>B</w:t>
      </w:r>
    </w:p>
    <w:bookmarkEnd w:id="45"/>
    <w:bookmarkEnd w:id="46"/>
    <w:bookmarkEnd w:id="47"/>
    <w:bookmarkEnd w:id="48"/>
    <w:p w14:paraId="6DDD9B68">
      <w:pPr>
        <w:jc w:val="center"/>
        <w:rPr>
          <w:rFonts w:hAnsi="黑体" w:eastAsia="黑体"/>
          <w:sz w:val="28"/>
        </w:rPr>
      </w:pPr>
      <w:r>
        <w:rPr>
          <w:rFonts w:hint="eastAsia" w:ascii="黑体" w:hAnsi="黑体" w:eastAsia="黑体"/>
          <w:sz w:val="28"/>
          <w:szCs w:val="28"/>
        </w:rPr>
        <w:t>电子皮带秤状态核查证书内页格式（供参考）</w:t>
      </w:r>
    </w:p>
    <w:p w14:paraId="61B9295A">
      <w:pPr>
        <w:wordWrap w:val="0"/>
        <w:spacing w:line="360" w:lineRule="auto"/>
        <w:ind w:right="480" w:firstLine="480" w:firstLineChars="200"/>
        <w:rPr>
          <w:sz w:val="24"/>
        </w:rPr>
      </w:pPr>
      <w:r>
        <w:rPr>
          <w:sz w:val="24"/>
        </w:rPr>
        <w:t>证书编号：</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1231"/>
        <w:gridCol w:w="445"/>
        <w:gridCol w:w="960"/>
        <w:gridCol w:w="628"/>
        <w:gridCol w:w="801"/>
        <w:gridCol w:w="871"/>
        <w:gridCol w:w="734"/>
        <w:gridCol w:w="1326"/>
      </w:tblGrid>
      <w:tr w14:paraId="2235E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6C57E20A">
            <w:pPr>
              <w:spacing w:line="360" w:lineRule="auto"/>
              <w:jc w:val="center"/>
              <w:rPr>
                <w:rFonts w:eastAsiaTheme="minorEastAsia"/>
                <w:color w:val="000000"/>
                <w:kern w:val="0"/>
                <w:szCs w:val="21"/>
              </w:rPr>
            </w:pPr>
            <w:bookmarkStart w:id="148" w:name="_Toc529543937"/>
            <w:bookmarkStart w:id="149" w:name="_Toc5692198"/>
            <w:bookmarkStart w:id="150" w:name="_Toc2607354"/>
            <w:bookmarkStart w:id="151" w:name="_Toc532308784"/>
            <w:r>
              <w:rPr>
                <w:rFonts w:hint="eastAsia" w:eastAsiaTheme="minorEastAsia"/>
                <w:color w:val="000000"/>
                <w:kern w:val="0"/>
                <w:szCs w:val="21"/>
              </w:rPr>
              <w:t>核查</w:t>
            </w:r>
            <w:r>
              <w:rPr>
                <w:rFonts w:eastAsiaTheme="minorEastAsia"/>
                <w:color w:val="000000"/>
                <w:kern w:val="0"/>
                <w:szCs w:val="21"/>
              </w:rPr>
              <w:t>依据</w:t>
            </w:r>
            <w:bookmarkEnd w:id="148"/>
            <w:bookmarkEnd w:id="149"/>
            <w:bookmarkEnd w:id="150"/>
            <w:bookmarkEnd w:id="151"/>
          </w:p>
        </w:tc>
        <w:tc>
          <w:tcPr>
            <w:tcW w:w="6996" w:type="dxa"/>
            <w:gridSpan w:val="8"/>
            <w:vAlign w:val="center"/>
          </w:tcPr>
          <w:p w14:paraId="5F871A82">
            <w:pPr>
              <w:spacing w:line="360" w:lineRule="auto"/>
              <w:jc w:val="center"/>
              <w:rPr>
                <w:rFonts w:eastAsiaTheme="minorEastAsia"/>
                <w:color w:val="000000"/>
                <w:kern w:val="0"/>
                <w:szCs w:val="21"/>
              </w:rPr>
            </w:pPr>
          </w:p>
        </w:tc>
      </w:tr>
      <w:tr w14:paraId="3CE4B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restart"/>
            <w:vAlign w:val="center"/>
          </w:tcPr>
          <w:p w14:paraId="5CC48961">
            <w:pPr>
              <w:spacing w:line="360" w:lineRule="auto"/>
              <w:jc w:val="center"/>
              <w:rPr>
                <w:rFonts w:eastAsiaTheme="minorEastAsia"/>
                <w:color w:val="000000"/>
                <w:kern w:val="0"/>
                <w:szCs w:val="21"/>
              </w:rPr>
            </w:pPr>
            <w:bookmarkStart w:id="152" w:name="_Toc2607356"/>
            <w:bookmarkStart w:id="153" w:name="_Toc529543939"/>
            <w:bookmarkStart w:id="154" w:name="_Toc532308786"/>
            <w:bookmarkStart w:id="155" w:name="_Toc5692200"/>
            <w:r>
              <w:rPr>
                <w:rFonts w:hint="eastAsia"/>
                <w:kern w:val="0"/>
                <w:szCs w:val="21"/>
              </w:rPr>
              <w:t>核查</w:t>
            </w:r>
            <w:r>
              <w:rPr>
                <w:rFonts w:eastAsiaTheme="minorEastAsia"/>
                <w:color w:val="000000"/>
                <w:kern w:val="0"/>
                <w:szCs w:val="21"/>
              </w:rPr>
              <w:t>条件</w:t>
            </w:r>
            <w:bookmarkEnd w:id="152"/>
            <w:bookmarkEnd w:id="153"/>
            <w:bookmarkEnd w:id="154"/>
            <w:bookmarkEnd w:id="155"/>
          </w:p>
          <w:p w14:paraId="287A809F">
            <w:pPr>
              <w:spacing w:line="360" w:lineRule="auto"/>
              <w:jc w:val="center"/>
              <w:rPr>
                <w:rFonts w:eastAsiaTheme="minorEastAsia"/>
                <w:color w:val="000000"/>
                <w:kern w:val="0"/>
                <w:szCs w:val="21"/>
              </w:rPr>
            </w:pPr>
            <w:bookmarkStart w:id="156" w:name="_Toc529543940"/>
            <w:bookmarkStart w:id="157" w:name="_Toc532308787"/>
            <w:bookmarkStart w:id="158" w:name="_Toc5692201"/>
            <w:bookmarkStart w:id="159" w:name="_Toc2607357"/>
            <w:r>
              <w:rPr>
                <w:rFonts w:eastAsiaTheme="minorEastAsia"/>
                <w:color w:val="000000"/>
                <w:kern w:val="0"/>
                <w:szCs w:val="21"/>
              </w:rPr>
              <w:t>及地点</w:t>
            </w:r>
            <w:bookmarkEnd w:id="156"/>
            <w:bookmarkEnd w:id="157"/>
            <w:bookmarkEnd w:id="158"/>
            <w:bookmarkEnd w:id="159"/>
          </w:p>
        </w:tc>
        <w:tc>
          <w:tcPr>
            <w:tcW w:w="3264" w:type="dxa"/>
            <w:gridSpan w:val="4"/>
            <w:vAlign w:val="center"/>
          </w:tcPr>
          <w:p w14:paraId="5EF7242D">
            <w:pPr>
              <w:spacing w:line="360" w:lineRule="auto"/>
              <w:jc w:val="center"/>
              <w:rPr>
                <w:rFonts w:eastAsiaTheme="minorEastAsia"/>
                <w:color w:val="000000"/>
                <w:kern w:val="0"/>
                <w:szCs w:val="21"/>
              </w:rPr>
            </w:pPr>
            <w:bookmarkStart w:id="160" w:name="_Toc2607358"/>
            <w:bookmarkStart w:id="161" w:name="_Toc529543941"/>
            <w:bookmarkStart w:id="162" w:name="_Toc5692202"/>
            <w:bookmarkStart w:id="163" w:name="_Toc532308788"/>
            <w:r>
              <w:rPr>
                <w:rFonts w:eastAsiaTheme="minorEastAsia"/>
                <w:color w:val="000000"/>
                <w:kern w:val="0"/>
                <w:szCs w:val="21"/>
              </w:rPr>
              <w:t>温度：                  ℃</w:t>
            </w:r>
            <w:bookmarkEnd w:id="160"/>
            <w:bookmarkEnd w:id="161"/>
            <w:bookmarkEnd w:id="162"/>
            <w:bookmarkEnd w:id="163"/>
          </w:p>
        </w:tc>
        <w:tc>
          <w:tcPr>
            <w:tcW w:w="3732" w:type="dxa"/>
            <w:gridSpan w:val="4"/>
            <w:vAlign w:val="center"/>
          </w:tcPr>
          <w:p w14:paraId="4F2A81F7">
            <w:pPr>
              <w:spacing w:line="360" w:lineRule="auto"/>
              <w:jc w:val="center"/>
              <w:rPr>
                <w:rFonts w:eastAsiaTheme="minorEastAsia"/>
                <w:color w:val="000000"/>
                <w:kern w:val="0"/>
                <w:szCs w:val="21"/>
              </w:rPr>
            </w:pPr>
            <w:bookmarkStart w:id="164" w:name="_Toc2607359"/>
            <w:bookmarkStart w:id="165" w:name="_Toc529543942"/>
            <w:bookmarkStart w:id="166" w:name="_Toc532308789"/>
            <w:bookmarkStart w:id="167" w:name="_Toc5692203"/>
            <w:r>
              <w:rPr>
                <w:rFonts w:eastAsiaTheme="minorEastAsia"/>
                <w:color w:val="000000"/>
                <w:kern w:val="0"/>
                <w:szCs w:val="21"/>
              </w:rPr>
              <w:t>湿度：                    %RH</w:t>
            </w:r>
            <w:bookmarkEnd w:id="164"/>
            <w:bookmarkEnd w:id="165"/>
            <w:bookmarkEnd w:id="166"/>
            <w:bookmarkEnd w:id="167"/>
          </w:p>
        </w:tc>
      </w:tr>
      <w:tr w14:paraId="749B3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continue"/>
            <w:vAlign w:val="center"/>
          </w:tcPr>
          <w:p w14:paraId="0DF85233">
            <w:pPr>
              <w:spacing w:line="360" w:lineRule="auto"/>
              <w:jc w:val="center"/>
              <w:rPr>
                <w:rFonts w:eastAsiaTheme="minorEastAsia"/>
                <w:color w:val="000000"/>
                <w:kern w:val="0"/>
                <w:szCs w:val="21"/>
              </w:rPr>
            </w:pPr>
          </w:p>
        </w:tc>
        <w:tc>
          <w:tcPr>
            <w:tcW w:w="3264" w:type="dxa"/>
            <w:gridSpan w:val="4"/>
            <w:vAlign w:val="center"/>
          </w:tcPr>
          <w:p w14:paraId="45F6CB9E">
            <w:pPr>
              <w:spacing w:line="360" w:lineRule="auto"/>
              <w:ind w:firstLine="105" w:firstLineChars="50"/>
              <w:rPr>
                <w:rFonts w:eastAsiaTheme="minorEastAsia"/>
                <w:color w:val="000000"/>
                <w:kern w:val="0"/>
                <w:szCs w:val="21"/>
              </w:rPr>
            </w:pPr>
            <w:bookmarkStart w:id="168" w:name="_Toc2607360"/>
            <w:bookmarkStart w:id="169" w:name="_Toc5692204"/>
            <w:bookmarkStart w:id="170" w:name="_Toc532308790"/>
            <w:bookmarkStart w:id="171" w:name="_Toc529543943"/>
            <w:r>
              <w:rPr>
                <w:rFonts w:eastAsiaTheme="minorEastAsia"/>
                <w:color w:val="000000"/>
                <w:kern w:val="0"/>
                <w:szCs w:val="21"/>
              </w:rPr>
              <w:t>地点：</w:t>
            </w:r>
            <w:bookmarkEnd w:id="168"/>
            <w:bookmarkEnd w:id="169"/>
            <w:bookmarkEnd w:id="170"/>
            <w:bookmarkEnd w:id="171"/>
          </w:p>
        </w:tc>
        <w:tc>
          <w:tcPr>
            <w:tcW w:w="3732" w:type="dxa"/>
            <w:gridSpan w:val="4"/>
            <w:vAlign w:val="center"/>
          </w:tcPr>
          <w:p w14:paraId="51EBD18A">
            <w:pPr>
              <w:spacing w:line="360" w:lineRule="auto"/>
              <w:ind w:firstLine="105" w:firstLineChars="50"/>
              <w:rPr>
                <w:rFonts w:eastAsiaTheme="minorEastAsia"/>
                <w:color w:val="000000"/>
                <w:kern w:val="0"/>
                <w:szCs w:val="21"/>
              </w:rPr>
            </w:pPr>
            <w:bookmarkStart w:id="172" w:name="_Toc5692205"/>
            <w:bookmarkStart w:id="173" w:name="_Toc2607361"/>
            <w:bookmarkStart w:id="174" w:name="_Toc532308791"/>
            <w:bookmarkStart w:id="175" w:name="_Toc529543944"/>
            <w:r>
              <w:rPr>
                <w:rFonts w:eastAsiaTheme="minorEastAsia"/>
                <w:color w:val="000000"/>
                <w:kern w:val="0"/>
                <w:szCs w:val="21"/>
              </w:rPr>
              <w:t>其他：</w:t>
            </w:r>
            <w:bookmarkEnd w:id="172"/>
            <w:bookmarkEnd w:id="173"/>
            <w:bookmarkEnd w:id="174"/>
            <w:bookmarkEnd w:id="175"/>
          </w:p>
        </w:tc>
      </w:tr>
      <w:tr w14:paraId="2F441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75FF8F30">
            <w:pPr>
              <w:spacing w:line="360" w:lineRule="auto"/>
              <w:rPr>
                <w:rFonts w:eastAsiaTheme="minorEastAsia"/>
                <w:color w:val="000000"/>
                <w:kern w:val="0"/>
                <w:szCs w:val="21"/>
              </w:rPr>
            </w:pPr>
            <w:r>
              <w:rPr>
                <w:rFonts w:hint="eastAsia" w:eastAsiaTheme="minorEastAsia"/>
                <w:color w:val="000000"/>
                <w:kern w:val="0"/>
                <w:szCs w:val="21"/>
              </w:rPr>
              <w:t>准确度等级</w:t>
            </w:r>
          </w:p>
        </w:tc>
        <w:tc>
          <w:tcPr>
            <w:tcW w:w="1231" w:type="dxa"/>
            <w:vAlign w:val="center"/>
          </w:tcPr>
          <w:p w14:paraId="2FA94060">
            <w:pPr>
              <w:spacing w:line="360" w:lineRule="auto"/>
              <w:ind w:firstLine="315" w:firstLineChars="150"/>
              <w:rPr>
                <w:rFonts w:eastAsiaTheme="minorEastAsia"/>
                <w:color w:val="000000"/>
                <w:kern w:val="0"/>
                <w:szCs w:val="21"/>
              </w:rPr>
            </w:pPr>
          </w:p>
        </w:tc>
        <w:tc>
          <w:tcPr>
            <w:tcW w:w="1405" w:type="dxa"/>
            <w:gridSpan w:val="2"/>
            <w:vAlign w:val="center"/>
          </w:tcPr>
          <w:p w14:paraId="6B8994AF">
            <w:pPr>
              <w:spacing w:line="360" w:lineRule="auto"/>
              <w:ind w:firstLine="210" w:firstLineChars="100"/>
              <w:rPr>
                <w:rFonts w:eastAsiaTheme="minorEastAsia"/>
                <w:color w:val="000000"/>
                <w:kern w:val="0"/>
                <w:szCs w:val="21"/>
              </w:rPr>
            </w:pPr>
            <w:r>
              <w:rPr>
                <w:rFonts w:hint="eastAsia" w:eastAsiaTheme="minorEastAsia"/>
                <w:color w:val="000000"/>
                <w:kern w:val="0"/>
                <w:szCs w:val="21"/>
              </w:rPr>
              <w:t>试验物料</w:t>
            </w:r>
          </w:p>
        </w:tc>
        <w:tc>
          <w:tcPr>
            <w:tcW w:w="1429" w:type="dxa"/>
            <w:gridSpan w:val="2"/>
            <w:vAlign w:val="center"/>
          </w:tcPr>
          <w:p w14:paraId="1B95199D">
            <w:pPr>
              <w:spacing w:line="360" w:lineRule="auto"/>
              <w:ind w:firstLine="315" w:firstLineChars="150"/>
              <w:rPr>
                <w:rFonts w:eastAsiaTheme="minorEastAsia"/>
                <w:color w:val="000000"/>
                <w:kern w:val="0"/>
                <w:szCs w:val="21"/>
              </w:rPr>
            </w:pPr>
          </w:p>
        </w:tc>
        <w:tc>
          <w:tcPr>
            <w:tcW w:w="1605" w:type="dxa"/>
            <w:gridSpan w:val="2"/>
            <w:vAlign w:val="center"/>
          </w:tcPr>
          <w:p w14:paraId="2276BA9B">
            <w:pPr>
              <w:spacing w:line="360" w:lineRule="auto"/>
              <w:rPr>
                <w:rFonts w:eastAsiaTheme="minorEastAsia"/>
                <w:color w:val="000000"/>
                <w:kern w:val="0"/>
                <w:szCs w:val="21"/>
              </w:rPr>
            </w:pPr>
            <w:r>
              <w:rPr>
                <w:rFonts w:hint="eastAsia" w:eastAsiaTheme="minorEastAsia"/>
                <w:color w:val="000000"/>
                <w:kern w:val="0"/>
                <w:szCs w:val="21"/>
              </w:rPr>
              <w:t>模拟载荷名称</w:t>
            </w:r>
          </w:p>
        </w:tc>
        <w:tc>
          <w:tcPr>
            <w:tcW w:w="1326" w:type="dxa"/>
            <w:vAlign w:val="center"/>
          </w:tcPr>
          <w:p w14:paraId="16E8C4B1">
            <w:pPr>
              <w:spacing w:line="360" w:lineRule="auto"/>
              <w:ind w:firstLine="315" w:firstLineChars="150"/>
              <w:rPr>
                <w:rFonts w:eastAsiaTheme="minorEastAsia"/>
                <w:color w:val="000000"/>
                <w:kern w:val="0"/>
                <w:szCs w:val="21"/>
              </w:rPr>
            </w:pPr>
          </w:p>
        </w:tc>
      </w:tr>
      <w:tr w14:paraId="011BA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9"/>
            <w:vAlign w:val="center"/>
          </w:tcPr>
          <w:p w14:paraId="04BDC4AE">
            <w:pPr>
              <w:spacing w:line="360" w:lineRule="auto"/>
              <w:jc w:val="center"/>
              <w:rPr>
                <w:rFonts w:eastAsiaTheme="minorEastAsia"/>
                <w:color w:val="000000"/>
                <w:kern w:val="0"/>
                <w:szCs w:val="21"/>
              </w:rPr>
            </w:pPr>
            <w:bookmarkStart w:id="176" w:name="_Toc532308792"/>
            <w:bookmarkStart w:id="177" w:name="_Toc2607362"/>
            <w:bookmarkStart w:id="178" w:name="_Toc5692206"/>
            <w:bookmarkStart w:id="179" w:name="_Toc529543945"/>
            <w:r>
              <w:rPr>
                <w:rFonts w:hint="eastAsia"/>
                <w:kern w:val="0"/>
                <w:szCs w:val="21"/>
              </w:rPr>
              <w:t>核查</w:t>
            </w:r>
            <w:r>
              <w:rPr>
                <w:rFonts w:eastAsiaTheme="minorEastAsia"/>
                <w:color w:val="000000"/>
                <w:kern w:val="0"/>
                <w:szCs w:val="21"/>
              </w:rPr>
              <w:t>使用的计量标准装置/主要标准器/主要仪器</w:t>
            </w:r>
            <w:bookmarkEnd w:id="176"/>
            <w:bookmarkEnd w:id="177"/>
            <w:bookmarkEnd w:id="178"/>
            <w:bookmarkEnd w:id="179"/>
          </w:p>
        </w:tc>
      </w:tr>
      <w:tr w14:paraId="6BCB6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67EF2B9C">
            <w:pPr>
              <w:jc w:val="center"/>
              <w:rPr>
                <w:rFonts w:eastAsiaTheme="minorEastAsia"/>
                <w:color w:val="000000"/>
                <w:kern w:val="0"/>
                <w:szCs w:val="21"/>
              </w:rPr>
            </w:pPr>
            <w:bookmarkStart w:id="180" w:name="_Toc532308793"/>
            <w:bookmarkStart w:id="181" w:name="_Toc2607363"/>
            <w:bookmarkStart w:id="182" w:name="_Toc5692207"/>
            <w:bookmarkStart w:id="183" w:name="_Toc529543946"/>
            <w:r>
              <w:rPr>
                <w:rFonts w:eastAsiaTheme="minorEastAsia"/>
                <w:color w:val="000000"/>
                <w:kern w:val="0"/>
                <w:szCs w:val="21"/>
              </w:rPr>
              <w:t>测量设备名称</w:t>
            </w:r>
            <w:bookmarkEnd w:id="180"/>
            <w:bookmarkEnd w:id="181"/>
            <w:bookmarkEnd w:id="182"/>
            <w:bookmarkEnd w:id="183"/>
          </w:p>
        </w:tc>
        <w:tc>
          <w:tcPr>
            <w:tcW w:w="1676" w:type="dxa"/>
            <w:gridSpan w:val="2"/>
            <w:vAlign w:val="center"/>
          </w:tcPr>
          <w:p w14:paraId="456ACD6D">
            <w:pPr>
              <w:jc w:val="center"/>
              <w:rPr>
                <w:rFonts w:eastAsiaTheme="minorEastAsia"/>
                <w:color w:val="000000"/>
                <w:kern w:val="0"/>
                <w:szCs w:val="21"/>
              </w:rPr>
            </w:pPr>
            <w:bookmarkStart w:id="184" w:name="_Toc532308794"/>
            <w:bookmarkStart w:id="185" w:name="_Toc2607364"/>
            <w:bookmarkStart w:id="186" w:name="_Toc529543947"/>
            <w:bookmarkStart w:id="187" w:name="_Toc5692208"/>
            <w:r>
              <w:rPr>
                <w:rFonts w:eastAsiaTheme="minorEastAsia"/>
                <w:color w:val="000000"/>
                <w:kern w:val="0"/>
                <w:szCs w:val="21"/>
              </w:rPr>
              <w:t>测量范围</w:t>
            </w:r>
            <w:bookmarkEnd w:id="184"/>
            <w:bookmarkEnd w:id="185"/>
            <w:bookmarkEnd w:id="186"/>
            <w:bookmarkEnd w:id="187"/>
          </w:p>
        </w:tc>
        <w:tc>
          <w:tcPr>
            <w:tcW w:w="1588" w:type="dxa"/>
            <w:gridSpan w:val="2"/>
            <w:vAlign w:val="center"/>
          </w:tcPr>
          <w:p w14:paraId="774C58A1">
            <w:pPr>
              <w:jc w:val="center"/>
              <w:rPr>
                <w:rFonts w:eastAsiaTheme="minorEastAsia"/>
                <w:color w:val="000000"/>
                <w:kern w:val="0"/>
                <w:szCs w:val="21"/>
              </w:rPr>
            </w:pPr>
            <w:bookmarkStart w:id="188" w:name="_Toc532308795"/>
            <w:bookmarkStart w:id="189" w:name="_Toc2607365"/>
            <w:bookmarkStart w:id="190" w:name="_Toc5692209"/>
            <w:bookmarkStart w:id="191" w:name="_Toc529543948"/>
            <w:r>
              <w:rPr>
                <w:rFonts w:eastAsiaTheme="minorEastAsia"/>
                <w:color w:val="000000"/>
                <w:kern w:val="0"/>
                <w:szCs w:val="21"/>
              </w:rPr>
              <w:t>不确定度/准确度等级/最大允许误差</w:t>
            </w:r>
            <w:bookmarkEnd w:id="188"/>
            <w:bookmarkEnd w:id="189"/>
            <w:bookmarkEnd w:id="190"/>
            <w:bookmarkEnd w:id="191"/>
          </w:p>
        </w:tc>
        <w:tc>
          <w:tcPr>
            <w:tcW w:w="1672" w:type="dxa"/>
            <w:gridSpan w:val="2"/>
            <w:vAlign w:val="center"/>
          </w:tcPr>
          <w:p w14:paraId="364677B2">
            <w:pPr>
              <w:jc w:val="center"/>
              <w:rPr>
                <w:rFonts w:eastAsiaTheme="minorEastAsia"/>
                <w:color w:val="000000"/>
                <w:kern w:val="0"/>
                <w:szCs w:val="21"/>
              </w:rPr>
            </w:pPr>
            <w:bookmarkStart w:id="192" w:name="_Toc529543949"/>
            <w:bookmarkStart w:id="193" w:name="_Toc532308796"/>
            <w:bookmarkStart w:id="194" w:name="_Toc2607366"/>
            <w:bookmarkStart w:id="195" w:name="_Toc5692210"/>
            <w:r>
              <w:rPr>
                <w:rFonts w:eastAsiaTheme="minorEastAsia"/>
                <w:color w:val="000000"/>
                <w:kern w:val="0"/>
                <w:szCs w:val="21"/>
              </w:rPr>
              <w:t>证书编号</w:t>
            </w:r>
            <w:bookmarkEnd w:id="192"/>
            <w:bookmarkEnd w:id="193"/>
            <w:bookmarkEnd w:id="194"/>
            <w:bookmarkEnd w:id="195"/>
          </w:p>
        </w:tc>
        <w:tc>
          <w:tcPr>
            <w:tcW w:w="2060" w:type="dxa"/>
            <w:gridSpan w:val="2"/>
            <w:vAlign w:val="center"/>
          </w:tcPr>
          <w:p w14:paraId="4C9A607A">
            <w:pPr>
              <w:jc w:val="center"/>
              <w:rPr>
                <w:rFonts w:eastAsiaTheme="minorEastAsia"/>
                <w:color w:val="000000"/>
                <w:kern w:val="0"/>
                <w:szCs w:val="21"/>
              </w:rPr>
            </w:pPr>
            <w:bookmarkStart w:id="196" w:name="_Toc532308797"/>
            <w:bookmarkStart w:id="197" w:name="_Toc2607367"/>
            <w:bookmarkStart w:id="198" w:name="_Toc529543950"/>
            <w:bookmarkStart w:id="199" w:name="_Toc5692211"/>
            <w:r>
              <w:rPr>
                <w:rFonts w:eastAsiaTheme="minorEastAsia"/>
                <w:color w:val="000000"/>
                <w:kern w:val="0"/>
                <w:szCs w:val="21"/>
              </w:rPr>
              <w:t>证书有效期至（YYYY-MM-DD）</w:t>
            </w:r>
            <w:bookmarkEnd w:id="196"/>
            <w:bookmarkEnd w:id="197"/>
            <w:bookmarkEnd w:id="198"/>
            <w:bookmarkEnd w:id="199"/>
          </w:p>
        </w:tc>
      </w:tr>
      <w:tr w14:paraId="1882A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30D40751">
            <w:pPr>
              <w:spacing w:line="360" w:lineRule="auto"/>
              <w:jc w:val="center"/>
              <w:rPr>
                <w:rFonts w:eastAsiaTheme="minorEastAsia"/>
                <w:color w:val="000000"/>
                <w:kern w:val="0"/>
                <w:szCs w:val="21"/>
              </w:rPr>
            </w:pPr>
            <w:bookmarkStart w:id="200" w:name="_Toc2607368"/>
            <w:bookmarkStart w:id="201" w:name="_Toc532308798"/>
            <w:bookmarkStart w:id="202" w:name="_Toc529543951"/>
            <w:bookmarkStart w:id="203" w:name="_Toc5692212"/>
            <w:r>
              <w:rPr>
                <w:rFonts w:eastAsiaTheme="minorEastAsia"/>
                <w:color w:val="000000"/>
                <w:kern w:val="0"/>
                <w:szCs w:val="21"/>
              </w:rPr>
              <w:t>标准器1</w:t>
            </w:r>
            <w:bookmarkEnd w:id="200"/>
            <w:bookmarkEnd w:id="201"/>
            <w:bookmarkEnd w:id="202"/>
            <w:bookmarkEnd w:id="203"/>
          </w:p>
        </w:tc>
        <w:tc>
          <w:tcPr>
            <w:tcW w:w="1676" w:type="dxa"/>
            <w:gridSpan w:val="2"/>
            <w:vAlign w:val="center"/>
          </w:tcPr>
          <w:p w14:paraId="094298EB">
            <w:pPr>
              <w:spacing w:line="360" w:lineRule="auto"/>
              <w:jc w:val="center"/>
              <w:rPr>
                <w:rFonts w:eastAsiaTheme="minorEastAsia"/>
                <w:color w:val="000000"/>
                <w:kern w:val="0"/>
                <w:szCs w:val="21"/>
              </w:rPr>
            </w:pPr>
          </w:p>
        </w:tc>
        <w:tc>
          <w:tcPr>
            <w:tcW w:w="1588" w:type="dxa"/>
            <w:gridSpan w:val="2"/>
            <w:vAlign w:val="center"/>
          </w:tcPr>
          <w:p w14:paraId="378B51A8">
            <w:pPr>
              <w:spacing w:line="360" w:lineRule="auto"/>
              <w:jc w:val="center"/>
              <w:rPr>
                <w:rFonts w:eastAsiaTheme="minorEastAsia"/>
                <w:color w:val="000000"/>
                <w:kern w:val="0"/>
                <w:szCs w:val="21"/>
              </w:rPr>
            </w:pPr>
          </w:p>
        </w:tc>
        <w:tc>
          <w:tcPr>
            <w:tcW w:w="1672" w:type="dxa"/>
            <w:gridSpan w:val="2"/>
            <w:vAlign w:val="center"/>
          </w:tcPr>
          <w:p w14:paraId="5902E2F2">
            <w:pPr>
              <w:spacing w:line="360" w:lineRule="auto"/>
              <w:jc w:val="center"/>
              <w:rPr>
                <w:rFonts w:eastAsiaTheme="minorEastAsia"/>
                <w:color w:val="000000"/>
                <w:kern w:val="0"/>
                <w:szCs w:val="21"/>
              </w:rPr>
            </w:pPr>
          </w:p>
        </w:tc>
        <w:tc>
          <w:tcPr>
            <w:tcW w:w="2060" w:type="dxa"/>
            <w:gridSpan w:val="2"/>
            <w:vAlign w:val="center"/>
          </w:tcPr>
          <w:p w14:paraId="261247D8">
            <w:pPr>
              <w:spacing w:line="360" w:lineRule="auto"/>
              <w:jc w:val="center"/>
              <w:rPr>
                <w:rFonts w:eastAsiaTheme="minorEastAsia"/>
                <w:color w:val="000000"/>
                <w:kern w:val="0"/>
                <w:szCs w:val="21"/>
              </w:rPr>
            </w:pPr>
          </w:p>
        </w:tc>
      </w:tr>
      <w:tr w14:paraId="2DFE2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0DEDCAE7">
            <w:pPr>
              <w:spacing w:line="360" w:lineRule="auto"/>
              <w:jc w:val="center"/>
              <w:rPr>
                <w:rFonts w:eastAsiaTheme="minorEastAsia"/>
                <w:color w:val="000000"/>
                <w:kern w:val="0"/>
                <w:szCs w:val="21"/>
              </w:rPr>
            </w:pPr>
            <w:bookmarkStart w:id="204" w:name="_Toc532308799"/>
            <w:bookmarkStart w:id="205" w:name="_Toc2607369"/>
            <w:bookmarkStart w:id="206" w:name="_Toc529543952"/>
            <w:bookmarkStart w:id="207" w:name="_Toc5692213"/>
            <w:r>
              <w:rPr>
                <w:rFonts w:eastAsiaTheme="minorEastAsia"/>
                <w:color w:val="000000"/>
                <w:kern w:val="0"/>
                <w:szCs w:val="21"/>
              </w:rPr>
              <w:t>…</w:t>
            </w:r>
            <w:bookmarkEnd w:id="204"/>
            <w:bookmarkEnd w:id="205"/>
            <w:bookmarkEnd w:id="206"/>
            <w:r>
              <w:rPr>
                <w:rFonts w:eastAsiaTheme="minorEastAsia"/>
                <w:color w:val="000000"/>
                <w:kern w:val="0"/>
                <w:szCs w:val="21"/>
              </w:rPr>
              <w:t>…</w:t>
            </w:r>
            <w:bookmarkEnd w:id="207"/>
          </w:p>
        </w:tc>
        <w:tc>
          <w:tcPr>
            <w:tcW w:w="1676" w:type="dxa"/>
            <w:gridSpan w:val="2"/>
            <w:vAlign w:val="center"/>
          </w:tcPr>
          <w:p w14:paraId="372384AA">
            <w:pPr>
              <w:spacing w:line="360" w:lineRule="auto"/>
              <w:jc w:val="center"/>
              <w:rPr>
                <w:rFonts w:eastAsiaTheme="minorEastAsia"/>
                <w:color w:val="000000"/>
                <w:kern w:val="0"/>
                <w:szCs w:val="21"/>
              </w:rPr>
            </w:pPr>
          </w:p>
        </w:tc>
        <w:tc>
          <w:tcPr>
            <w:tcW w:w="1588" w:type="dxa"/>
            <w:gridSpan w:val="2"/>
            <w:vAlign w:val="center"/>
          </w:tcPr>
          <w:p w14:paraId="4D5C4344">
            <w:pPr>
              <w:spacing w:line="360" w:lineRule="auto"/>
              <w:jc w:val="center"/>
              <w:rPr>
                <w:rFonts w:eastAsiaTheme="minorEastAsia"/>
                <w:color w:val="000000"/>
                <w:kern w:val="0"/>
                <w:szCs w:val="21"/>
              </w:rPr>
            </w:pPr>
          </w:p>
        </w:tc>
        <w:tc>
          <w:tcPr>
            <w:tcW w:w="1672" w:type="dxa"/>
            <w:gridSpan w:val="2"/>
            <w:vAlign w:val="center"/>
          </w:tcPr>
          <w:p w14:paraId="419E9632">
            <w:pPr>
              <w:spacing w:line="360" w:lineRule="auto"/>
              <w:jc w:val="center"/>
              <w:rPr>
                <w:rFonts w:eastAsiaTheme="minorEastAsia"/>
                <w:color w:val="000000"/>
                <w:kern w:val="0"/>
                <w:szCs w:val="21"/>
              </w:rPr>
            </w:pPr>
          </w:p>
        </w:tc>
        <w:tc>
          <w:tcPr>
            <w:tcW w:w="2060" w:type="dxa"/>
            <w:gridSpan w:val="2"/>
            <w:vAlign w:val="center"/>
          </w:tcPr>
          <w:p w14:paraId="33B62955">
            <w:pPr>
              <w:spacing w:line="360" w:lineRule="auto"/>
              <w:jc w:val="center"/>
              <w:rPr>
                <w:rFonts w:eastAsiaTheme="minorEastAsia"/>
                <w:color w:val="000000"/>
                <w:kern w:val="0"/>
                <w:szCs w:val="21"/>
              </w:rPr>
            </w:pPr>
          </w:p>
        </w:tc>
      </w:tr>
      <w:tr w14:paraId="57527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14:paraId="61998366">
            <w:pPr>
              <w:spacing w:line="360" w:lineRule="auto"/>
              <w:jc w:val="center"/>
              <w:rPr>
                <w:rFonts w:eastAsiaTheme="minorEastAsia"/>
                <w:color w:val="000000"/>
                <w:kern w:val="0"/>
                <w:szCs w:val="21"/>
              </w:rPr>
            </w:pPr>
            <w:bookmarkStart w:id="208" w:name="_Toc5692215"/>
            <w:r>
              <w:rPr>
                <w:rFonts w:eastAsiaTheme="minorEastAsia"/>
                <w:color w:val="000000"/>
                <w:kern w:val="0"/>
                <w:szCs w:val="21"/>
              </w:rPr>
              <w:t>标准器n</w:t>
            </w:r>
            <w:bookmarkEnd w:id="208"/>
          </w:p>
        </w:tc>
        <w:tc>
          <w:tcPr>
            <w:tcW w:w="1676" w:type="dxa"/>
            <w:gridSpan w:val="2"/>
            <w:vAlign w:val="center"/>
          </w:tcPr>
          <w:p w14:paraId="5301D791">
            <w:pPr>
              <w:spacing w:line="360" w:lineRule="auto"/>
              <w:jc w:val="center"/>
              <w:rPr>
                <w:rFonts w:eastAsiaTheme="minorEastAsia"/>
                <w:color w:val="000000"/>
                <w:kern w:val="0"/>
                <w:szCs w:val="21"/>
              </w:rPr>
            </w:pPr>
          </w:p>
        </w:tc>
        <w:tc>
          <w:tcPr>
            <w:tcW w:w="1588" w:type="dxa"/>
            <w:gridSpan w:val="2"/>
            <w:vAlign w:val="center"/>
          </w:tcPr>
          <w:p w14:paraId="1ECD86C6">
            <w:pPr>
              <w:spacing w:line="360" w:lineRule="auto"/>
              <w:jc w:val="center"/>
              <w:rPr>
                <w:rFonts w:eastAsiaTheme="minorEastAsia"/>
                <w:color w:val="000000"/>
                <w:kern w:val="0"/>
                <w:szCs w:val="21"/>
              </w:rPr>
            </w:pPr>
          </w:p>
        </w:tc>
        <w:tc>
          <w:tcPr>
            <w:tcW w:w="1672" w:type="dxa"/>
            <w:gridSpan w:val="2"/>
            <w:vAlign w:val="center"/>
          </w:tcPr>
          <w:p w14:paraId="59CC5BA7">
            <w:pPr>
              <w:spacing w:line="360" w:lineRule="auto"/>
              <w:jc w:val="center"/>
              <w:rPr>
                <w:rFonts w:eastAsiaTheme="minorEastAsia"/>
                <w:color w:val="000000"/>
                <w:kern w:val="0"/>
                <w:szCs w:val="21"/>
              </w:rPr>
            </w:pPr>
          </w:p>
        </w:tc>
        <w:tc>
          <w:tcPr>
            <w:tcW w:w="2060" w:type="dxa"/>
            <w:gridSpan w:val="2"/>
            <w:vAlign w:val="center"/>
          </w:tcPr>
          <w:p w14:paraId="1487CA13">
            <w:pPr>
              <w:spacing w:line="360" w:lineRule="auto"/>
              <w:jc w:val="center"/>
              <w:rPr>
                <w:rFonts w:eastAsiaTheme="minorEastAsia"/>
                <w:color w:val="000000"/>
                <w:kern w:val="0"/>
                <w:szCs w:val="21"/>
              </w:rPr>
            </w:pPr>
          </w:p>
        </w:tc>
      </w:tr>
    </w:tbl>
    <w:p w14:paraId="04BDC2ED">
      <w:pPr>
        <w:spacing w:beforeLines="50" w:line="360" w:lineRule="auto"/>
        <w:jc w:val="center"/>
        <w:rPr>
          <w:rFonts w:eastAsia="黑体"/>
          <w:bCs/>
          <w:sz w:val="32"/>
          <w:szCs w:val="32"/>
        </w:rPr>
      </w:pPr>
      <w:r>
        <w:rPr>
          <w:rFonts w:hint="eastAsia" w:eastAsia="黑体"/>
          <w:bCs/>
          <w:sz w:val="32"/>
          <w:szCs w:val="32"/>
        </w:rPr>
        <w:t>核查</w:t>
      </w:r>
      <w:r>
        <w:rPr>
          <w:rFonts w:eastAsia="黑体"/>
          <w:bCs/>
          <w:sz w:val="32"/>
          <w:szCs w:val="32"/>
        </w:rPr>
        <w:t>结果</w:t>
      </w:r>
    </w:p>
    <w:p w14:paraId="76C752D0">
      <w:pPr>
        <w:spacing w:line="84" w:lineRule="exact"/>
      </w:pPr>
    </w:p>
    <w:tbl>
      <w:tblPr>
        <w:tblStyle w:val="218"/>
        <w:tblW w:w="98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80"/>
        <w:gridCol w:w="4536"/>
        <w:gridCol w:w="1418"/>
        <w:gridCol w:w="1418"/>
      </w:tblGrid>
      <w:tr w14:paraId="5A554B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jc w:val="center"/>
        </w:trPr>
        <w:tc>
          <w:tcPr>
            <w:tcW w:w="7016" w:type="dxa"/>
            <w:gridSpan w:val="2"/>
            <w:vAlign w:val="center"/>
          </w:tcPr>
          <w:p w14:paraId="03A745AD">
            <w:pPr>
              <w:autoSpaceDE w:val="0"/>
              <w:autoSpaceDN w:val="0"/>
              <w:spacing w:before="113" w:line="219" w:lineRule="auto"/>
              <w:ind w:firstLine="2310" w:firstLineChars="1100"/>
              <w:jc w:val="center"/>
              <w:rPr>
                <w:rFonts w:asciiTheme="minorHAnsi" w:hAnsiTheme="minorHAnsi" w:eastAsiaTheme="minorEastAsia" w:cstheme="minorBidi"/>
                <w:lang w:eastAsia="en-US"/>
              </w:rPr>
            </w:pPr>
            <w:r>
              <w:rPr>
                <w:rFonts w:hint="eastAsia" w:asciiTheme="minorHAnsi" w:hAnsiTheme="minorHAnsi" w:eastAsiaTheme="minorEastAsia" w:cstheme="minorBidi"/>
                <w:lang w:eastAsia="en-US"/>
              </w:rPr>
              <w:t>核查项目</w:t>
            </w:r>
          </w:p>
        </w:tc>
        <w:tc>
          <w:tcPr>
            <w:tcW w:w="2836" w:type="dxa"/>
            <w:gridSpan w:val="2"/>
            <w:vAlign w:val="center"/>
          </w:tcPr>
          <w:p w14:paraId="4DA5A7EB">
            <w:pPr>
              <w:autoSpaceDE w:val="0"/>
              <w:autoSpaceDN w:val="0"/>
              <w:spacing w:before="113" w:line="219" w:lineRule="auto"/>
              <w:ind w:firstLine="840" w:firstLineChars="400"/>
              <w:rPr>
                <w:rFonts w:asciiTheme="minorHAnsi" w:hAnsiTheme="minorHAnsi" w:eastAsiaTheme="minorEastAsia" w:cstheme="minorBidi"/>
                <w:kern w:val="0"/>
                <w:szCs w:val="21"/>
                <w:lang w:eastAsia="en-US"/>
              </w:rPr>
            </w:pPr>
            <w:r>
              <w:rPr>
                <w:rFonts w:hint="eastAsia" w:asciiTheme="minorHAnsi" w:hAnsiTheme="minorHAnsi" w:eastAsiaTheme="minorEastAsia" w:cstheme="minorBidi"/>
                <w:kern w:val="0"/>
                <w:szCs w:val="21"/>
                <w:lang w:eastAsia="en-US"/>
              </w:rPr>
              <w:t>核查</w:t>
            </w:r>
            <w:r>
              <w:rPr>
                <w:rFonts w:asciiTheme="minorHAnsi" w:hAnsiTheme="minorHAnsi" w:eastAsiaTheme="minorEastAsia" w:cstheme="minorBidi"/>
                <w:lang w:eastAsia="en-US"/>
              </w:rPr>
              <w:t>结果</w:t>
            </w:r>
          </w:p>
        </w:tc>
      </w:tr>
      <w:tr w14:paraId="412AB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2480" w:type="dxa"/>
            <w:vMerge w:val="restart"/>
            <w:tcBorders>
              <w:bottom w:val="nil"/>
            </w:tcBorders>
            <w:vAlign w:val="center"/>
          </w:tcPr>
          <w:p w14:paraId="020A4586">
            <w:pPr>
              <w:autoSpaceDE w:val="0"/>
              <w:autoSpaceDN w:val="0"/>
              <w:spacing w:before="65" w:line="219" w:lineRule="auto"/>
              <w:jc w:val="center"/>
              <w:rPr>
                <w:rFonts w:asciiTheme="minorHAnsi" w:hAnsiTheme="minorHAnsi" w:eastAsiaTheme="minorEastAsia" w:cstheme="minorBidi"/>
                <w:lang w:eastAsia="en-US"/>
              </w:rPr>
            </w:pPr>
            <w:r>
              <w:rPr>
                <w:rFonts w:asciiTheme="minorHAnsi" w:hAnsiTheme="minorHAnsi" w:eastAsiaTheme="minorEastAsia" w:cstheme="minorBidi"/>
                <w:lang w:eastAsia="en-US"/>
              </w:rPr>
              <w:t>外观检查</w:t>
            </w:r>
          </w:p>
        </w:tc>
        <w:tc>
          <w:tcPr>
            <w:tcW w:w="4536" w:type="dxa"/>
            <w:vAlign w:val="center"/>
          </w:tcPr>
          <w:p w14:paraId="20CD46DC">
            <w:pPr>
              <w:autoSpaceDE w:val="0"/>
              <w:autoSpaceDN w:val="0"/>
              <w:spacing w:before="99" w:line="219" w:lineRule="auto"/>
              <w:ind w:left="571" w:leftChars="272" w:firstLine="315" w:firstLineChars="150"/>
              <w:rPr>
                <w:rFonts w:asciiTheme="minorHAnsi" w:hAnsiTheme="minorHAnsi" w:eastAsiaTheme="minorEastAsia" w:cstheme="minorBidi"/>
                <w:lang w:eastAsia="zh-CN"/>
              </w:rPr>
            </w:pPr>
            <w:r>
              <w:rPr>
                <w:rFonts w:asciiTheme="minorHAnsi" w:hAnsiTheme="minorHAnsi" w:eastAsiaTheme="minorEastAsia" w:cstheme="minorBidi"/>
                <w:lang w:eastAsia="zh-CN"/>
              </w:rPr>
              <w:t>计量管理及说明性标记</w:t>
            </w:r>
          </w:p>
        </w:tc>
        <w:tc>
          <w:tcPr>
            <w:tcW w:w="2836" w:type="dxa"/>
            <w:gridSpan w:val="2"/>
            <w:vMerge w:val="restart"/>
            <w:vAlign w:val="center"/>
          </w:tcPr>
          <w:p w14:paraId="5F1ED1CA">
            <w:pPr>
              <w:autoSpaceDE w:val="0"/>
              <w:autoSpaceDN w:val="0"/>
              <w:jc w:val="center"/>
              <w:rPr>
                <w:rFonts w:asciiTheme="minorHAnsi" w:hAnsiTheme="minorHAnsi" w:eastAsiaTheme="minorEastAsia" w:cstheme="minorBidi"/>
                <w:lang w:eastAsia="zh-CN"/>
              </w:rPr>
            </w:pPr>
          </w:p>
        </w:tc>
      </w:tr>
      <w:tr w14:paraId="617B4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2480" w:type="dxa"/>
            <w:vMerge w:val="continue"/>
            <w:tcBorders>
              <w:top w:val="nil"/>
            </w:tcBorders>
            <w:vAlign w:val="center"/>
          </w:tcPr>
          <w:p w14:paraId="5C1C7AC0">
            <w:pPr>
              <w:autoSpaceDE w:val="0"/>
              <w:autoSpaceDN w:val="0"/>
              <w:jc w:val="center"/>
              <w:rPr>
                <w:rFonts w:asciiTheme="minorHAnsi" w:hAnsiTheme="minorHAnsi" w:eastAsiaTheme="minorEastAsia" w:cstheme="minorBidi"/>
                <w:lang w:eastAsia="zh-CN"/>
              </w:rPr>
            </w:pPr>
          </w:p>
        </w:tc>
        <w:tc>
          <w:tcPr>
            <w:tcW w:w="4536" w:type="dxa"/>
            <w:vAlign w:val="center"/>
          </w:tcPr>
          <w:p w14:paraId="36AF6E55">
            <w:pPr>
              <w:autoSpaceDE w:val="0"/>
              <w:autoSpaceDN w:val="0"/>
              <w:spacing w:before="109" w:line="219" w:lineRule="auto"/>
              <w:ind w:firstLine="1365" w:firstLineChars="650"/>
              <w:rPr>
                <w:rFonts w:asciiTheme="minorHAnsi" w:hAnsiTheme="minorHAnsi" w:eastAsiaTheme="minorEastAsia" w:cstheme="minorBidi"/>
                <w:lang w:eastAsia="en-US"/>
              </w:rPr>
            </w:pPr>
            <w:r>
              <w:rPr>
                <w:rFonts w:asciiTheme="minorHAnsi" w:hAnsiTheme="minorHAnsi" w:eastAsiaTheme="minorEastAsia" w:cstheme="minorBidi"/>
                <w:lang w:eastAsia="en-US"/>
              </w:rPr>
              <w:t>检定标记</w:t>
            </w:r>
          </w:p>
        </w:tc>
        <w:tc>
          <w:tcPr>
            <w:tcW w:w="2836" w:type="dxa"/>
            <w:gridSpan w:val="2"/>
            <w:vMerge w:val="continue"/>
            <w:vAlign w:val="center"/>
          </w:tcPr>
          <w:p w14:paraId="301B1150">
            <w:pPr>
              <w:autoSpaceDE w:val="0"/>
              <w:autoSpaceDN w:val="0"/>
              <w:jc w:val="center"/>
              <w:rPr>
                <w:rFonts w:asciiTheme="minorHAnsi" w:hAnsiTheme="minorHAnsi" w:eastAsiaTheme="minorEastAsia" w:cstheme="minorBidi"/>
                <w:lang w:eastAsia="en-US"/>
              </w:rPr>
            </w:pPr>
          </w:p>
        </w:tc>
      </w:tr>
      <w:tr w14:paraId="4D370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jc w:val="center"/>
        </w:trPr>
        <w:tc>
          <w:tcPr>
            <w:tcW w:w="2480" w:type="dxa"/>
            <w:vMerge w:val="restart"/>
            <w:tcBorders>
              <w:bottom w:val="nil"/>
            </w:tcBorders>
            <w:vAlign w:val="center"/>
          </w:tcPr>
          <w:p w14:paraId="1AE653A9">
            <w:pPr>
              <w:autoSpaceDE w:val="0"/>
              <w:autoSpaceDN w:val="0"/>
              <w:spacing w:before="65" w:line="330" w:lineRule="exact"/>
              <w:jc w:val="center"/>
              <w:rPr>
                <w:rFonts w:asciiTheme="minorHAnsi" w:hAnsiTheme="minorHAnsi" w:eastAsiaTheme="minorEastAsia" w:cstheme="minorBidi"/>
                <w:lang w:eastAsia="en-US"/>
              </w:rPr>
            </w:pPr>
            <w:r>
              <w:rPr>
                <w:rFonts w:asciiTheme="minorHAnsi" w:hAnsiTheme="minorHAnsi" w:eastAsiaTheme="minorEastAsia" w:cstheme="minorBidi"/>
                <w:lang w:eastAsia="en-US"/>
              </w:rPr>
              <w:t>使用条件检查</w:t>
            </w:r>
          </w:p>
        </w:tc>
        <w:tc>
          <w:tcPr>
            <w:tcW w:w="4536" w:type="dxa"/>
            <w:vAlign w:val="center"/>
          </w:tcPr>
          <w:p w14:paraId="4912D2DC">
            <w:pPr>
              <w:autoSpaceDE w:val="0"/>
              <w:autoSpaceDN w:val="0"/>
              <w:spacing w:before="110" w:line="219" w:lineRule="auto"/>
              <w:ind w:left="1172" w:leftChars="558" w:firstLine="210" w:firstLineChars="100"/>
              <w:rPr>
                <w:rFonts w:asciiTheme="minorHAnsi" w:hAnsiTheme="minorHAnsi" w:eastAsiaTheme="minorEastAsia" w:cstheme="minorBidi"/>
                <w:lang w:eastAsia="en-US"/>
              </w:rPr>
            </w:pPr>
            <w:r>
              <w:rPr>
                <w:rFonts w:asciiTheme="minorHAnsi" w:hAnsiTheme="minorHAnsi" w:eastAsiaTheme="minorEastAsia" w:cstheme="minorBidi"/>
                <w:lang w:eastAsia="en-US"/>
              </w:rPr>
              <w:t>流量检查</w:t>
            </w:r>
          </w:p>
        </w:tc>
        <w:tc>
          <w:tcPr>
            <w:tcW w:w="2836" w:type="dxa"/>
            <w:gridSpan w:val="2"/>
            <w:vMerge w:val="continue"/>
            <w:vAlign w:val="center"/>
          </w:tcPr>
          <w:p w14:paraId="2292050F">
            <w:pPr>
              <w:autoSpaceDE w:val="0"/>
              <w:autoSpaceDN w:val="0"/>
              <w:jc w:val="center"/>
              <w:rPr>
                <w:rFonts w:asciiTheme="minorHAnsi" w:hAnsiTheme="minorHAnsi" w:eastAsiaTheme="minorEastAsia" w:cstheme="minorBidi"/>
                <w:lang w:eastAsia="en-US"/>
              </w:rPr>
            </w:pPr>
          </w:p>
        </w:tc>
      </w:tr>
      <w:tr w14:paraId="63F8F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jc w:val="center"/>
        </w:trPr>
        <w:tc>
          <w:tcPr>
            <w:tcW w:w="2480" w:type="dxa"/>
            <w:vMerge w:val="continue"/>
            <w:tcBorders>
              <w:top w:val="nil"/>
              <w:bottom w:val="nil"/>
            </w:tcBorders>
            <w:vAlign w:val="center"/>
          </w:tcPr>
          <w:p w14:paraId="3B89B870">
            <w:pPr>
              <w:autoSpaceDE w:val="0"/>
              <w:autoSpaceDN w:val="0"/>
              <w:jc w:val="center"/>
              <w:rPr>
                <w:rFonts w:asciiTheme="minorHAnsi" w:hAnsiTheme="minorHAnsi" w:eastAsiaTheme="minorEastAsia" w:cstheme="minorBidi"/>
                <w:lang w:eastAsia="en-US"/>
              </w:rPr>
            </w:pPr>
          </w:p>
        </w:tc>
        <w:tc>
          <w:tcPr>
            <w:tcW w:w="4536" w:type="dxa"/>
            <w:vAlign w:val="center"/>
          </w:tcPr>
          <w:p w14:paraId="75FA83BC">
            <w:pPr>
              <w:autoSpaceDE w:val="0"/>
              <w:autoSpaceDN w:val="0"/>
              <w:spacing w:before="110" w:line="219" w:lineRule="auto"/>
              <w:ind w:left="571" w:leftChars="272" w:firstLine="210" w:firstLineChars="100"/>
              <w:rPr>
                <w:rFonts w:asciiTheme="minorHAnsi" w:hAnsiTheme="minorHAnsi" w:eastAsiaTheme="minorEastAsia" w:cstheme="minorBidi"/>
                <w:lang w:eastAsia="zh-CN"/>
              </w:rPr>
            </w:pPr>
            <w:r>
              <w:rPr>
                <w:rFonts w:asciiTheme="minorHAnsi" w:hAnsiTheme="minorHAnsi" w:eastAsiaTheme="minorEastAsia" w:cstheme="minorBidi"/>
                <w:lang w:eastAsia="zh-CN"/>
              </w:rPr>
              <w:t>最小累计载荷 ∑mi</w:t>
            </w:r>
            <w:r>
              <w:rPr>
                <w:rFonts w:hint="eastAsia" w:asciiTheme="minorHAnsi" w:hAnsiTheme="minorHAnsi" w:eastAsiaTheme="minorEastAsia" w:cstheme="minorBidi"/>
                <w:lang w:eastAsia="zh-CN"/>
              </w:rPr>
              <w:t>n</w:t>
            </w:r>
            <w:r>
              <w:rPr>
                <w:rFonts w:asciiTheme="minorHAnsi" w:hAnsiTheme="minorHAnsi" w:eastAsiaTheme="minorEastAsia" w:cstheme="minorBidi"/>
                <w:lang w:eastAsia="zh-CN"/>
              </w:rPr>
              <w:t>检查</w:t>
            </w:r>
          </w:p>
        </w:tc>
        <w:tc>
          <w:tcPr>
            <w:tcW w:w="2836" w:type="dxa"/>
            <w:gridSpan w:val="2"/>
            <w:vMerge w:val="continue"/>
            <w:vAlign w:val="center"/>
          </w:tcPr>
          <w:p w14:paraId="3E1DFE80">
            <w:pPr>
              <w:autoSpaceDE w:val="0"/>
              <w:autoSpaceDN w:val="0"/>
              <w:jc w:val="center"/>
              <w:rPr>
                <w:rFonts w:asciiTheme="minorHAnsi" w:hAnsiTheme="minorHAnsi" w:eastAsiaTheme="minorEastAsia" w:cstheme="minorBidi"/>
                <w:lang w:eastAsia="zh-CN"/>
              </w:rPr>
            </w:pPr>
          </w:p>
        </w:tc>
      </w:tr>
      <w:tr w14:paraId="71518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7016" w:type="dxa"/>
            <w:gridSpan w:val="2"/>
            <w:tcBorders>
              <w:bottom w:val="nil"/>
            </w:tcBorders>
            <w:vAlign w:val="center"/>
          </w:tcPr>
          <w:p w14:paraId="75E79AEF">
            <w:pPr>
              <w:autoSpaceDE w:val="0"/>
              <w:autoSpaceDN w:val="0"/>
              <w:spacing w:before="112" w:line="219" w:lineRule="auto"/>
              <w:ind w:left="470" w:leftChars="224" w:firstLine="315" w:firstLineChars="150"/>
              <w:rPr>
                <w:rFonts w:asciiTheme="minorHAnsi" w:hAnsiTheme="minorHAnsi" w:eastAsiaTheme="minorEastAsia" w:cstheme="minorBidi"/>
                <w:lang w:eastAsia="zh-CN"/>
              </w:rPr>
            </w:pPr>
          </w:p>
        </w:tc>
        <w:tc>
          <w:tcPr>
            <w:tcW w:w="1418" w:type="dxa"/>
            <w:vAlign w:val="center"/>
          </w:tcPr>
          <w:p w14:paraId="7E18CB13">
            <w:pPr>
              <w:autoSpaceDE w:val="0"/>
              <w:autoSpaceDN w:val="0"/>
              <w:jc w:val="center"/>
              <w:rPr>
                <w:rFonts w:asciiTheme="minorHAnsi" w:hAnsiTheme="minorHAnsi" w:eastAsiaTheme="minorEastAsia" w:cstheme="minorBidi"/>
                <w:lang w:eastAsia="en-US"/>
              </w:rPr>
            </w:pPr>
            <w:r>
              <w:rPr>
                <w:rFonts w:hint="eastAsia" w:asciiTheme="minorHAnsi" w:hAnsiTheme="minorHAnsi" w:eastAsiaTheme="minorEastAsia" w:cstheme="minorBidi"/>
                <w:lang w:eastAsia="en-US"/>
              </w:rPr>
              <w:t>最大误差值</w:t>
            </w:r>
          </w:p>
        </w:tc>
        <w:tc>
          <w:tcPr>
            <w:tcW w:w="1418" w:type="dxa"/>
            <w:vAlign w:val="center"/>
          </w:tcPr>
          <w:p w14:paraId="5DA887DE">
            <w:pPr>
              <w:autoSpaceDE w:val="0"/>
              <w:autoSpaceDN w:val="0"/>
              <w:jc w:val="center"/>
              <w:rPr>
                <w:rFonts w:asciiTheme="minorHAnsi" w:hAnsiTheme="minorHAnsi" w:eastAsiaTheme="minorEastAsia" w:cstheme="minorBidi"/>
                <w:lang w:eastAsia="en-US"/>
              </w:rPr>
            </w:pPr>
            <w:r>
              <w:rPr>
                <w:rFonts w:hint="eastAsia" w:asciiTheme="minorHAnsi" w:hAnsiTheme="minorHAnsi" w:eastAsiaTheme="minorEastAsia" w:cstheme="minorBidi"/>
                <w:lang w:eastAsia="en-US"/>
              </w:rPr>
              <w:t>最大允许误差</w:t>
            </w:r>
          </w:p>
        </w:tc>
      </w:tr>
      <w:tr w14:paraId="7631A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2480" w:type="dxa"/>
            <w:vMerge w:val="restart"/>
            <w:tcBorders>
              <w:bottom w:val="nil"/>
            </w:tcBorders>
            <w:vAlign w:val="center"/>
          </w:tcPr>
          <w:p w14:paraId="380DE511">
            <w:pPr>
              <w:autoSpaceDE w:val="0"/>
              <w:autoSpaceDN w:val="0"/>
              <w:spacing w:before="65" w:line="219" w:lineRule="auto"/>
              <w:jc w:val="center"/>
              <w:rPr>
                <w:rFonts w:asciiTheme="minorHAnsi" w:hAnsiTheme="minorHAnsi" w:eastAsiaTheme="minorEastAsia" w:cstheme="minorBidi"/>
                <w:lang w:eastAsia="en-US"/>
              </w:rPr>
            </w:pPr>
            <w:r>
              <w:rPr>
                <w:rFonts w:asciiTheme="minorHAnsi" w:hAnsiTheme="minorHAnsi" w:eastAsiaTheme="minorEastAsia" w:cstheme="minorBidi"/>
                <w:lang w:eastAsia="en-US"/>
              </w:rPr>
              <w:t>零点</w:t>
            </w:r>
            <w:r>
              <w:rPr>
                <w:rFonts w:hint="eastAsia" w:asciiTheme="minorHAnsi" w:hAnsiTheme="minorHAnsi" w:eastAsiaTheme="minorEastAsia" w:cstheme="minorBidi"/>
                <w:lang w:eastAsia="en-US"/>
              </w:rPr>
              <w:t>核查</w:t>
            </w:r>
          </w:p>
        </w:tc>
        <w:tc>
          <w:tcPr>
            <w:tcW w:w="4536" w:type="dxa"/>
            <w:vAlign w:val="center"/>
          </w:tcPr>
          <w:p w14:paraId="04742D00">
            <w:pPr>
              <w:autoSpaceDE w:val="0"/>
              <w:autoSpaceDN w:val="0"/>
              <w:spacing w:before="112" w:line="219" w:lineRule="auto"/>
              <w:ind w:left="470" w:leftChars="224" w:firstLine="315" w:firstLineChars="150"/>
              <w:rPr>
                <w:rFonts w:asciiTheme="minorHAnsi" w:hAnsiTheme="minorHAnsi" w:eastAsiaTheme="minorEastAsia" w:cstheme="minorBidi"/>
                <w:lang w:eastAsia="en-US"/>
              </w:rPr>
            </w:pPr>
            <w:r>
              <w:rPr>
                <w:rFonts w:hint="eastAsia" w:asciiTheme="minorHAnsi" w:hAnsiTheme="minorHAnsi" w:eastAsiaTheme="minorEastAsia" w:cstheme="minorBidi"/>
                <w:lang w:eastAsia="en-US"/>
              </w:rPr>
              <w:t>零点的累计误差试验</w:t>
            </w:r>
          </w:p>
        </w:tc>
        <w:tc>
          <w:tcPr>
            <w:tcW w:w="1418" w:type="dxa"/>
            <w:vAlign w:val="center"/>
          </w:tcPr>
          <w:p w14:paraId="024600C0">
            <w:pPr>
              <w:autoSpaceDE w:val="0"/>
              <w:autoSpaceDN w:val="0"/>
              <w:jc w:val="center"/>
              <w:rPr>
                <w:rFonts w:asciiTheme="minorHAnsi" w:hAnsiTheme="minorHAnsi" w:eastAsiaTheme="minorEastAsia" w:cstheme="minorBidi"/>
                <w:lang w:eastAsia="en-US"/>
              </w:rPr>
            </w:pPr>
          </w:p>
        </w:tc>
        <w:tc>
          <w:tcPr>
            <w:tcW w:w="1418" w:type="dxa"/>
          </w:tcPr>
          <w:p w14:paraId="2BC4B949">
            <w:pPr>
              <w:autoSpaceDE w:val="0"/>
              <w:autoSpaceDN w:val="0"/>
              <w:jc w:val="center"/>
              <w:rPr>
                <w:rFonts w:asciiTheme="minorHAnsi" w:hAnsiTheme="minorHAnsi" w:eastAsiaTheme="minorEastAsia" w:cstheme="minorBidi"/>
                <w:lang w:eastAsia="en-US"/>
              </w:rPr>
            </w:pPr>
          </w:p>
        </w:tc>
      </w:tr>
      <w:tr w14:paraId="3316B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jc w:val="center"/>
        </w:trPr>
        <w:tc>
          <w:tcPr>
            <w:tcW w:w="2480" w:type="dxa"/>
            <w:vMerge w:val="continue"/>
            <w:tcBorders>
              <w:top w:val="nil"/>
              <w:bottom w:val="nil"/>
            </w:tcBorders>
            <w:vAlign w:val="center"/>
          </w:tcPr>
          <w:p w14:paraId="40DE7785">
            <w:pPr>
              <w:autoSpaceDE w:val="0"/>
              <w:autoSpaceDN w:val="0"/>
              <w:jc w:val="center"/>
              <w:rPr>
                <w:rFonts w:asciiTheme="minorHAnsi" w:hAnsiTheme="minorHAnsi" w:eastAsiaTheme="minorEastAsia" w:cstheme="minorBidi"/>
                <w:lang w:eastAsia="en-US"/>
              </w:rPr>
            </w:pPr>
          </w:p>
        </w:tc>
        <w:tc>
          <w:tcPr>
            <w:tcW w:w="4536" w:type="dxa"/>
            <w:vAlign w:val="center"/>
          </w:tcPr>
          <w:p w14:paraId="2B21B9CF">
            <w:pPr>
              <w:autoSpaceDE w:val="0"/>
              <w:autoSpaceDN w:val="0"/>
              <w:spacing w:before="113" w:line="219" w:lineRule="auto"/>
              <w:ind w:left="571" w:leftChars="272" w:firstLine="105" w:firstLineChars="50"/>
              <w:rPr>
                <w:rFonts w:asciiTheme="minorHAnsi" w:hAnsiTheme="minorHAnsi" w:eastAsiaTheme="minorEastAsia" w:cstheme="minorBidi"/>
                <w:lang w:eastAsia="zh-CN"/>
              </w:rPr>
            </w:pPr>
            <w:r>
              <w:rPr>
                <w:rFonts w:asciiTheme="minorHAnsi" w:hAnsiTheme="minorHAnsi" w:eastAsiaTheme="minorEastAsia" w:cstheme="minorBidi"/>
                <w:lang w:eastAsia="zh-CN"/>
              </w:rPr>
              <w:t>零载荷的最大偏差试验</w:t>
            </w:r>
          </w:p>
        </w:tc>
        <w:tc>
          <w:tcPr>
            <w:tcW w:w="1418" w:type="dxa"/>
            <w:vAlign w:val="center"/>
          </w:tcPr>
          <w:p w14:paraId="2318694A">
            <w:pPr>
              <w:autoSpaceDE w:val="0"/>
              <w:autoSpaceDN w:val="0"/>
              <w:jc w:val="center"/>
              <w:rPr>
                <w:rFonts w:asciiTheme="minorHAnsi" w:hAnsiTheme="minorHAnsi" w:eastAsiaTheme="minorEastAsia" w:cstheme="minorBidi"/>
                <w:lang w:eastAsia="zh-CN"/>
              </w:rPr>
            </w:pPr>
          </w:p>
        </w:tc>
        <w:tc>
          <w:tcPr>
            <w:tcW w:w="1418" w:type="dxa"/>
          </w:tcPr>
          <w:p w14:paraId="58C66D5B">
            <w:pPr>
              <w:autoSpaceDE w:val="0"/>
              <w:autoSpaceDN w:val="0"/>
              <w:jc w:val="center"/>
              <w:rPr>
                <w:rFonts w:asciiTheme="minorHAnsi" w:hAnsiTheme="minorHAnsi" w:eastAsiaTheme="minorEastAsia" w:cstheme="minorBidi"/>
                <w:lang w:eastAsia="zh-CN"/>
              </w:rPr>
            </w:pPr>
          </w:p>
        </w:tc>
      </w:tr>
      <w:tr w14:paraId="71053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2480" w:type="dxa"/>
            <w:tcBorders>
              <w:top w:val="single" w:color="000000" w:sz="4" w:space="0"/>
              <w:bottom w:val="single" w:color="000000" w:sz="4" w:space="0"/>
            </w:tcBorders>
            <w:vAlign w:val="center"/>
          </w:tcPr>
          <w:p w14:paraId="4FCA7FF4">
            <w:pPr>
              <w:autoSpaceDE w:val="0"/>
              <w:autoSpaceDN w:val="0"/>
              <w:spacing w:before="65" w:line="219" w:lineRule="auto"/>
              <w:ind w:firstLine="840" w:firstLineChars="400"/>
              <w:rPr>
                <w:rFonts w:asciiTheme="minorHAnsi" w:hAnsiTheme="minorHAnsi" w:eastAsiaTheme="minorEastAsia" w:cstheme="minorBidi"/>
                <w:lang w:eastAsia="en-US"/>
              </w:rPr>
            </w:pPr>
            <w:r>
              <w:rPr>
                <w:rFonts w:hint="eastAsia" w:asciiTheme="minorHAnsi" w:hAnsiTheme="minorHAnsi" w:eastAsiaTheme="minorEastAsia" w:cstheme="minorBidi"/>
                <w:lang w:eastAsia="en-US"/>
              </w:rPr>
              <w:t>重复性</w:t>
            </w:r>
          </w:p>
        </w:tc>
        <w:tc>
          <w:tcPr>
            <w:tcW w:w="4536" w:type="dxa"/>
            <w:vAlign w:val="center"/>
          </w:tcPr>
          <w:p w14:paraId="1A89835D">
            <w:pPr>
              <w:autoSpaceDE w:val="0"/>
              <w:autoSpaceDN w:val="0"/>
              <w:spacing w:before="65" w:line="219" w:lineRule="auto"/>
              <w:jc w:val="center"/>
              <w:rPr>
                <w:rFonts w:asciiTheme="minorHAnsi" w:hAnsiTheme="minorHAnsi" w:eastAsiaTheme="minorEastAsia" w:cstheme="minorBidi"/>
                <w:lang w:eastAsia="zh-CN"/>
              </w:rPr>
            </w:pPr>
            <w:r>
              <w:rPr>
                <w:rFonts w:hint="eastAsia" w:asciiTheme="minorHAnsi" w:hAnsiTheme="minorHAnsi" w:eastAsiaTheme="minorEastAsia" w:cstheme="minorBidi"/>
                <w:lang w:eastAsia="zh-CN"/>
              </w:rPr>
              <w:t>常用给料流量或常用给料流量对应载荷</w:t>
            </w:r>
          </w:p>
        </w:tc>
        <w:tc>
          <w:tcPr>
            <w:tcW w:w="1418" w:type="dxa"/>
            <w:vAlign w:val="center"/>
          </w:tcPr>
          <w:p w14:paraId="0B8E46C4">
            <w:pPr>
              <w:autoSpaceDE w:val="0"/>
              <w:autoSpaceDN w:val="0"/>
              <w:jc w:val="center"/>
              <w:rPr>
                <w:rFonts w:asciiTheme="minorHAnsi" w:hAnsiTheme="minorHAnsi" w:eastAsiaTheme="minorEastAsia" w:cstheme="minorBidi"/>
                <w:lang w:eastAsia="zh-CN"/>
              </w:rPr>
            </w:pPr>
          </w:p>
        </w:tc>
        <w:tc>
          <w:tcPr>
            <w:tcW w:w="1418" w:type="dxa"/>
          </w:tcPr>
          <w:p w14:paraId="061C24CC">
            <w:pPr>
              <w:autoSpaceDE w:val="0"/>
              <w:autoSpaceDN w:val="0"/>
              <w:jc w:val="center"/>
              <w:rPr>
                <w:rFonts w:asciiTheme="minorHAnsi" w:hAnsiTheme="minorHAnsi" w:eastAsiaTheme="minorEastAsia" w:cstheme="minorBidi"/>
                <w:lang w:eastAsia="zh-CN"/>
              </w:rPr>
            </w:pPr>
          </w:p>
        </w:tc>
      </w:tr>
      <w:tr w14:paraId="5FEA4F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 w:hRule="atLeast"/>
          <w:jc w:val="center"/>
        </w:trPr>
        <w:tc>
          <w:tcPr>
            <w:tcW w:w="2480" w:type="dxa"/>
            <w:vMerge w:val="restart"/>
            <w:tcBorders>
              <w:top w:val="single" w:color="000000" w:sz="4" w:space="0"/>
            </w:tcBorders>
            <w:vAlign w:val="center"/>
          </w:tcPr>
          <w:p w14:paraId="19B980F4">
            <w:pPr>
              <w:autoSpaceDE w:val="0"/>
              <w:autoSpaceDN w:val="0"/>
              <w:spacing w:before="117" w:line="220" w:lineRule="auto"/>
              <w:ind w:firstLine="315" w:firstLineChars="150"/>
              <w:rPr>
                <w:rFonts w:asciiTheme="minorHAnsi" w:hAnsiTheme="minorHAnsi" w:eastAsiaTheme="minorEastAsia" w:cstheme="minorBidi"/>
                <w:lang w:eastAsia="en-US"/>
              </w:rPr>
            </w:pPr>
            <w:r>
              <w:rPr>
                <w:rFonts w:hint="eastAsia" w:asciiTheme="minorHAnsi" w:hAnsiTheme="minorHAnsi" w:eastAsiaTheme="minorEastAsia" w:cstheme="minorBidi"/>
                <w:lang w:eastAsia="en-US"/>
              </w:rPr>
              <w:t>示值误差的测量</w:t>
            </w:r>
          </w:p>
        </w:tc>
        <w:tc>
          <w:tcPr>
            <w:tcW w:w="4536" w:type="dxa"/>
            <w:tcBorders>
              <w:top w:val="single" w:color="000000" w:sz="4" w:space="0"/>
              <w:bottom w:val="single" w:color="000000" w:sz="4" w:space="0"/>
            </w:tcBorders>
            <w:vAlign w:val="center"/>
          </w:tcPr>
          <w:p w14:paraId="5BB93F87">
            <w:pPr>
              <w:autoSpaceDE w:val="0"/>
              <w:autoSpaceDN w:val="0"/>
              <w:spacing w:before="117" w:line="220" w:lineRule="auto"/>
              <w:ind w:firstLine="420" w:firstLineChars="200"/>
              <w:jc w:val="center"/>
              <w:rPr>
                <w:rFonts w:asciiTheme="minorHAnsi" w:hAnsiTheme="minorHAnsi" w:eastAsiaTheme="minorEastAsia" w:cstheme="minorBidi"/>
                <w:lang w:eastAsia="zh-CN"/>
              </w:rPr>
            </w:pPr>
            <w:r>
              <w:rPr>
                <w:rFonts w:hint="eastAsia" w:asciiTheme="minorHAnsi" w:hAnsiTheme="minorHAnsi" w:eastAsiaTheme="minorEastAsia" w:cstheme="minorBidi"/>
                <w:lang w:eastAsia="zh-CN"/>
              </w:rPr>
              <w:t>最大流量对应载荷</w:t>
            </w:r>
          </w:p>
        </w:tc>
        <w:tc>
          <w:tcPr>
            <w:tcW w:w="1418" w:type="dxa"/>
            <w:vAlign w:val="center"/>
          </w:tcPr>
          <w:p w14:paraId="5F81A4DF">
            <w:pPr>
              <w:autoSpaceDE w:val="0"/>
              <w:autoSpaceDN w:val="0"/>
              <w:jc w:val="center"/>
              <w:rPr>
                <w:rFonts w:asciiTheme="minorHAnsi" w:hAnsiTheme="minorHAnsi" w:eastAsiaTheme="minorEastAsia" w:cstheme="minorBidi"/>
                <w:lang w:eastAsia="zh-CN"/>
              </w:rPr>
            </w:pPr>
          </w:p>
        </w:tc>
        <w:tc>
          <w:tcPr>
            <w:tcW w:w="1418" w:type="dxa"/>
          </w:tcPr>
          <w:p w14:paraId="1B90E0B8">
            <w:pPr>
              <w:autoSpaceDE w:val="0"/>
              <w:autoSpaceDN w:val="0"/>
              <w:jc w:val="center"/>
              <w:rPr>
                <w:rFonts w:asciiTheme="minorHAnsi" w:hAnsiTheme="minorHAnsi" w:eastAsiaTheme="minorEastAsia" w:cstheme="minorBidi"/>
                <w:lang w:eastAsia="zh-CN"/>
              </w:rPr>
            </w:pPr>
          </w:p>
        </w:tc>
      </w:tr>
      <w:tr w14:paraId="13684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 w:hRule="atLeast"/>
          <w:jc w:val="center"/>
        </w:trPr>
        <w:tc>
          <w:tcPr>
            <w:tcW w:w="2480" w:type="dxa"/>
            <w:vMerge w:val="continue"/>
            <w:vAlign w:val="center"/>
          </w:tcPr>
          <w:p w14:paraId="3CEB0A25">
            <w:pPr>
              <w:autoSpaceDE w:val="0"/>
              <w:autoSpaceDN w:val="0"/>
              <w:spacing w:before="117" w:line="220" w:lineRule="auto"/>
              <w:ind w:firstLine="420" w:firstLineChars="200"/>
              <w:jc w:val="center"/>
              <w:rPr>
                <w:rFonts w:asciiTheme="minorHAnsi" w:hAnsiTheme="minorHAnsi" w:eastAsiaTheme="minorEastAsia" w:cstheme="minorBidi"/>
                <w:lang w:eastAsia="zh-CN"/>
              </w:rPr>
            </w:pPr>
          </w:p>
        </w:tc>
        <w:tc>
          <w:tcPr>
            <w:tcW w:w="4536" w:type="dxa"/>
            <w:tcBorders>
              <w:top w:val="single" w:color="000000" w:sz="4" w:space="0"/>
              <w:bottom w:val="single" w:color="000000" w:sz="4" w:space="0"/>
            </w:tcBorders>
            <w:vAlign w:val="center"/>
          </w:tcPr>
          <w:p w14:paraId="2442BA9E">
            <w:pPr>
              <w:autoSpaceDE w:val="0"/>
              <w:autoSpaceDN w:val="0"/>
              <w:spacing w:before="117" w:line="220" w:lineRule="auto"/>
              <w:ind w:firstLine="420" w:firstLineChars="200"/>
              <w:jc w:val="center"/>
              <w:rPr>
                <w:rFonts w:asciiTheme="minorHAnsi" w:hAnsiTheme="minorHAnsi" w:eastAsiaTheme="minorEastAsia" w:cstheme="minorBidi"/>
                <w:lang w:eastAsia="zh-CN"/>
              </w:rPr>
            </w:pPr>
            <w:r>
              <w:rPr>
                <w:rFonts w:hint="eastAsia" w:asciiTheme="minorHAnsi" w:hAnsiTheme="minorHAnsi" w:eastAsiaTheme="minorEastAsia" w:cstheme="minorBidi"/>
                <w:lang w:eastAsia="zh-CN"/>
              </w:rPr>
              <w:t>最小流量对应载荷</w:t>
            </w:r>
          </w:p>
        </w:tc>
        <w:tc>
          <w:tcPr>
            <w:tcW w:w="1418" w:type="dxa"/>
            <w:vAlign w:val="center"/>
          </w:tcPr>
          <w:p w14:paraId="1061AB34">
            <w:pPr>
              <w:autoSpaceDE w:val="0"/>
              <w:autoSpaceDN w:val="0"/>
              <w:jc w:val="center"/>
              <w:rPr>
                <w:rFonts w:asciiTheme="minorHAnsi" w:hAnsiTheme="minorHAnsi" w:eastAsiaTheme="minorEastAsia" w:cstheme="minorBidi"/>
                <w:lang w:eastAsia="zh-CN"/>
              </w:rPr>
            </w:pPr>
          </w:p>
        </w:tc>
        <w:tc>
          <w:tcPr>
            <w:tcW w:w="1418" w:type="dxa"/>
          </w:tcPr>
          <w:p w14:paraId="5CEE629B">
            <w:pPr>
              <w:autoSpaceDE w:val="0"/>
              <w:autoSpaceDN w:val="0"/>
              <w:jc w:val="center"/>
              <w:rPr>
                <w:rFonts w:asciiTheme="minorHAnsi" w:hAnsiTheme="minorHAnsi" w:eastAsiaTheme="minorEastAsia" w:cstheme="minorBidi"/>
                <w:lang w:eastAsia="zh-CN"/>
              </w:rPr>
            </w:pPr>
          </w:p>
        </w:tc>
      </w:tr>
      <w:tr w14:paraId="5381E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 w:hRule="atLeast"/>
          <w:jc w:val="center"/>
        </w:trPr>
        <w:tc>
          <w:tcPr>
            <w:tcW w:w="2480" w:type="dxa"/>
            <w:vMerge w:val="continue"/>
            <w:vAlign w:val="center"/>
          </w:tcPr>
          <w:p w14:paraId="2B8BD0E8">
            <w:pPr>
              <w:autoSpaceDE w:val="0"/>
              <w:autoSpaceDN w:val="0"/>
              <w:spacing w:before="117" w:line="220" w:lineRule="auto"/>
              <w:ind w:firstLine="420" w:firstLineChars="200"/>
              <w:jc w:val="center"/>
              <w:rPr>
                <w:rFonts w:asciiTheme="minorHAnsi" w:hAnsiTheme="minorHAnsi" w:eastAsiaTheme="minorEastAsia" w:cstheme="minorBidi"/>
                <w:lang w:eastAsia="zh-CN"/>
              </w:rPr>
            </w:pPr>
          </w:p>
        </w:tc>
        <w:tc>
          <w:tcPr>
            <w:tcW w:w="4536" w:type="dxa"/>
            <w:tcBorders>
              <w:top w:val="single" w:color="000000" w:sz="4" w:space="0"/>
              <w:bottom w:val="single" w:color="000000" w:sz="4" w:space="0"/>
            </w:tcBorders>
            <w:vAlign w:val="center"/>
          </w:tcPr>
          <w:p w14:paraId="4D97CA29">
            <w:pPr>
              <w:autoSpaceDE w:val="0"/>
              <w:autoSpaceDN w:val="0"/>
              <w:spacing w:before="117" w:line="220" w:lineRule="auto"/>
              <w:ind w:firstLine="105" w:firstLineChars="50"/>
              <w:jc w:val="center"/>
              <w:rPr>
                <w:rFonts w:asciiTheme="minorHAnsi" w:hAnsiTheme="minorHAnsi" w:eastAsiaTheme="minorEastAsia" w:cstheme="minorBidi"/>
                <w:lang w:eastAsia="zh-CN"/>
              </w:rPr>
            </w:pPr>
            <w:r>
              <w:rPr>
                <w:rFonts w:hint="eastAsia" w:asciiTheme="minorHAnsi" w:hAnsiTheme="minorHAnsi" w:eastAsiaTheme="minorEastAsia" w:cstheme="minorBidi"/>
                <w:lang w:eastAsia="zh-CN"/>
              </w:rPr>
              <w:t>常用给料流量或常用给料流量对应载荷</w:t>
            </w:r>
          </w:p>
        </w:tc>
        <w:tc>
          <w:tcPr>
            <w:tcW w:w="1418" w:type="dxa"/>
            <w:vAlign w:val="center"/>
          </w:tcPr>
          <w:p w14:paraId="371CA138">
            <w:pPr>
              <w:autoSpaceDE w:val="0"/>
              <w:autoSpaceDN w:val="0"/>
              <w:jc w:val="center"/>
              <w:rPr>
                <w:rFonts w:asciiTheme="minorHAnsi" w:hAnsiTheme="minorHAnsi" w:eastAsiaTheme="minorEastAsia" w:cstheme="minorBidi"/>
                <w:lang w:eastAsia="zh-CN"/>
              </w:rPr>
            </w:pPr>
          </w:p>
        </w:tc>
        <w:tc>
          <w:tcPr>
            <w:tcW w:w="1418" w:type="dxa"/>
          </w:tcPr>
          <w:p w14:paraId="5C0FE3CF">
            <w:pPr>
              <w:autoSpaceDE w:val="0"/>
              <w:autoSpaceDN w:val="0"/>
              <w:jc w:val="center"/>
              <w:rPr>
                <w:rFonts w:asciiTheme="minorHAnsi" w:hAnsiTheme="minorHAnsi" w:eastAsiaTheme="minorEastAsia" w:cstheme="minorBidi"/>
                <w:lang w:eastAsia="zh-CN"/>
              </w:rPr>
            </w:pPr>
          </w:p>
        </w:tc>
      </w:tr>
      <w:tr w14:paraId="3320D5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 w:hRule="atLeast"/>
          <w:jc w:val="center"/>
        </w:trPr>
        <w:tc>
          <w:tcPr>
            <w:tcW w:w="7016" w:type="dxa"/>
            <w:gridSpan w:val="2"/>
            <w:vAlign w:val="center"/>
          </w:tcPr>
          <w:p w14:paraId="57FA70A8">
            <w:pPr>
              <w:autoSpaceDE w:val="0"/>
              <w:autoSpaceDN w:val="0"/>
              <w:spacing w:line="360" w:lineRule="auto"/>
              <w:jc w:val="center"/>
              <w:rPr>
                <w:rFonts w:ascii="宋体" w:hAnsi="宋体" w:eastAsiaTheme="minorEastAsia" w:cstheme="minorBidi"/>
                <w:szCs w:val="21"/>
                <w:lang w:eastAsia="en-US"/>
              </w:rPr>
            </w:pPr>
            <w:r>
              <w:rPr>
                <w:rFonts w:hint="eastAsia" w:ascii="宋体" w:hAnsi="宋体" w:eastAsiaTheme="minorEastAsia" w:cstheme="minorBidi"/>
                <w:szCs w:val="21"/>
                <w:lang w:eastAsia="en-US"/>
              </w:rPr>
              <w:t>扩展不确定度</w:t>
            </w:r>
            <w:r>
              <w:rPr>
                <w:rFonts w:hint="eastAsia" w:ascii="宋体" w:hAnsi="宋体" w:eastAsiaTheme="minorEastAsia" w:cstheme="minorBidi"/>
                <w:i/>
                <w:szCs w:val="21"/>
                <w:lang w:eastAsia="en-US"/>
              </w:rPr>
              <w:t>U</w:t>
            </w:r>
            <w:r>
              <w:rPr>
                <w:rFonts w:hint="eastAsia" w:ascii="宋体" w:hAnsi="宋体" w:eastAsiaTheme="minorEastAsia" w:cstheme="minorBidi"/>
                <w:szCs w:val="21"/>
                <w:lang w:eastAsia="en-US"/>
              </w:rPr>
              <w:t>(</w:t>
            </w:r>
            <w:r>
              <w:rPr>
                <w:rFonts w:hint="eastAsia" w:ascii="宋体" w:hAnsi="宋体" w:eastAsiaTheme="minorEastAsia" w:cstheme="minorBidi"/>
                <w:i/>
                <w:szCs w:val="21"/>
                <w:lang w:eastAsia="en-US"/>
              </w:rPr>
              <w:t>E</w:t>
            </w:r>
            <w:r>
              <w:rPr>
                <w:rFonts w:hint="eastAsia" w:ascii="宋体" w:hAnsi="宋体" w:eastAsiaTheme="minorEastAsia" w:cstheme="minorBidi"/>
                <w:szCs w:val="21"/>
                <w:lang w:eastAsia="en-US"/>
              </w:rPr>
              <w:t>)（</w:t>
            </w:r>
            <w:r>
              <w:rPr>
                <w:rFonts w:hint="eastAsia" w:ascii="宋体" w:hAnsi="宋体" w:eastAsiaTheme="minorEastAsia" w:cstheme="minorBidi"/>
                <w:i/>
                <w:szCs w:val="21"/>
                <w:lang w:eastAsia="en-US"/>
              </w:rPr>
              <w:t>k</w:t>
            </w:r>
            <w:r>
              <w:rPr>
                <w:rFonts w:hint="eastAsia" w:ascii="宋体" w:hAnsi="宋体" w:eastAsiaTheme="minorEastAsia" w:cstheme="minorBidi"/>
                <w:szCs w:val="21"/>
                <w:lang w:eastAsia="en-US"/>
              </w:rPr>
              <w:t xml:space="preserve">=2）（ </w:t>
            </w:r>
            <w:r>
              <w:rPr>
                <w:rFonts w:ascii="宋体" w:hAnsi="宋体" w:eastAsiaTheme="minorEastAsia" w:cstheme="minorBidi"/>
                <w:szCs w:val="21"/>
                <w:lang w:eastAsia="en-US"/>
              </w:rPr>
              <w:t>％</w:t>
            </w:r>
            <w:r>
              <w:rPr>
                <w:rFonts w:hint="eastAsia" w:ascii="宋体" w:hAnsi="宋体" w:eastAsiaTheme="minorEastAsia" w:cstheme="minorBidi"/>
                <w:szCs w:val="21"/>
                <w:lang w:eastAsia="en-US"/>
              </w:rPr>
              <w:t xml:space="preserve"> ）</w:t>
            </w:r>
          </w:p>
        </w:tc>
        <w:tc>
          <w:tcPr>
            <w:tcW w:w="2836" w:type="dxa"/>
            <w:gridSpan w:val="2"/>
            <w:vAlign w:val="center"/>
          </w:tcPr>
          <w:p w14:paraId="63767C5D">
            <w:pPr>
              <w:autoSpaceDE w:val="0"/>
              <w:autoSpaceDN w:val="0"/>
              <w:jc w:val="center"/>
              <w:rPr>
                <w:rFonts w:asciiTheme="minorHAnsi" w:hAnsiTheme="minorHAnsi" w:eastAsiaTheme="minorEastAsia" w:cstheme="minorBidi"/>
                <w:lang w:eastAsia="en-US"/>
              </w:rPr>
            </w:pPr>
          </w:p>
        </w:tc>
      </w:tr>
    </w:tbl>
    <w:p w14:paraId="05D3AE5E">
      <w:pPr>
        <w:jc w:val="center"/>
      </w:pPr>
      <w:bookmarkStart w:id="209" w:name="_Toc535439764"/>
      <w:bookmarkStart w:id="210" w:name="_Toc380391781"/>
      <w:bookmarkStart w:id="211" w:name="_Toc535439845"/>
      <w:bookmarkStart w:id="212" w:name="_Toc465926411"/>
      <w:bookmarkStart w:id="213" w:name="_Toc535440013"/>
      <w:bookmarkStart w:id="214" w:name="_Toc298321450"/>
      <w:bookmarkStart w:id="215" w:name="_Toc465926601"/>
      <w:r>
        <w:rPr>
          <w:rFonts w:eastAsia="黑体"/>
          <w:szCs w:val="28"/>
        </w:rPr>
        <w:br w:type="page"/>
      </w:r>
    </w:p>
    <w:p w14:paraId="3B061F25">
      <w:pPr>
        <w:pStyle w:val="2"/>
        <w:keepNext w:val="0"/>
        <w:numPr>
          <w:ilvl w:val="0"/>
          <w:numId w:val="1"/>
        </w:numPr>
        <w:snapToGrid w:val="0"/>
        <w:spacing w:beforeLines="50" w:afterLines="50" w:line="360" w:lineRule="auto"/>
        <w:ind w:left="566" w:hanging="565" w:hangingChars="202"/>
        <w:jc w:val="left"/>
        <w:rPr>
          <w:rFonts w:ascii="Times New Roman"/>
        </w:rPr>
      </w:pPr>
      <w:bookmarkStart w:id="216" w:name="_Toc29632"/>
      <w:r>
        <w:rPr>
          <w:rFonts w:ascii="Times New Roman" w:eastAsia="黑体"/>
          <w:szCs w:val="28"/>
        </w:rPr>
        <w:t>附录</w:t>
      </w:r>
      <w:bookmarkEnd w:id="216"/>
      <w:r>
        <w:rPr>
          <w:rFonts w:hint="eastAsia" w:ascii="Times New Roman" w:eastAsia="黑体"/>
          <w:szCs w:val="28"/>
        </w:rPr>
        <w:t>C</w:t>
      </w:r>
    </w:p>
    <w:bookmarkEnd w:id="209"/>
    <w:bookmarkEnd w:id="210"/>
    <w:bookmarkEnd w:id="211"/>
    <w:bookmarkEnd w:id="212"/>
    <w:bookmarkEnd w:id="213"/>
    <w:bookmarkEnd w:id="214"/>
    <w:bookmarkEnd w:id="215"/>
    <w:p w14:paraId="5E64DD77">
      <w:pPr>
        <w:jc w:val="center"/>
        <w:rPr>
          <w:b/>
          <w:sz w:val="36"/>
        </w:rPr>
      </w:pPr>
      <w:bookmarkStart w:id="217" w:name="_Toc24535"/>
      <w:r>
        <w:rPr>
          <w:rFonts w:hint="eastAsia" w:ascii="黑体" w:hAnsi="黑体" w:eastAsia="黑体"/>
          <w:sz w:val="28"/>
          <w:szCs w:val="28"/>
        </w:rPr>
        <w:t>物料试验误差测量结果的不确定度分析与评定</w:t>
      </w:r>
    </w:p>
    <w:p w14:paraId="572BFA6C">
      <w:pPr>
        <w:spacing w:line="360" w:lineRule="auto"/>
        <w:ind w:right="-187"/>
        <w:rPr>
          <w:sz w:val="24"/>
        </w:rPr>
      </w:pPr>
      <w:r>
        <w:rPr>
          <w:rFonts w:hint="eastAsia"/>
          <w:sz w:val="24"/>
        </w:rPr>
        <w:t>C.1 测量模型</w:t>
      </w:r>
    </w:p>
    <w:p w14:paraId="27838778">
      <w:pPr>
        <w:spacing w:line="360" w:lineRule="auto"/>
        <w:rPr>
          <w:rFonts w:ascii="宋体" w:hAnsi="宋体"/>
          <w:sz w:val="24"/>
        </w:rPr>
      </w:pPr>
      <w:r>
        <w:rPr>
          <w:rFonts w:hint="eastAsia" w:ascii="宋体" w:hAnsi="宋体"/>
          <w:sz w:val="24"/>
        </w:rPr>
        <w:t>被核查皮带秤的测量模型为：</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4A9A1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04817700">
            <w:pPr>
              <w:spacing w:line="360" w:lineRule="auto"/>
              <w:jc w:val="center"/>
              <w:rPr>
                <w:sz w:val="24"/>
              </w:rPr>
            </w:pPr>
            <w:r>
              <w:rPr>
                <w:color w:val="000000"/>
                <w:position w:val="-4"/>
                <w:sz w:val="24"/>
              </w:rPr>
              <w:object>
                <v:shape id="_x0000_i1031" o:spt="75" type="#_x0000_t75" style="height:13.3pt;width:48pt;" o:ole="t" filled="f" o:preferrelative="t" stroked="f" coordsize="21600,21600">
                  <v:path/>
                  <v:fill on="f" focussize="0,0"/>
                  <v:stroke on="f" joinstyle="miter"/>
                  <v:imagedata r:id="rId31" o:title=""/>
                  <o:lock v:ext="edit" aspectratio="t"/>
                  <w10:wrap type="none"/>
                  <w10:anchorlock/>
                </v:shape>
                <o:OLEObject Type="Embed" ProgID="Equation.3" ShapeID="_x0000_i1031" DrawAspect="Content" ObjectID="_1468075731" r:id="rId30">
                  <o:LockedField>false</o:LockedField>
                </o:OLEObject>
              </w:object>
            </w:r>
          </w:p>
        </w:tc>
        <w:tc>
          <w:tcPr>
            <w:tcW w:w="1240" w:type="dxa"/>
            <w:vAlign w:val="center"/>
          </w:tcPr>
          <w:p w14:paraId="0DE28C39">
            <w:pPr>
              <w:spacing w:line="360" w:lineRule="auto"/>
              <w:jc w:val="center"/>
              <w:rPr>
                <w:sz w:val="24"/>
              </w:rPr>
            </w:pPr>
            <w:r>
              <w:rPr>
                <w:rFonts w:hint="eastAsia" w:ascii="宋体" w:hAnsi="宋体"/>
                <w:color w:val="000000"/>
                <w:sz w:val="24"/>
              </w:rPr>
              <w:t>（C.1）</w:t>
            </w:r>
          </w:p>
        </w:tc>
      </w:tr>
    </w:tbl>
    <w:p w14:paraId="708E21E3">
      <w:pPr>
        <w:autoSpaceDE w:val="0"/>
        <w:autoSpaceDN w:val="0"/>
        <w:adjustRightInd w:val="0"/>
        <w:spacing w:line="360" w:lineRule="auto"/>
        <w:rPr>
          <w:color w:val="000000"/>
          <w:sz w:val="24"/>
        </w:rPr>
      </w:pPr>
      <w:r>
        <w:rPr>
          <w:color w:val="000000"/>
          <w:sz w:val="24"/>
        </w:rPr>
        <w:t>式中：</w:t>
      </w:r>
    </w:p>
    <w:p w14:paraId="152C243A">
      <w:pPr>
        <w:autoSpaceDE w:val="0"/>
        <w:autoSpaceDN w:val="0"/>
        <w:adjustRightInd w:val="0"/>
        <w:spacing w:line="360" w:lineRule="auto"/>
        <w:ind w:left="943" w:leftChars="449" w:firstLine="520" w:firstLineChars="217"/>
        <w:rPr>
          <w:color w:val="000000"/>
          <w:sz w:val="24"/>
        </w:rPr>
      </w:pPr>
      <w:r>
        <w:rPr>
          <w:i/>
          <w:color w:val="000000"/>
          <w:sz w:val="24"/>
        </w:rPr>
        <w:t>I</w:t>
      </w:r>
      <w:r>
        <w:rPr>
          <w:color w:val="000000"/>
          <w:sz w:val="24"/>
        </w:rPr>
        <w:t>----</w:t>
      </w:r>
      <w:r>
        <w:rPr>
          <w:rFonts w:hAnsi="宋体"/>
          <w:color w:val="000000"/>
          <w:sz w:val="24"/>
        </w:rPr>
        <w:t>皮带秤的累计称量的物</w:t>
      </w:r>
      <w:r>
        <w:rPr>
          <w:rFonts w:hint="eastAsia" w:hAnsi="宋体"/>
          <w:color w:val="000000"/>
          <w:sz w:val="24"/>
        </w:rPr>
        <w:t>料</w:t>
      </w:r>
      <w:r>
        <w:rPr>
          <w:rFonts w:hAnsi="宋体"/>
          <w:color w:val="000000"/>
          <w:sz w:val="24"/>
        </w:rPr>
        <w:t>重量值；</w:t>
      </w:r>
    </w:p>
    <w:p w14:paraId="0C06BF90">
      <w:pPr>
        <w:autoSpaceDE w:val="0"/>
        <w:autoSpaceDN w:val="0"/>
        <w:adjustRightInd w:val="0"/>
        <w:spacing w:line="360" w:lineRule="auto"/>
        <w:ind w:left="943" w:leftChars="449" w:firstLine="520" w:firstLineChars="217"/>
        <w:rPr>
          <w:color w:val="000000"/>
          <w:sz w:val="24"/>
        </w:rPr>
      </w:pPr>
      <w:r>
        <w:rPr>
          <w:i/>
          <w:color w:val="000000"/>
          <w:sz w:val="24"/>
        </w:rPr>
        <w:t>L</w:t>
      </w:r>
      <w:r>
        <w:rPr>
          <w:color w:val="000000"/>
          <w:sz w:val="24"/>
        </w:rPr>
        <w:t>----</w:t>
      </w:r>
      <w:r>
        <w:rPr>
          <w:rFonts w:hAnsi="宋体"/>
          <w:color w:val="000000"/>
          <w:sz w:val="24"/>
        </w:rPr>
        <w:t>控制衡器称量的累计装料的重量值；</w:t>
      </w:r>
    </w:p>
    <w:p w14:paraId="5EA12544">
      <w:pPr>
        <w:autoSpaceDE w:val="0"/>
        <w:autoSpaceDN w:val="0"/>
        <w:adjustRightInd w:val="0"/>
        <w:spacing w:line="360" w:lineRule="auto"/>
        <w:ind w:left="943" w:leftChars="449" w:firstLine="520" w:firstLineChars="217"/>
        <w:rPr>
          <w:rFonts w:hAnsi="宋体"/>
          <w:color w:val="000000"/>
          <w:sz w:val="24"/>
        </w:rPr>
      </w:pPr>
      <w:r>
        <w:rPr>
          <w:i/>
          <w:color w:val="000000"/>
          <w:sz w:val="24"/>
        </w:rPr>
        <w:t>E</w:t>
      </w:r>
      <w:r>
        <w:rPr>
          <w:color w:val="000000"/>
          <w:sz w:val="24"/>
        </w:rPr>
        <w:t>----</w:t>
      </w:r>
      <w:r>
        <w:rPr>
          <w:rFonts w:hAnsi="宋体"/>
          <w:color w:val="000000"/>
          <w:sz w:val="24"/>
        </w:rPr>
        <w:t>皮带秤的相对误差。</w:t>
      </w:r>
    </w:p>
    <w:p w14:paraId="4091A203">
      <w:pPr>
        <w:spacing w:line="360" w:lineRule="auto"/>
        <w:ind w:right="-187"/>
        <w:rPr>
          <w:sz w:val="24"/>
        </w:rPr>
      </w:pPr>
      <w:r>
        <w:rPr>
          <w:rFonts w:hint="eastAsia"/>
          <w:sz w:val="24"/>
        </w:rPr>
        <w:t>C.2 不确定度的来源分析</w:t>
      </w:r>
    </w:p>
    <w:p w14:paraId="4085442D">
      <w:pPr>
        <w:spacing w:line="360" w:lineRule="auto"/>
        <w:ind w:firstLine="480" w:firstLineChars="200"/>
        <w:rPr>
          <w:rFonts w:ascii="宋体" w:hAnsi="宋体"/>
          <w:color w:val="000000"/>
          <w:sz w:val="24"/>
        </w:rPr>
      </w:pPr>
      <w:r>
        <w:rPr>
          <w:rFonts w:hint="eastAsia" w:ascii="宋体" w:hAnsi="宋体"/>
          <w:color w:val="000000"/>
          <w:sz w:val="24"/>
        </w:rPr>
        <w:t>不确定度来源主要包括：</w:t>
      </w:r>
    </w:p>
    <w:p w14:paraId="2B3286A5">
      <w:pPr>
        <w:spacing w:line="360" w:lineRule="auto"/>
        <w:ind w:firstLine="1260" w:firstLineChars="525"/>
        <w:rPr>
          <w:rFonts w:ascii="宋体" w:hAnsi="宋体"/>
          <w:color w:val="000000"/>
          <w:sz w:val="24"/>
        </w:rPr>
      </w:pPr>
      <w:r>
        <w:rPr>
          <w:rFonts w:hint="eastAsia" w:ascii="宋体" w:hAnsi="宋体"/>
          <w:color w:val="000000"/>
          <w:sz w:val="24"/>
        </w:rPr>
        <w:t>—控制衡器示值准确度的不确定度分量；</w:t>
      </w:r>
    </w:p>
    <w:p w14:paraId="17498A20">
      <w:pPr>
        <w:spacing w:line="360" w:lineRule="auto"/>
        <w:ind w:firstLine="1260" w:firstLineChars="525"/>
        <w:rPr>
          <w:rFonts w:ascii="宋体" w:hAnsi="宋体"/>
          <w:color w:val="000000"/>
          <w:sz w:val="24"/>
        </w:rPr>
      </w:pPr>
      <w:r>
        <w:rPr>
          <w:rFonts w:hint="eastAsia" w:ascii="宋体" w:hAnsi="宋体"/>
          <w:color w:val="000000"/>
          <w:sz w:val="24"/>
        </w:rPr>
        <w:t>—控制衡器的分辨力引入的不确定度分量；</w:t>
      </w:r>
    </w:p>
    <w:p w14:paraId="7C5FF1DA">
      <w:pPr>
        <w:spacing w:line="360" w:lineRule="auto"/>
        <w:ind w:firstLine="1260" w:firstLineChars="525"/>
        <w:rPr>
          <w:rFonts w:ascii="宋体" w:hAnsi="宋体"/>
          <w:color w:val="000000"/>
          <w:sz w:val="24"/>
        </w:rPr>
      </w:pPr>
      <w:r>
        <w:rPr>
          <w:rFonts w:hint="eastAsia" w:ascii="宋体" w:hAnsi="宋体"/>
          <w:color w:val="000000"/>
          <w:sz w:val="24"/>
        </w:rPr>
        <w:t>—皮带秤示值重复性的不确定度分量；</w:t>
      </w:r>
    </w:p>
    <w:p w14:paraId="655D4079">
      <w:pPr>
        <w:spacing w:line="360" w:lineRule="auto"/>
        <w:ind w:firstLine="1260" w:firstLineChars="525"/>
        <w:rPr>
          <w:rFonts w:ascii="宋体" w:hAnsi="宋体"/>
          <w:color w:val="000000"/>
          <w:sz w:val="24"/>
        </w:rPr>
      </w:pPr>
      <w:r>
        <w:rPr>
          <w:rFonts w:hint="eastAsia" w:ascii="宋体" w:hAnsi="宋体"/>
          <w:color w:val="000000"/>
          <w:sz w:val="24"/>
        </w:rPr>
        <w:t>—</w:t>
      </w:r>
      <w:r>
        <w:rPr>
          <w:rFonts w:hint="eastAsia"/>
          <w:sz w:val="24"/>
        </w:rPr>
        <w:t>皮带秤的示值分辨率带来的测量不确定度分量</w:t>
      </w:r>
      <w:r>
        <w:rPr>
          <w:rFonts w:hint="eastAsia" w:ascii="宋体" w:hAnsi="宋体"/>
          <w:color w:val="000000"/>
          <w:sz w:val="24"/>
        </w:rPr>
        <w:t>；</w:t>
      </w:r>
    </w:p>
    <w:p w14:paraId="1DE48DCC">
      <w:pPr>
        <w:widowControl/>
        <w:spacing w:line="360" w:lineRule="auto"/>
        <w:ind w:firstLine="120" w:firstLineChars="50"/>
        <w:jc w:val="left"/>
        <w:rPr>
          <w:sz w:val="24"/>
        </w:rPr>
      </w:pPr>
      <w:r>
        <w:rPr>
          <w:rFonts w:hint="eastAsia"/>
          <w:sz w:val="24"/>
        </w:rPr>
        <w:t>C.3 标准不确定度评定</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35BF5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637D9194">
            <w:pPr>
              <w:spacing w:line="360" w:lineRule="auto"/>
              <w:jc w:val="center"/>
              <w:rPr>
                <w:sz w:val="24"/>
              </w:rPr>
            </w:pPr>
            <w:r>
              <w:rPr>
                <w:position w:val="-12"/>
                <w:sz w:val="24"/>
              </w:rPr>
              <w:object>
                <v:shape id="_x0000_i1032" o:spt="75" type="#_x0000_t75" style="height:18.45pt;width:109.3pt;" o:ole="t" fillcolor="#6D6D6D" filled="f" o:preferrelative="t" stroked="f" coordsize="21600,21600">
                  <v:path/>
                  <v:fill on="f" focussize="0,0"/>
                  <v:stroke on="f" joinstyle="miter"/>
                  <v:imagedata r:id="rId33" o:title=""/>
                  <o:lock v:ext="edit" aspectratio="t"/>
                  <w10:wrap type="none"/>
                  <w10:anchorlock/>
                </v:shape>
                <o:OLEObject Type="Embed" ProgID="Equation.3" ShapeID="_x0000_i1032" DrawAspect="Content" ObjectID="_1468075732" r:id="rId32">
                  <o:LockedField>false</o:LockedField>
                </o:OLEObject>
              </w:object>
            </w:r>
          </w:p>
        </w:tc>
        <w:tc>
          <w:tcPr>
            <w:tcW w:w="1240" w:type="dxa"/>
            <w:vAlign w:val="center"/>
          </w:tcPr>
          <w:p w14:paraId="336B2A99">
            <w:pPr>
              <w:spacing w:line="360" w:lineRule="auto"/>
              <w:jc w:val="center"/>
              <w:rPr>
                <w:sz w:val="24"/>
              </w:rPr>
            </w:pPr>
            <w:r>
              <w:rPr>
                <w:rFonts w:hint="eastAsia" w:ascii="宋体" w:hAnsi="宋体"/>
                <w:color w:val="000000"/>
                <w:sz w:val="24"/>
              </w:rPr>
              <w:t>（C.2）</w:t>
            </w:r>
          </w:p>
        </w:tc>
      </w:tr>
    </w:tbl>
    <w:p w14:paraId="578AA1DB">
      <w:pPr>
        <w:spacing w:line="360" w:lineRule="auto"/>
        <w:ind w:firstLine="600" w:firstLineChars="250"/>
        <w:rPr>
          <w:sz w:val="24"/>
        </w:rPr>
      </w:pPr>
      <w:r>
        <w:rPr>
          <w:rFonts w:hint="eastAsia"/>
          <w:sz w:val="24"/>
        </w:rPr>
        <w:t>由于：</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0CC25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22874B3D">
            <w:pPr>
              <w:spacing w:line="360" w:lineRule="auto"/>
              <w:ind w:left="601" w:leftChars="286" w:firstLine="2880" w:firstLineChars="1200"/>
              <w:rPr>
                <w:sz w:val="24"/>
              </w:rPr>
            </w:pPr>
            <w:r>
              <w:rPr>
                <w:rFonts w:hint="eastAsia"/>
                <w:i/>
                <w:iCs/>
                <w:sz w:val="24"/>
              </w:rPr>
              <w:t>I</w:t>
            </w:r>
            <w:r>
              <w:rPr>
                <w:rFonts w:hint="eastAsia" w:ascii="宋体"/>
                <w:sz w:val="24"/>
              </w:rPr>
              <w:t>≈</w:t>
            </w:r>
            <w:r>
              <w:rPr>
                <w:rFonts w:hint="eastAsia"/>
                <w:i/>
                <w:iCs/>
                <w:sz w:val="24"/>
              </w:rPr>
              <w:t>L</w:t>
            </w:r>
          </w:p>
        </w:tc>
        <w:tc>
          <w:tcPr>
            <w:tcW w:w="1240" w:type="dxa"/>
            <w:vAlign w:val="center"/>
          </w:tcPr>
          <w:p w14:paraId="67054AC9">
            <w:pPr>
              <w:spacing w:line="360" w:lineRule="auto"/>
              <w:jc w:val="center"/>
              <w:rPr>
                <w:sz w:val="24"/>
              </w:rPr>
            </w:pPr>
          </w:p>
        </w:tc>
      </w:tr>
    </w:tbl>
    <w:p w14:paraId="37C5BDC7">
      <w:pPr>
        <w:ind w:firstLine="600" w:firstLineChars="250"/>
        <w:rPr>
          <w:sz w:val="24"/>
        </w:rPr>
      </w:pPr>
      <w:r>
        <w:rPr>
          <w:rFonts w:hint="eastAsia"/>
          <w:sz w:val="24"/>
        </w:rPr>
        <w:t>因此：</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
        <w:gridCol w:w="3183"/>
        <w:gridCol w:w="3182"/>
        <w:gridCol w:w="1943"/>
        <w:gridCol w:w="1240"/>
      </w:tblGrid>
      <w:tr w14:paraId="700EE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gridSpan w:val="4"/>
            <w:vAlign w:val="center"/>
          </w:tcPr>
          <w:p w14:paraId="6B2798B3">
            <w:pPr>
              <w:spacing w:line="360" w:lineRule="auto"/>
              <w:ind w:firstLine="3000" w:firstLineChars="1250"/>
              <w:rPr>
                <w:sz w:val="24"/>
              </w:rPr>
            </w:pPr>
            <w:r>
              <w:rPr>
                <w:position w:val="-26"/>
                <w:sz w:val="24"/>
              </w:rPr>
              <w:object>
                <v:shape id="_x0000_i1033" o:spt="75" type="#_x0000_t75" style="height:33.45pt;width:114.45pt;" o:ole="t" fillcolor="#6D6D6D" filled="f" o:preferrelative="t" stroked="f" coordsize="21600,21600">
                  <v:path/>
                  <v:fill on="f" focussize="0,0"/>
                  <v:stroke on="f" joinstyle="miter"/>
                  <v:imagedata r:id="rId35" o:title=""/>
                  <o:lock v:ext="edit" aspectratio="t"/>
                  <w10:wrap type="none"/>
                  <w10:anchorlock/>
                </v:shape>
                <o:OLEObject Type="Embed" ProgID="Equation.3" ShapeID="_x0000_i1033" DrawAspect="Content" ObjectID="_1468075733" r:id="rId34">
                  <o:LockedField>false</o:LockedField>
                </o:OLEObject>
              </w:object>
            </w:r>
          </w:p>
        </w:tc>
        <w:tc>
          <w:tcPr>
            <w:tcW w:w="1240" w:type="dxa"/>
            <w:vAlign w:val="center"/>
          </w:tcPr>
          <w:p w14:paraId="74A9FF1E">
            <w:pPr>
              <w:spacing w:line="360" w:lineRule="auto"/>
              <w:jc w:val="center"/>
              <w:rPr>
                <w:sz w:val="24"/>
              </w:rPr>
            </w:pPr>
            <w:r>
              <w:rPr>
                <w:rFonts w:hint="eastAsia" w:ascii="宋体" w:hAnsi="宋体"/>
                <w:color w:val="000000"/>
                <w:sz w:val="24"/>
              </w:rPr>
              <w:t>（C.3）</w:t>
            </w:r>
          </w:p>
        </w:tc>
      </w:tr>
      <w:tr w14:paraId="3B9FE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2" w:type="dxa"/>
        </w:trPr>
        <w:tc>
          <w:tcPr>
            <w:tcW w:w="3183" w:type="dxa"/>
            <w:tcBorders>
              <w:top w:val="nil"/>
              <w:left w:val="nil"/>
              <w:bottom w:val="nil"/>
              <w:right w:val="nil"/>
            </w:tcBorders>
          </w:tcPr>
          <w:p w14:paraId="186E83A2">
            <w:pPr>
              <w:spacing w:line="360" w:lineRule="auto"/>
              <w:jc w:val="center"/>
              <w:rPr>
                <w:sz w:val="24"/>
              </w:rPr>
            </w:pPr>
            <w:r>
              <w:rPr>
                <w:position w:val="-26"/>
                <w:sz w:val="24"/>
              </w:rPr>
              <w:object>
                <v:shape id="_x0000_i1034" o:spt="75" type="#_x0000_t75" style="height:33.45pt;width:64.3pt;" o:ole="t" fillcolor="#6D6D6D" filled="f" o:preferrelative="t" stroked="f" coordsize="21600,21600">
                  <v:path/>
                  <v:fill on="f" focussize="0,0"/>
                  <v:stroke on="f" joinstyle="miter"/>
                  <v:imagedata r:id="rId37" o:title=""/>
                  <o:lock v:ext="edit" aspectratio="t"/>
                  <w10:wrap type="none"/>
                  <w10:anchorlock/>
                </v:shape>
                <o:OLEObject Type="Embed" ProgID="Equation.3" ShapeID="_x0000_i1034" DrawAspect="Content" ObjectID="_1468075734" r:id="rId36">
                  <o:LockedField>false</o:LockedField>
                </o:OLEObject>
              </w:object>
            </w:r>
          </w:p>
        </w:tc>
        <w:tc>
          <w:tcPr>
            <w:tcW w:w="3182" w:type="dxa"/>
            <w:tcBorders>
              <w:top w:val="nil"/>
              <w:left w:val="nil"/>
              <w:bottom w:val="nil"/>
              <w:right w:val="nil"/>
            </w:tcBorders>
          </w:tcPr>
          <w:p w14:paraId="6E197FEE">
            <w:pPr>
              <w:spacing w:line="360" w:lineRule="auto"/>
              <w:jc w:val="center"/>
              <w:rPr>
                <w:sz w:val="24"/>
              </w:rPr>
            </w:pPr>
            <w:r>
              <w:rPr>
                <w:position w:val="-26"/>
                <w:sz w:val="24"/>
              </w:rPr>
              <w:object>
                <v:shape id="_x0000_i1035" o:spt="75" type="#_x0000_t75" style="height:33.45pt;width:61.3pt;" o:ole="t" fillcolor="#6D6D6D" filled="f" o:preferrelative="t" stroked="f" coordsize="21600,21600">
                  <v:path/>
                  <v:fill on="f" focussize="0,0"/>
                  <v:stroke on="f" joinstyle="miter"/>
                  <v:imagedata r:id="rId39" o:title=""/>
                  <o:lock v:ext="edit" aspectratio="t"/>
                  <w10:wrap type="none"/>
                  <w10:anchorlock/>
                </v:shape>
                <o:OLEObject Type="Embed" ProgID="Equation.3" ShapeID="_x0000_i1035" DrawAspect="Content" ObjectID="_1468075735" r:id="rId38">
                  <o:LockedField>false</o:LockedField>
                </o:OLEObject>
              </w:object>
            </w:r>
          </w:p>
        </w:tc>
        <w:tc>
          <w:tcPr>
            <w:tcW w:w="3183" w:type="dxa"/>
            <w:gridSpan w:val="2"/>
            <w:tcBorders>
              <w:top w:val="nil"/>
              <w:left w:val="nil"/>
              <w:bottom w:val="nil"/>
              <w:right w:val="nil"/>
            </w:tcBorders>
          </w:tcPr>
          <w:p w14:paraId="7941C1F0">
            <w:pPr>
              <w:spacing w:line="360" w:lineRule="auto"/>
              <w:jc w:val="center"/>
              <w:rPr>
                <w:sz w:val="24"/>
              </w:rPr>
            </w:pPr>
            <w:r>
              <w:rPr>
                <w:position w:val="-26"/>
                <w:sz w:val="24"/>
              </w:rPr>
              <w:object>
                <v:shape id="_x0000_i1036" o:spt="75" type="#_x0000_t75" style="height:33.45pt;width:64.3pt;" o:ole="t" fillcolor="#6D6D6D" filled="f" o:preferrelative="t" stroked="f" coordsize="21600,21600">
                  <v:path/>
                  <v:fill on="f" focussize="0,0"/>
                  <v:stroke on="f" joinstyle="miter"/>
                  <v:imagedata r:id="rId41" o:title=""/>
                  <o:lock v:ext="edit" aspectratio="t"/>
                  <w10:wrap type="none"/>
                  <w10:anchorlock/>
                </v:shape>
                <o:OLEObject Type="Embed" ProgID="Equation.3" ShapeID="_x0000_i1036" DrawAspect="Content" ObjectID="_1468075736" r:id="rId40">
                  <o:LockedField>false</o:LockedField>
                </o:OLEObject>
              </w:object>
            </w:r>
          </w:p>
        </w:tc>
      </w:tr>
    </w:tbl>
    <w:p w14:paraId="24DAB9D4">
      <w:pPr>
        <w:spacing w:line="360" w:lineRule="auto"/>
        <w:ind w:firstLine="480" w:firstLineChars="200"/>
        <w:rPr>
          <w:sz w:val="24"/>
        </w:rPr>
      </w:pPr>
      <w:r>
        <w:rPr>
          <w:rFonts w:hint="eastAsia" w:ascii="宋体" w:hAnsi="宋体"/>
          <w:color w:val="000000"/>
          <w:sz w:val="24"/>
        </w:rPr>
        <w:t>（C.2）</w:t>
      </w:r>
      <w:r>
        <w:rPr>
          <w:rFonts w:hint="eastAsia"/>
          <w:sz w:val="24"/>
        </w:rPr>
        <w:t>式化为：</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31C33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5AD107CD">
            <w:pPr>
              <w:spacing w:line="360" w:lineRule="auto"/>
              <w:jc w:val="center"/>
              <w:rPr>
                <w:sz w:val="24"/>
              </w:rPr>
            </w:pPr>
            <w:r>
              <w:rPr>
                <w:position w:val="-10"/>
                <w:sz w:val="24"/>
              </w:rPr>
              <w:object>
                <v:shape id="_x0000_i1037" o:spt="75" type="#_x0000_t75" style="height:18pt;width:82.3pt;" o:ole="t" fillcolor="#6D6D6D" filled="f" o:preferrelative="t" stroked="f" coordsize="21600,21600">
                  <v:path/>
                  <v:fill on="f" focussize="0,0"/>
                  <v:stroke on="f" joinstyle="miter"/>
                  <v:imagedata r:id="rId43" o:title=""/>
                  <o:lock v:ext="edit" aspectratio="t"/>
                  <w10:wrap type="none"/>
                  <w10:anchorlock/>
                </v:shape>
                <o:OLEObject Type="Embed" ProgID="Equation.3" ShapeID="_x0000_i1037" DrawAspect="Content" ObjectID="_1468075737" r:id="rId42">
                  <o:LockedField>false</o:LockedField>
                </o:OLEObject>
              </w:object>
            </w:r>
          </w:p>
        </w:tc>
        <w:tc>
          <w:tcPr>
            <w:tcW w:w="1240" w:type="dxa"/>
            <w:vAlign w:val="center"/>
          </w:tcPr>
          <w:p w14:paraId="6866D7E7">
            <w:pPr>
              <w:spacing w:line="360" w:lineRule="auto"/>
              <w:jc w:val="center"/>
              <w:rPr>
                <w:sz w:val="24"/>
              </w:rPr>
            </w:pPr>
            <w:r>
              <w:rPr>
                <w:rFonts w:hint="eastAsia" w:ascii="宋体" w:hAnsi="宋体"/>
                <w:color w:val="000000"/>
                <w:sz w:val="24"/>
              </w:rPr>
              <w:t>（C.4）</w:t>
            </w:r>
          </w:p>
        </w:tc>
      </w:tr>
    </w:tbl>
    <w:p w14:paraId="03065FC4">
      <w:pPr>
        <w:widowControl/>
        <w:spacing w:line="360" w:lineRule="auto"/>
        <w:ind w:firstLine="120" w:firstLineChars="50"/>
        <w:jc w:val="left"/>
        <w:rPr>
          <w:rFonts w:ascii="宋体" w:hAnsi="宋体"/>
          <w:sz w:val="24"/>
        </w:rPr>
      </w:pPr>
      <w:r>
        <w:rPr>
          <w:rFonts w:hint="eastAsia"/>
          <w:sz w:val="24"/>
        </w:rPr>
        <w:t>C.3.1 控制衡器的不确定度分量</w:t>
      </w:r>
      <w:r>
        <w:rPr>
          <w:rFonts w:hint="eastAsia"/>
          <w:i/>
          <w:iCs/>
          <w:sz w:val="24"/>
        </w:rPr>
        <w:t>u</w:t>
      </w:r>
      <w:r>
        <w:rPr>
          <w:rFonts w:hint="eastAsia"/>
          <w:sz w:val="24"/>
          <w:vertAlign w:val="subscript"/>
        </w:rPr>
        <w:t>1</w:t>
      </w:r>
      <w:r>
        <w:rPr>
          <w:sz w:val="24"/>
          <w:vertAlign w:val="subscript"/>
        </w:rPr>
        <w:t>rel</w:t>
      </w:r>
    </w:p>
    <w:p w14:paraId="32500E3B">
      <w:pPr>
        <w:widowControl/>
        <w:spacing w:line="360" w:lineRule="auto"/>
        <w:ind w:firstLine="120" w:firstLineChars="50"/>
        <w:jc w:val="left"/>
        <w:rPr>
          <w:rFonts w:ascii="宋体" w:hAnsi="宋体"/>
          <w:sz w:val="24"/>
        </w:rPr>
      </w:pPr>
      <w:r>
        <w:rPr>
          <w:rFonts w:hint="eastAsia"/>
          <w:sz w:val="24"/>
        </w:rPr>
        <w:t>C.3.1.1 控制衡器示值准确度的不确定度分量</w:t>
      </w:r>
      <w:r>
        <w:rPr>
          <w:rFonts w:hint="eastAsia"/>
          <w:i/>
          <w:iCs/>
          <w:sz w:val="24"/>
        </w:rPr>
        <w:t>u</w:t>
      </w:r>
      <w:r>
        <w:rPr>
          <w:rFonts w:hint="eastAsia"/>
          <w:sz w:val="24"/>
          <w:vertAlign w:val="subscript"/>
        </w:rPr>
        <w:t>11</w:t>
      </w:r>
    </w:p>
    <w:p w14:paraId="3F94A40F">
      <w:pPr>
        <w:spacing w:line="360" w:lineRule="auto"/>
        <w:ind w:firstLine="501" w:firstLineChars="209"/>
        <w:rPr>
          <w:sz w:val="24"/>
        </w:rPr>
      </w:pPr>
      <w:r>
        <w:rPr>
          <w:rFonts w:hint="eastAsia"/>
          <w:sz w:val="24"/>
        </w:rPr>
        <w:t>控制衡器提供的示值不准导致的测量不确定度可以用B类评定方法得到。合格的控制衡器，其示值误差在允差范围内。按规程规定准确度的最大允许误差进行评定，其概率分布一般视为均匀分布（</w:t>
      </w:r>
      <w:r>
        <w:rPr>
          <w:rFonts w:hint="eastAsia"/>
          <w:i/>
          <w:sz w:val="24"/>
        </w:rPr>
        <w:t>k</w:t>
      </w:r>
      <w:r>
        <w:rPr>
          <w:rFonts w:hint="eastAsia"/>
          <w:sz w:val="24"/>
        </w:rPr>
        <w:t>=</w:t>
      </w:r>
      <w:r>
        <w:rPr>
          <w:position w:val="-8"/>
          <w:sz w:val="24"/>
        </w:rPr>
        <w:object>
          <v:shape id="_x0000_i1038" o:spt="75" type="#_x0000_t75" style="height:18pt;width:18pt;" o:ole="t" filled="f" o:preferrelative="t" stroked="f" coordsize="21600,21600">
            <v:path/>
            <v:fill on="f" focussize="0,0"/>
            <v:stroke on="f" joinstyle="miter"/>
            <v:imagedata r:id="rId45" o:title=""/>
            <o:lock v:ext="edit" aspectratio="t"/>
            <w10:wrap type="none"/>
            <w10:anchorlock/>
          </v:shape>
          <o:OLEObject Type="Embed" ProgID="Equation.3" ShapeID="_x0000_i1038" DrawAspect="Content" ObjectID="_1468075738" r:id="rId44">
            <o:LockedField>false</o:LockedField>
          </o:OLEObject>
        </w:object>
      </w:r>
      <w:r>
        <w:rPr>
          <w:rFonts w:hint="eastAsia"/>
          <w:sz w:val="24"/>
        </w:rPr>
        <w:t>），假定控制</w:t>
      </w:r>
      <w:r>
        <w:rPr>
          <w:sz w:val="24"/>
        </w:rPr>
        <w:t>衡器</w:t>
      </w:r>
      <w:r>
        <w:rPr>
          <w:rFonts w:hint="eastAsia"/>
          <w:sz w:val="24"/>
        </w:rPr>
        <w:t>的最大允许误差为±</w:t>
      </w:r>
      <w:r>
        <w:rPr>
          <w:rFonts w:hint="eastAsia"/>
          <w:iCs/>
          <w:sz w:val="24"/>
        </w:rPr>
        <w:t>MPE</w:t>
      </w:r>
      <w:r>
        <w:rPr>
          <w:rFonts w:hint="eastAsia"/>
          <w:sz w:val="24"/>
        </w:rPr>
        <w:t>，由控制衡器的允差引起的标准不确定度分量为：</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65899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51ED1269">
            <w:pPr>
              <w:spacing w:line="360" w:lineRule="auto"/>
              <w:jc w:val="center"/>
              <w:rPr>
                <w:sz w:val="24"/>
              </w:rPr>
            </w:pPr>
            <w:r>
              <w:rPr>
                <w:position w:val="-28"/>
                <w:sz w:val="24"/>
              </w:rPr>
              <w:object>
                <v:shape id="_x0000_i1039" o:spt="75" type="#_x0000_t75" style="height:33.45pt;width:114pt;" o:ole="t" filled="f" o:preferrelative="t" stroked="f" coordsize="21600,21600">
                  <v:path/>
                  <v:fill on="f" focussize="0,0"/>
                  <v:stroke on="f" joinstyle="miter"/>
                  <v:imagedata r:id="rId47" o:title=""/>
                  <o:lock v:ext="edit" aspectratio="t"/>
                  <w10:wrap type="none"/>
                  <w10:anchorlock/>
                </v:shape>
                <o:OLEObject Type="Embed" ProgID="Equation.KSEE3" ShapeID="_x0000_i1039" DrawAspect="Content" ObjectID="_1468075739" r:id="rId46">
                  <o:LockedField>false</o:LockedField>
                </o:OLEObject>
              </w:object>
            </w:r>
          </w:p>
        </w:tc>
        <w:tc>
          <w:tcPr>
            <w:tcW w:w="1240" w:type="dxa"/>
            <w:vAlign w:val="center"/>
          </w:tcPr>
          <w:p w14:paraId="64D02D5B">
            <w:pPr>
              <w:spacing w:line="360" w:lineRule="auto"/>
              <w:jc w:val="center"/>
              <w:rPr>
                <w:sz w:val="24"/>
              </w:rPr>
            </w:pPr>
          </w:p>
        </w:tc>
      </w:tr>
    </w:tbl>
    <w:p w14:paraId="414FB9DF">
      <w:pPr>
        <w:widowControl/>
        <w:spacing w:line="360" w:lineRule="auto"/>
        <w:ind w:firstLine="120" w:firstLineChars="50"/>
        <w:jc w:val="left"/>
        <w:rPr>
          <w:sz w:val="24"/>
        </w:rPr>
      </w:pPr>
      <w:r>
        <w:rPr>
          <w:rFonts w:hint="eastAsia"/>
          <w:sz w:val="24"/>
        </w:rPr>
        <w:t>C.3.1.2 控制衡器的分辨力引入的不确定度分量</w:t>
      </w:r>
      <w:r>
        <w:rPr>
          <w:rFonts w:hint="eastAsia"/>
          <w:i/>
          <w:sz w:val="24"/>
        </w:rPr>
        <w:t>u</w:t>
      </w:r>
      <w:r>
        <w:rPr>
          <w:rFonts w:hint="eastAsia"/>
          <w:sz w:val="24"/>
          <w:vertAlign w:val="subscript"/>
        </w:rPr>
        <w:t>12</w:t>
      </w:r>
    </w:p>
    <w:p w14:paraId="1ADDFF4A">
      <w:pPr>
        <w:spacing w:line="360" w:lineRule="auto"/>
        <w:ind w:firstLine="480" w:firstLineChars="200"/>
        <w:rPr>
          <w:sz w:val="24"/>
        </w:rPr>
      </w:pPr>
      <w:r>
        <w:rPr>
          <w:rFonts w:hint="eastAsia"/>
          <w:sz w:val="24"/>
        </w:rPr>
        <w:t>采用“闪变点”方法对秤的示值误差进行化整修正。检定时以0.1</w:t>
      </w:r>
      <w:r>
        <w:rPr>
          <w:rFonts w:hint="eastAsia"/>
          <w:i/>
          <w:iCs/>
          <w:sz w:val="24"/>
        </w:rPr>
        <w:t>d</w:t>
      </w:r>
      <w:r>
        <w:rPr>
          <w:rFonts w:hint="eastAsia"/>
          <w:sz w:val="24"/>
        </w:rPr>
        <w:t>递加，数字指示秤可估读至0.1</w:t>
      </w:r>
      <w:r>
        <w:rPr>
          <w:rFonts w:hint="eastAsia"/>
          <w:i/>
          <w:iCs/>
          <w:sz w:val="24"/>
        </w:rPr>
        <w:t>d</w:t>
      </w:r>
      <w:r>
        <w:rPr>
          <w:rFonts w:hint="eastAsia"/>
          <w:sz w:val="24"/>
        </w:rPr>
        <w:t>，其区间半宽度为0.1</w:t>
      </w:r>
      <w:r>
        <w:rPr>
          <w:rFonts w:hint="eastAsia"/>
          <w:i/>
          <w:iCs/>
          <w:sz w:val="24"/>
        </w:rPr>
        <w:t>d</w:t>
      </w:r>
      <w:r>
        <w:rPr>
          <w:rFonts w:hint="eastAsia"/>
          <w:sz w:val="24"/>
        </w:rPr>
        <w:t>/2，估计为均匀分布，因此控制衡器分辨力导致的标准不确定度分量为：</w:t>
      </w:r>
    </w:p>
    <w:p w14:paraId="56ECB087">
      <w:pPr>
        <w:spacing w:line="360" w:lineRule="auto"/>
        <w:ind w:firstLine="3240" w:firstLineChars="1350"/>
        <w:rPr>
          <w:sz w:val="24"/>
        </w:rPr>
      </w:pPr>
      <w:r>
        <w:rPr>
          <w:position w:val="-28"/>
          <w:sz w:val="24"/>
        </w:rPr>
        <w:object>
          <v:shape id="_x0000_i1040" o:spt="75" type="#_x0000_t75" style="height:33.45pt;width:109.3pt;" o:ole="t" filled="f" o:preferrelative="t" stroked="f" coordsize="21600,21600">
            <v:path/>
            <v:fill on="f" focussize="0,0"/>
            <v:stroke on="f" joinstyle="miter"/>
            <v:imagedata r:id="rId49" o:title=""/>
            <o:lock v:ext="edit" aspectratio="t"/>
            <w10:wrap type="none"/>
            <w10:anchorlock/>
          </v:shape>
          <o:OLEObject Type="Embed" ProgID="Equation.KSEE3" ShapeID="_x0000_i1040" DrawAspect="Content" ObjectID="_1468075740" r:id="rId48">
            <o:LockedField>false</o:LockedField>
          </o:OLEObject>
        </w:object>
      </w:r>
    </w:p>
    <w:p w14:paraId="313BEA94">
      <w:pPr>
        <w:spacing w:line="360" w:lineRule="auto"/>
        <w:rPr>
          <w:sz w:val="24"/>
          <w:vertAlign w:val="superscript"/>
        </w:rPr>
      </w:pPr>
      <w:r>
        <w:rPr>
          <w:sz w:val="24"/>
        </w:rPr>
        <w:t>故：</w:t>
      </w:r>
      <w:r>
        <w:rPr>
          <w:i/>
          <w:iCs/>
          <w:sz w:val="24"/>
        </w:rPr>
        <w:t>u</w:t>
      </w:r>
      <w:r>
        <w:rPr>
          <w:sz w:val="24"/>
          <w:vertAlign w:val="subscript"/>
        </w:rPr>
        <w:t>1</w:t>
      </w:r>
      <w:r>
        <w:rPr>
          <w:sz w:val="24"/>
          <w:vertAlign w:val="superscript"/>
        </w:rPr>
        <w:t>2</w:t>
      </w:r>
      <w:r>
        <w:rPr>
          <w:sz w:val="24"/>
        </w:rPr>
        <w:t>=</w:t>
      </w:r>
      <w:r>
        <w:rPr>
          <w:i/>
          <w:iCs/>
          <w:sz w:val="24"/>
        </w:rPr>
        <w:t>u</w:t>
      </w:r>
      <w:r>
        <w:rPr>
          <w:sz w:val="24"/>
          <w:vertAlign w:val="subscript"/>
        </w:rPr>
        <w:t>11</w:t>
      </w:r>
      <w:r>
        <w:rPr>
          <w:sz w:val="24"/>
          <w:vertAlign w:val="superscript"/>
        </w:rPr>
        <w:t>2</w:t>
      </w:r>
      <w:r>
        <w:rPr>
          <w:sz w:val="24"/>
        </w:rPr>
        <w:t>+</w:t>
      </w:r>
      <w:r>
        <w:rPr>
          <w:i/>
          <w:iCs/>
          <w:sz w:val="24"/>
        </w:rPr>
        <w:t>u</w:t>
      </w:r>
      <w:r>
        <w:rPr>
          <w:sz w:val="24"/>
          <w:vertAlign w:val="subscript"/>
        </w:rPr>
        <w:t>12</w:t>
      </w:r>
      <w:r>
        <w:rPr>
          <w:sz w:val="24"/>
          <w:vertAlign w:val="superscript"/>
        </w:rPr>
        <w:t>2</w:t>
      </w:r>
      <w:r>
        <w:rPr>
          <w:sz w:val="24"/>
        </w:rPr>
        <w:t>=0.58</w:t>
      </w:r>
      <w:r>
        <w:rPr>
          <w:sz w:val="24"/>
          <w:vertAlign w:val="superscript"/>
        </w:rPr>
        <w:t>2</w:t>
      </w:r>
      <w:r>
        <w:rPr>
          <w:i/>
          <w:iCs/>
          <w:sz w:val="24"/>
        </w:rPr>
        <w:t xml:space="preserve"> </w:t>
      </w:r>
      <w:r>
        <w:rPr>
          <w:iCs/>
          <w:sz w:val="24"/>
        </w:rPr>
        <w:t>MPE</w:t>
      </w:r>
      <w:r>
        <w:rPr>
          <w:sz w:val="24"/>
          <w:vertAlign w:val="superscript"/>
        </w:rPr>
        <w:t>2</w:t>
      </w:r>
      <w:r>
        <w:rPr>
          <w:sz w:val="24"/>
        </w:rPr>
        <w:t>+0.029</w:t>
      </w:r>
      <w:r>
        <w:rPr>
          <w:sz w:val="24"/>
          <w:vertAlign w:val="superscript"/>
        </w:rPr>
        <w:t>2</w:t>
      </w:r>
      <w:r>
        <w:rPr>
          <w:i/>
          <w:sz w:val="24"/>
        </w:rPr>
        <w:t>e</w:t>
      </w:r>
      <w:r>
        <w:rPr>
          <w:sz w:val="24"/>
          <w:vertAlign w:val="superscript"/>
        </w:rPr>
        <w:t>2</w:t>
      </w:r>
    </w:p>
    <w:p w14:paraId="0ACD44C0">
      <w:pPr>
        <w:spacing w:line="360" w:lineRule="auto"/>
        <w:ind w:firstLine="3240" w:firstLineChars="1350"/>
        <w:rPr>
          <w:position w:val="-12"/>
          <w:sz w:val="24"/>
        </w:rPr>
      </w:pPr>
      <w:r>
        <w:rPr>
          <w:color w:val="000000"/>
          <w:position w:val="-16"/>
          <w:sz w:val="24"/>
        </w:rPr>
        <w:object>
          <v:shape id="_x0000_i1041" o:spt="75" type="#_x0000_t75" style="height:24.85pt;width:201pt;" o:ole="t" filled="f" o:preferrelative="t" stroked="f" coordsize="21600,21600">
            <v:path/>
            <v:fill on="f" focussize="0,0"/>
            <v:stroke on="f" joinstyle="miter"/>
            <v:imagedata r:id="rId51" o:title=""/>
            <o:lock v:ext="edit" aspectratio="t"/>
            <w10:wrap type="none"/>
            <w10:anchorlock/>
          </v:shape>
          <o:OLEObject Type="Embed" ProgID="Equation.DSMT4" ShapeID="_x0000_i1041" DrawAspect="Content" ObjectID="_1468075741" r:id="rId50">
            <o:LockedField>false</o:LockedField>
          </o:OLEObject>
        </w:object>
      </w:r>
    </w:p>
    <w:p w14:paraId="3AA3D4C0">
      <w:pPr>
        <w:spacing w:line="360" w:lineRule="auto"/>
        <w:ind w:firstLine="3120" w:firstLineChars="1300"/>
        <w:rPr>
          <w:sz w:val="24"/>
        </w:rPr>
      </w:pPr>
      <w:r>
        <w:rPr>
          <w:position w:val="-24"/>
          <w:sz w:val="24"/>
        </w:rPr>
        <w:object>
          <v:shape id="_x0000_i1042" o:spt="75" type="#_x0000_t75" style="height:34.7pt;width:154.3pt;" o:ole="t" filled="f" o:preferrelative="t" stroked="f" coordsize="21600,21600">
            <v:path/>
            <v:fill on="f" focussize="0,0"/>
            <v:stroke on="f" joinstyle="miter"/>
            <v:imagedata r:id="rId53" o:title=""/>
            <o:lock v:ext="edit" aspectratio="t"/>
            <w10:wrap type="none"/>
            <w10:anchorlock/>
          </v:shape>
          <o:OLEObject Type="Embed" ProgID="Equation.KSEE3" ShapeID="_x0000_i1042" DrawAspect="Content" ObjectID="_1468075742" r:id="rId52">
            <o:LockedField>false</o:LockedField>
          </o:OLEObject>
        </w:object>
      </w:r>
    </w:p>
    <w:p w14:paraId="36F21966">
      <w:pPr>
        <w:widowControl/>
        <w:spacing w:line="360" w:lineRule="auto"/>
        <w:ind w:firstLine="120" w:firstLineChars="50"/>
        <w:jc w:val="left"/>
        <w:rPr>
          <w:sz w:val="24"/>
        </w:rPr>
      </w:pPr>
      <w:r>
        <w:rPr>
          <w:rFonts w:hint="eastAsia"/>
          <w:sz w:val="24"/>
        </w:rPr>
        <w:t>C.3.2皮带秤的不确定度分量</w:t>
      </w:r>
      <w:r>
        <w:rPr>
          <w:rFonts w:hint="eastAsia"/>
          <w:i/>
          <w:sz w:val="24"/>
        </w:rPr>
        <w:t>u</w:t>
      </w:r>
      <w:r>
        <w:rPr>
          <w:rFonts w:hint="eastAsia"/>
          <w:sz w:val="24"/>
          <w:vertAlign w:val="subscript"/>
        </w:rPr>
        <w:t>2</w:t>
      </w:r>
      <w:r>
        <w:rPr>
          <w:sz w:val="24"/>
          <w:vertAlign w:val="subscript"/>
        </w:rPr>
        <w:t>rel</w:t>
      </w:r>
    </w:p>
    <w:p w14:paraId="55ADCFC4">
      <w:pPr>
        <w:widowControl/>
        <w:spacing w:line="360" w:lineRule="auto"/>
        <w:ind w:firstLine="120" w:firstLineChars="50"/>
        <w:jc w:val="left"/>
        <w:rPr>
          <w:sz w:val="24"/>
        </w:rPr>
      </w:pPr>
      <w:r>
        <w:rPr>
          <w:rFonts w:hint="eastAsia"/>
          <w:sz w:val="24"/>
        </w:rPr>
        <w:t>C.3.2.1 皮带秤示值重复性的不确定度分量</w:t>
      </w:r>
      <w:r>
        <w:rPr>
          <w:rFonts w:hint="eastAsia"/>
          <w:i/>
          <w:iCs/>
          <w:sz w:val="24"/>
        </w:rPr>
        <w:t>u</w:t>
      </w:r>
      <w:r>
        <w:rPr>
          <w:sz w:val="24"/>
          <w:vertAlign w:val="subscript"/>
        </w:rPr>
        <w:t>21</w:t>
      </w:r>
    </w:p>
    <w:p w14:paraId="016B158F">
      <w:pPr>
        <w:spacing w:line="360" w:lineRule="auto"/>
        <w:ind w:left="174" w:leftChars="83" w:firstLine="360" w:firstLineChars="150"/>
        <w:rPr>
          <w:sz w:val="24"/>
        </w:rPr>
      </w:pPr>
      <w:r>
        <w:rPr>
          <w:rFonts w:hint="eastAsia"/>
          <w:sz w:val="24"/>
        </w:rPr>
        <w:t>实际测量进行4次，其极差为</w:t>
      </w:r>
      <w:r>
        <w:rPr>
          <w:i/>
          <w:iCs/>
          <w:sz w:val="24"/>
        </w:rPr>
        <w:t>r</w:t>
      </w:r>
      <w:r>
        <w:rPr>
          <w:rFonts w:hint="eastAsia"/>
          <w:sz w:val="24"/>
        </w:rPr>
        <w:t>，则：</w:t>
      </w:r>
    </w:p>
    <w:p w14:paraId="378ADFFF">
      <w:pPr>
        <w:spacing w:line="360" w:lineRule="auto"/>
        <w:ind w:left="174" w:leftChars="83" w:firstLine="3360" w:firstLineChars="1400"/>
        <w:rPr>
          <w:sz w:val="24"/>
        </w:rPr>
      </w:pPr>
      <w:r>
        <w:rPr>
          <w:position w:val="-24"/>
          <w:sz w:val="24"/>
        </w:rPr>
        <w:object>
          <v:shape id="_x0000_i1043" o:spt="75" type="#_x0000_t75" style="height:31.3pt;width:90pt;" o:ole="t" filled="f" o:preferrelative="t" stroked="f" coordsize="21600,21600">
            <v:path/>
            <v:fill on="f" focussize="0,0"/>
            <v:stroke on="f" joinstyle="miter"/>
            <v:imagedata r:id="rId55" o:title=""/>
            <o:lock v:ext="edit" aspectratio="t"/>
            <w10:wrap type="none"/>
            <w10:anchorlock/>
          </v:shape>
          <o:OLEObject Type="Embed" ProgID="Equation.DSMT4" ShapeID="_x0000_i1043" DrawAspect="Content" ObjectID="_1468075743" r:id="rId54">
            <o:LockedField>false</o:LockedField>
          </o:OLEObject>
        </w:object>
      </w:r>
    </w:p>
    <w:p w14:paraId="599A341F">
      <w:pPr>
        <w:widowControl/>
        <w:spacing w:line="360" w:lineRule="auto"/>
        <w:ind w:firstLine="120" w:firstLineChars="50"/>
        <w:jc w:val="left"/>
        <w:rPr>
          <w:sz w:val="24"/>
        </w:rPr>
      </w:pPr>
      <w:r>
        <w:rPr>
          <w:rFonts w:hint="eastAsia"/>
          <w:sz w:val="24"/>
        </w:rPr>
        <w:t>C.3.2.2 皮带秤的示值分辨率带来的测量不确定度分量</w:t>
      </w:r>
      <w:r>
        <w:rPr>
          <w:rFonts w:hint="eastAsia"/>
          <w:i/>
          <w:sz w:val="24"/>
        </w:rPr>
        <w:t>u</w:t>
      </w:r>
      <w:r>
        <w:rPr>
          <w:rFonts w:hint="eastAsia"/>
          <w:sz w:val="24"/>
          <w:vertAlign w:val="subscript"/>
        </w:rPr>
        <w:t>2</w:t>
      </w:r>
      <w:r>
        <w:rPr>
          <w:sz w:val="24"/>
          <w:vertAlign w:val="subscript"/>
        </w:rPr>
        <w:t>2</w:t>
      </w:r>
    </w:p>
    <w:p w14:paraId="0A8D020B">
      <w:pPr>
        <w:spacing w:line="360" w:lineRule="auto"/>
        <w:ind w:firstLine="360" w:firstLineChars="150"/>
        <w:rPr>
          <w:sz w:val="24"/>
        </w:rPr>
      </w:pPr>
      <w:r>
        <w:rPr>
          <w:rFonts w:hint="eastAsia"/>
          <w:sz w:val="24"/>
        </w:rPr>
        <w:t>皮带秤的分度值为</w:t>
      </w:r>
      <w:r>
        <w:rPr>
          <w:rFonts w:hint="eastAsia"/>
          <w:i/>
          <w:sz w:val="24"/>
        </w:rPr>
        <w:t>d</w:t>
      </w:r>
      <w:r>
        <w:rPr>
          <w:rFonts w:hint="eastAsia"/>
          <w:sz w:val="24"/>
          <w:vertAlign w:val="subscript"/>
        </w:rPr>
        <w:t>1</w:t>
      </w:r>
      <w:r>
        <w:rPr>
          <w:rFonts w:hint="eastAsia"/>
          <w:sz w:val="24"/>
        </w:rPr>
        <w:t>=</w:t>
      </w:r>
      <w:r>
        <w:rPr>
          <w:rFonts w:hint="eastAsia"/>
          <w:i/>
          <w:sz w:val="24"/>
        </w:rPr>
        <w:t>e</w:t>
      </w:r>
      <w:r>
        <w:rPr>
          <w:rFonts w:hint="eastAsia"/>
          <w:sz w:val="24"/>
          <w:vertAlign w:val="subscript"/>
        </w:rPr>
        <w:t>1</w:t>
      </w:r>
      <w:r>
        <w:rPr>
          <w:rFonts w:hint="eastAsia"/>
          <w:sz w:val="24"/>
        </w:rPr>
        <w:t>，由于在进行物料检定时，无法采用“闪变点法”确定混凝土配料秤化整前的示值误差。其显示器分辨力</w:t>
      </w:r>
      <w:r>
        <w:rPr>
          <w:rFonts w:hint="eastAsia"/>
          <w:i/>
          <w:iCs/>
          <w:sz w:val="24"/>
        </w:rPr>
        <w:t>d</w:t>
      </w:r>
      <w:r>
        <w:rPr>
          <w:iCs/>
          <w:sz w:val="24"/>
          <w:vertAlign w:val="subscript"/>
        </w:rPr>
        <w:t>1</w:t>
      </w:r>
      <w:r>
        <w:rPr>
          <w:rFonts w:hint="eastAsia"/>
          <w:sz w:val="24"/>
        </w:rPr>
        <w:t>，则区间半宽度为</w:t>
      </w:r>
      <w:r>
        <w:rPr>
          <w:rFonts w:hint="eastAsia"/>
          <w:i/>
          <w:iCs/>
          <w:sz w:val="24"/>
        </w:rPr>
        <w:t>d</w:t>
      </w:r>
      <w:r>
        <w:rPr>
          <w:iCs/>
          <w:sz w:val="24"/>
          <w:vertAlign w:val="subscript"/>
        </w:rPr>
        <w:t>1</w:t>
      </w:r>
      <w:r>
        <w:rPr>
          <w:rFonts w:hint="eastAsia"/>
          <w:sz w:val="24"/>
        </w:rPr>
        <w:t>/2，可假设为均匀分布，查表得</w:t>
      </w:r>
      <w:r>
        <w:rPr>
          <w:rFonts w:hint="eastAsia"/>
          <w:i/>
          <w:sz w:val="24"/>
        </w:rPr>
        <w:t>k</w:t>
      </w:r>
      <w:r>
        <w:rPr>
          <w:rFonts w:hint="eastAsia"/>
          <w:sz w:val="24"/>
        </w:rPr>
        <w:t>=</w:t>
      </w:r>
      <w:r>
        <w:rPr>
          <w:position w:val="-8"/>
          <w:sz w:val="24"/>
        </w:rPr>
        <w:object>
          <v:shape id="_x0000_i1044" o:spt="75" type="#_x0000_t75" style="height:18pt;width:18pt;" o:ole="t" filled="f" o:preferrelative="t" stroked="f" coordsize="21600,21600">
            <v:path/>
            <v:fill on="f" focussize="0,0"/>
            <v:stroke on="f" joinstyle="miter"/>
            <v:imagedata r:id="rId45" o:title=""/>
            <o:lock v:ext="edit" aspectratio="t"/>
            <w10:wrap type="none"/>
            <w10:anchorlock/>
          </v:shape>
          <o:OLEObject Type="Embed" ProgID="Equation.3" ShapeID="_x0000_i1044" DrawAspect="Content" ObjectID="_1468075744" r:id="rId56">
            <o:LockedField>false</o:LockedField>
          </o:OLEObject>
        </w:object>
      </w:r>
      <w:r>
        <w:rPr>
          <w:rFonts w:hint="eastAsia"/>
          <w:sz w:val="24"/>
        </w:rPr>
        <w:t>，由分辨力引起的标准不确定度分量为：</w:t>
      </w:r>
    </w:p>
    <w:p w14:paraId="7452629F">
      <w:pPr>
        <w:spacing w:line="360" w:lineRule="auto"/>
        <w:ind w:firstLine="480" w:firstLineChars="200"/>
        <w:rPr>
          <w:sz w:val="24"/>
        </w:rPr>
      </w:pPr>
      <w:r>
        <w:rPr>
          <w:rFonts w:hint="eastAsia"/>
          <w:sz w:val="24"/>
        </w:rPr>
        <w:t>因此：</w:t>
      </w:r>
    </w:p>
    <w:p w14:paraId="4900832A">
      <w:pPr>
        <w:spacing w:line="360" w:lineRule="auto"/>
        <w:ind w:firstLine="3120" w:firstLineChars="1300"/>
        <w:rPr>
          <w:sz w:val="24"/>
          <w:vertAlign w:val="subscript"/>
        </w:rPr>
      </w:pPr>
      <w:r>
        <w:rPr>
          <w:rFonts w:hint="eastAsia"/>
          <w:i/>
          <w:iCs/>
          <w:sz w:val="24"/>
        </w:rPr>
        <w:t>u</w:t>
      </w:r>
      <w:r>
        <w:rPr>
          <w:rFonts w:hint="eastAsia"/>
          <w:sz w:val="24"/>
          <w:vertAlign w:val="subscript"/>
        </w:rPr>
        <w:t>22</w:t>
      </w:r>
      <w:r>
        <w:rPr>
          <w:sz w:val="24"/>
        </w:rPr>
        <w:t>=</w:t>
      </w:r>
      <w:r>
        <w:rPr>
          <w:position w:val="-12"/>
          <w:sz w:val="24"/>
        </w:rPr>
        <w:object>
          <v:shape id="_x0000_i1045" o:spt="75" type="#_x0000_t75" style="height:19.7pt;width:51.45pt;" o:ole="t" filled="f" o:preferrelative="t" stroked="f" coordsize="21600,21600">
            <v:path/>
            <v:fill on="f" focussize="0,0"/>
            <v:stroke on="f" joinstyle="miter"/>
            <v:imagedata r:id="rId58" o:title=""/>
            <o:lock v:ext="edit" aspectratio="t"/>
            <w10:wrap type="none"/>
            <w10:anchorlock/>
          </v:shape>
          <o:OLEObject Type="Embed" ProgID="Equation.DSMT4" ShapeID="_x0000_i1045" DrawAspect="Content" ObjectID="_1468075745" r:id="rId57">
            <o:LockedField>false</o:LockedField>
          </o:OLEObject>
        </w:object>
      </w:r>
      <w:r>
        <w:rPr>
          <w:rFonts w:hint="eastAsia"/>
          <w:sz w:val="24"/>
        </w:rPr>
        <w:t>=0.29</w:t>
      </w:r>
      <w:r>
        <w:rPr>
          <w:rFonts w:hint="eastAsia"/>
          <w:i/>
          <w:sz w:val="24"/>
        </w:rPr>
        <w:t>e</w:t>
      </w:r>
      <w:r>
        <w:rPr>
          <w:rFonts w:hint="eastAsia"/>
          <w:sz w:val="24"/>
          <w:vertAlign w:val="subscript"/>
        </w:rPr>
        <w:t>1</w:t>
      </w:r>
    </w:p>
    <w:p w14:paraId="09920E9F">
      <w:pPr>
        <w:spacing w:line="360" w:lineRule="auto"/>
        <w:ind w:left="447" w:leftChars="213"/>
        <w:rPr>
          <w:sz w:val="24"/>
          <w:vertAlign w:val="superscript"/>
        </w:rPr>
      </w:pPr>
      <w:r>
        <w:rPr>
          <w:rFonts w:hint="eastAsia"/>
          <w:sz w:val="24"/>
        </w:rPr>
        <w:t xml:space="preserve">故：                  </w:t>
      </w:r>
      <w:r>
        <w:rPr>
          <w:rFonts w:hint="eastAsia"/>
          <w:i/>
          <w:iCs/>
          <w:sz w:val="24"/>
        </w:rPr>
        <w:t>u</w:t>
      </w:r>
      <w:r>
        <w:rPr>
          <w:rFonts w:hint="eastAsia"/>
          <w:sz w:val="24"/>
          <w:vertAlign w:val="subscript"/>
        </w:rPr>
        <w:t>2</w:t>
      </w:r>
      <w:r>
        <w:rPr>
          <w:rFonts w:hint="eastAsia"/>
          <w:sz w:val="24"/>
          <w:vertAlign w:val="superscript"/>
        </w:rPr>
        <w:t>2</w:t>
      </w:r>
      <w:r>
        <w:rPr>
          <w:rFonts w:hint="eastAsia"/>
          <w:sz w:val="24"/>
        </w:rPr>
        <w:t>=</w:t>
      </w:r>
      <w:r>
        <w:rPr>
          <w:rFonts w:hint="eastAsia"/>
          <w:i/>
          <w:iCs/>
          <w:sz w:val="24"/>
        </w:rPr>
        <w:t>u</w:t>
      </w:r>
      <w:r>
        <w:rPr>
          <w:rFonts w:hint="eastAsia"/>
          <w:sz w:val="24"/>
          <w:vertAlign w:val="subscript"/>
        </w:rPr>
        <w:t>21</w:t>
      </w:r>
      <w:r>
        <w:rPr>
          <w:rFonts w:hint="eastAsia"/>
          <w:sz w:val="24"/>
          <w:vertAlign w:val="superscript"/>
        </w:rPr>
        <w:t>2</w:t>
      </w:r>
      <w:r>
        <w:rPr>
          <w:rFonts w:hint="eastAsia"/>
          <w:sz w:val="24"/>
        </w:rPr>
        <w:t>+</w:t>
      </w:r>
      <w:r>
        <w:rPr>
          <w:rFonts w:hint="eastAsia"/>
          <w:i/>
          <w:iCs/>
          <w:sz w:val="24"/>
        </w:rPr>
        <w:t>u</w:t>
      </w:r>
      <w:r>
        <w:rPr>
          <w:rFonts w:hint="eastAsia"/>
          <w:sz w:val="24"/>
          <w:vertAlign w:val="subscript"/>
        </w:rPr>
        <w:t>22</w:t>
      </w:r>
      <w:r>
        <w:rPr>
          <w:rFonts w:hint="eastAsia"/>
          <w:sz w:val="24"/>
          <w:vertAlign w:val="superscript"/>
        </w:rPr>
        <w:t>2</w:t>
      </w:r>
      <w:r>
        <w:rPr>
          <w:rFonts w:hint="eastAsia"/>
          <w:sz w:val="24"/>
        </w:rPr>
        <w:t>=0.48</w:t>
      </w:r>
      <w:r>
        <w:rPr>
          <w:rFonts w:hint="eastAsia"/>
          <w:sz w:val="24"/>
          <w:vertAlign w:val="superscript"/>
        </w:rPr>
        <w:t>2</w:t>
      </w:r>
      <w:r>
        <w:rPr>
          <w:rFonts w:hint="eastAsia"/>
          <w:i/>
          <w:sz w:val="24"/>
        </w:rPr>
        <w:t>r</w:t>
      </w:r>
      <w:r>
        <w:rPr>
          <w:rFonts w:hint="eastAsia"/>
          <w:sz w:val="24"/>
          <w:vertAlign w:val="superscript"/>
        </w:rPr>
        <w:t>2</w:t>
      </w:r>
      <w:r>
        <w:rPr>
          <w:sz w:val="24"/>
        </w:rPr>
        <w:t>+0.29</w:t>
      </w:r>
      <w:r>
        <w:rPr>
          <w:rFonts w:hint="eastAsia"/>
          <w:sz w:val="24"/>
          <w:vertAlign w:val="superscript"/>
        </w:rPr>
        <w:t>2</w:t>
      </w:r>
      <w:r>
        <w:rPr>
          <w:rFonts w:hint="eastAsia"/>
          <w:i/>
          <w:sz w:val="24"/>
        </w:rPr>
        <w:t>e</w:t>
      </w:r>
      <w:r>
        <w:rPr>
          <w:rFonts w:hint="eastAsia"/>
          <w:sz w:val="24"/>
          <w:vertAlign w:val="subscript"/>
        </w:rPr>
        <w:t>1</w:t>
      </w:r>
      <w:r>
        <w:rPr>
          <w:rFonts w:hint="eastAsia"/>
          <w:sz w:val="24"/>
          <w:vertAlign w:val="superscript"/>
        </w:rPr>
        <w:t>2</w:t>
      </w:r>
    </w:p>
    <w:p w14:paraId="47425EB5">
      <w:pPr>
        <w:spacing w:line="360" w:lineRule="auto"/>
        <w:ind w:firstLine="3000" w:firstLineChars="1250"/>
        <w:jc w:val="left"/>
        <w:rPr>
          <w:i/>
          <w:iCs/>
          <w:sz w:val="24"/>
        </w:rPr>
      </w:pPr>
      <w:r>
        <w:rPr>
          <w:position w:val="-12"/>
          <w:sz w:val="24"/>
        </w:rPr>
        <w:object>
          <v:shape id="_x0000_i1046" o:spt="75" type="#_x0000_t75" style="height:22.7pt;width:120pt;" o:ole="t" filled="f" o:preferrelative="t" stroked="f" coordsize="21600,21600">
            <v:path/>
            <v:fill on="f" focussize="0,0"/>
            <v:stroke on="f" joinstyle="miter"/>
            <v:imagedata r:id="rId60" o:title=""/>
            <o:lock v:ext="edit" aspectratio="t"/>
            <w10:wrap type="none"/>
            <w10:anchorlock/>
          </v:shape>
          <o:OLEObject Type="Embed" ProgID="Equation.KSEE3" ShapeID="_x0000_i1046" DrawAspect="Content" ObjectID="_1468075746" r:id="rId59">
            <o:LockedField>false</o:LockedField>
          </o:OLEObject>
        </w:object>
      </w:r>
    </w:p>
    <w:p w14:paraId="2DF0A66C">
      <w:pPr>
        <w:spacing w:line="360" w:lineRule="auto"/>
        <w:ind w:firstLine="2880" w:firstLineChars="1200"/>
        <w:jc w:val="left"/>
        <w:rPr>
          <w:sz w:val="24"/>
        </w:rPr>
      </w:pPr>
      <w:r>
        <w:rPr>
          <w:position w:val="-24"/>
          <w:sz w:val="24"/>
        </w:rPr>
        <w:object>
          <v:shape id="_x0000_i1047" o:spt="75" type="#_x0000_t75" style="height:36pt;width:130.3pt;" o:ole="t" filled="f" o:preferrelative="t" stroked="f" coordsize="21600,21600">
            <v:path/>
            <v:fill on="f" focussize="0,0"/>
            <v:stroke on="f" joinstyle="miter"/>
            <v:imagedata r:id="rId62" o:title=""/>
            <o:lock v:ext="edit" aspectratio="t"/>
            <w10:wrap type="none"/>
            <w10:anchorlock/>
          </v:shape>
          <o:OLEObject Type="Embed" ProgID="Equation.KSEE3" ShapeID="_x0000_i1047" DrawAspect="Content" ObjectID="_1468075747" r:id="rId61">
            <o:LockedField>false</o:LockedField>
          </o:OLEObject>
        </w:object>
      </w:r>
      <w:r>
        <w:rPr>
          <w:sz w:val="24"/>
        </w:rPr>
        <w:fldChar w:fldCharType="begin"/>
      </w:r>
      <w:r>
        <w:rPr>
          <w:sz w:val="24"/>
        </w:rPr>
        <w:instrText xml:space="preserve"> QUOTE </w:instrText>
      </w:r>
      <m:oMath>
        <m:f>
          <m:fPr>
            <m:ctrlPr>
              <w:rPr>
                <w:rFonts w:ascii="Cambria Math" w:hAnsi="Cambria Math"/>
                <w:i/>
                <w:sz w:val="32"/>
              </w:rPr>
            </m:ctrlPr>
          </m:fPr>
          <m:num>
            <m:rad>
              <m:radPr>
                <m:degHide m:val="1"/>
                <m:ctrlPr>
                  <w:rPr>
                    <w:rFonts w:ascii="Cambria Math" w:hAnsi="Cambria Math"/>
                    <w:i/>
                    <w:sz w:val="32"/>
                  </w:rPr>
                </m:ctrlPr>
              </m:radPr>
              <m:deg>
                <m:ctrlPr>
                  <w:rPr>
                    <w:rFonts w:ascii="Cambria Math" w:hAnsi="Cambria Math"/>
                    <w:i/>
                    <w:sz w:val="32"/>
                  </w:rPr>
                </m:ctrlPr>
              </m:deg>
              <m:e>
                <m:sSup>
                  <m:sSupPr>
                    <m:ctrlPr>
                      <w:rPr>
                        <w:rFonts w:ascii="Cambria Math" w:hAnsi="Cambria Math"/>
                        <w:i/>
                        <w:sz w:val="32"/>
                      </w:rPr>
                    </m:ctrlPr>
                  </m:sSupPr>
                  <m:e>
                    <m:r>
                      <m:rPr>
                        <m:sty m:val="p"/>
                      </m:rPr>
                      <w:rPr>
                        <w:rFonts w:hint="eastAsia" w:ascii="Cambria Math"/>
                        <w:sz w:val="32"/>
                      </w:rPr>
                      <m:t xml:space="preserve">0.</m:t>
                    </m:r>
                    <m:r>
                      <m:rPr>
                        <m:sty m:val="p"/>
                      </m:rPr>
                      <w:rPr>
                        <w:rFonts w:ascii="Cambria Math"/>
                        <w:sz w:val="32"/>
                      </w:rPr>
                      <m:t xml:space="preserve">48</m:t>
                    </m:r>
                    <m:ctrlPr>
                      <w:rPr>
                        <w:rFonts w:ascii="Cambria Math" w:hAnsi="Cambria Math"/>
                        <w:i/>
                        <w:sz w:val="32"/>
                      </w:rPr>
                    </m:ctrlPr>
                  </m:e>
                  <m:sup>
                    <m:r>
                      <m:rPr>
                        <m:sty m:val="p"/>
                      </m:rPr>
                      <w:rPr>
                        <w:rFonts w:ascii="Cambria Math"/>
                        <w:sz w:val="32"/>
                      </w:rPr>
                      <m:t xml:space="preserve">2</m:t>
                    </m:r>
                    <m:ctrlPr>
                      <w:rPr>
                        <w:rFonts w:ascii="Cambria Math" w:hAnsi="Cambria Math"/>
                        <w:i/>
                        <w:sz w:val="32"/>
                      </w:rPr>
                    </m:ctrlPr>
                  </m:sup>
                </m:sSup>
                <m:sSup>
                  <m:sSupPr>
                    <m:ctrlPr>
                      <w:rPr>
                        <w:rFonts w:ascii="Cambria Math" w:hAnsi="Cambria Math"/>
                        <w:i/>
                        <w:sz w:val="32"/>
                      </w:rPr>
                    </m:ctrlPr>
                  </m:sSupPr>
                  <m:e>
                    <m:r>
                      <m:rPr>
                        <m:sty m:val="p"/>
                      </m:rPr>
                      <w:rPr>
                        <w:rFonts w:ascii="Cambria Math"/>
                        <w:sz w:val="32"/>
                      </w:rPr>
                      <m:t xml:space="preserve">r</m:t>
                    </m:r>
                    <m:ctrlPr>
                      <w:rPr>
                        <w:rFonts w:ascii="Cambria Math" w:hAnsi="Cambria Math"/>
                        <w:i/>
                        <w:sz w:val="32"/>
                      </w:rPr>
                    </m:ctrlPr>
                  </m:e>
                  <m:sup>
                    <m:r>
                      <m:rPr>
                        <m:sty m:val="p"/>
                      </m:rPr>
                      <w:rPr>
                        <w:rFonts w:ascii="Cambria Math"/>
                        <w:sz w:val="32"/>
                      </w:rPr>
                      <m:t xml:space="preserve">2</m:t>
                    </m:r>
                    <m:ctrlPr>
                      <w:rPr>
                        <w:rFonts w:ascii="Cambria Math" w:hAnsi="Cambria Math"/>
                        <w:i/>
                        <w:sz w:val="32"/>
                      </w:rPr>
                    </m:ctrlPr>
                  </m:sup>
                </m:sSup>
                <m:r>
                  <m:rPr>
                    <m:sty m:val="p"/>
                  </m:rPr>
                  <w:rPr>
                    <w:rFonts w:ascii="Cambria Math"/>
                    <w:sz w:val="32"/>
                  </w:rPr>
                  <m:t xml:space="preserve">+0.2</m:t>
                </m:r>
                <m:sSup>
                  <m:sSupPr>
                    <m:ctrlPr>
                      <w:rPr>
                        <w:rFonts w:ascii="Cambria Math" w:hAnsi="Cambria Math"/>
                        <w:i/>
                        <w:sz w:val="32"/>
                      </w:rPr>
                    </m:ctrlPr>
                  </m:sSupPr>
                  <m:e>
                    <m:r>
                      <m:rPr>
                        <m:sty m:val="p"/>
                      </m:rPr>
                      <w:rPr>
                        <w:rFonts w:ascii="Cambria Math"/>
                        <w:sz w:val="32"/>
                      </w:rPr>
                      <m:t xml:space="preserve">9</m:t>
                    </m:r>
                    <m:ctrlPr>
                      <w:rPr>
                        <w:rFonts w:ascii="Cambria Math" w:hAnsi="Cambria Math"/>
                        <w:i/>
                        <w:sz w:val="32"/>
                      </w:rPr>
                    </m:ctrlPr>
                  </m:e>
                  <m:sup>
                    <m:r>
                      <m:rPr>
                        <m:sty m:val="p"/>
                      </m:rPr>
                      <w:rPr>
                        <w:rFonts w:ascii="Cambria Math"/>
                        <w:sz w:val="32"/>
                      </w:rPr>
                      <m:t xml:space="preserve">2</m:t>
                    </m:r>
                    <m:ctrlPr>
                      <w:rPr>
                        <w:rFonts w:ascii="Cambria Math" w:hAnsi="Cambria Math"/>
                        <w:i/>
                        <w:sz w:val="32"/>
                      </w:rPr>
                    </m:ctrlPr>
                  </m:sup>
                </m:sSup>
                <m:sSubSup>
                  <m:sSubSupPr>
                    <m:ctrlPr>
                      <w:rPr>
                        <w:rFonts w:ascii="Cambria Math" w:hAnsi="Cambria Math"/>
                        <w:i/>
                        <w:sz w:val="32"/>
                      </w:rPr>
                    </m:ctrlPr>
                  </m:sSubSupPr>
                  <m:e>
                    <m:r>
                      <m:rPr>
                        <m:sty m:val="p"/>
                      </m:rPr>
                      <w:rPr>
                        <w:rFonts w:ascii="Cambria Math"/>
                        <w:sz w:val="32"/>
                      </w:rPr>
                      <m:t xml:space="preserve">e</m:t>
                    </m:r>
                    <m:ctrlPr>
                      <w:rPr>
                        <w:rFonts w:ascii="Cambria Math" w:hAnsi="Cambria Math"/>
                        <w:i/>
                        <w:sz w:val="32"/>
                      </w:rPr>
                    </m:ctrlPr>
                  </m:e>
                  <m:sub>
                    <m:r>
                      <m:rPr>
                        <m:sty m:val="p"/>
                      </m:rPr>
                      <w:rPr>
                        <w:rFonts w:ascii="Cambria Math"/>
                        <w:sz w:val="32"/>
                      </w:rPr>
                      <m:t xml:space="preserve">1</m:t>
                    </m:r>
                    <m:ctrlPr>
                      <w:rPr>
                        <w:rFonts w:ascii="Cambria Math" w:hAnsi="Cambria Math"/>
                        <w:i/>
                        <w:sz w:val="32"/>
                      </w:rPr>
                    </m:ctrlPr>
                  </m:sub>
                  <m:sup>
                    <m:r>
                      <m:rPr>
                        <m:sty m:val="p"/>
                      </m:rPr>
                      <w:rPr>
                        <w:rFonts w:ascii="Cambria Math"/>
                        <w:sz w:val="32"/>
                      </w:rPr>
                      <m:t xml:space="preserve">2</m:t>
                    </m:r>
                    <m:ctrlPr>
                      <w:rPr>
                        <w:rFonts w:ascii="Cambria Math" w:hAnsi="Cambria Math"/>
                        <w:i/>
                        <w:sz w:val="32"/>
                      </w:rPr>
                    </m:ctrlPr>
                  </m:sup>
                </m:sSubSup>
                <m:ctrlPr>
                  <w:rPr>
                    <w:rFonts w:ascii="Cambria Math" w:hAnsi="Cambria Math"/>
                    <w:i/>
                    <w:sz w:val="32"/>
                  </w:rPr>
                </m:ctrlPr>
              </m:e>
            </m:rad>
            <m:ctrlPr>
              <w:rPr>
                <w:rFonts w:ascii="Cambria Math" w:hAnsi="Cambria Math"/>
                <w:i/>
                <w:sz w:val="32"/>
              </w:rPr>
            </m:ctrlPr>
          </m:num>
          <m:den>
            <m:r>
              <m:rPr>
                <m:sty m:val="p"/>
              </m:rPr>
              <w:rPr>
                <w:rFonts w:ascii="Cambria Math"/>
                <w:sz w:val="32"/>
              </w:rPr>
              <m:t xml:space="preserve">I</m:t>
            </m:r>
            <m:ctrlPr>
              <w:rPr>
                <w:rFonts w:ascii="Cambria Math" w:hAnsi="Cambria Math"/>
                <w:i/>
                <w:sz w:val="32"/>
              </w:rPr>
            </m:ctrlPr>
          </m:den>
        </m:f>
      </m:oMath>
      <w:r>
        <w:rPr>
          <w:sz w:val="24"/>
        </w:rPr>
        <w:fldChar w:fldCharType="end"/>
      </w:r>
    </w:p>
    <w:p w14:paraId="27B60FCB">
      <w:pPr>
        <w:widowControl/>
        <w:spacing w:line="360" w:lineRule="auto"/>
        <w:ind w:firstLine="120" w:firstLineChars="50"/>
        <w:jc w:val="left"/>
        <w:rPr>
          <w:sz w:val="24"/>
        </w:rPr>
      </w:pPr>
      <w:r>
        <w:rPr>
          <w:rFonts w:hint="eastAsia"/>
          <w:sz w:val="24"/>
        </w:rPr>
        <w:t>C.3.3 合成标准不确定度</w:t>
      </w:r>
    </w:p>
    <w:p w14:paraId="60A199A0">
      <w:pPr>
        <w:spacing w:line="360" w:lineRule="auto"/>
        <w:ind w:firstLine="480" w:firstLineChars="200"/>
        <w:rPr>
          <w:rFonts w:ascii="宋体" w:hAnsi="宋体"/>
          <w:color w:val="000000"/>
          <w:sz w:val="24"/>
        </w:rPr>
      </w:pPr>
      <w:r>
        <w:rPr>
          <w:rFonts w:hint="eastAsia" w:ascii="宋体" w:hAnsi="宋体"/>
          <w:color w:val="000000"/>
          <w:sz w:val="24"/>
        </w:rPr>
        <w:t>全部不确定度分量均不相关，合成标准不确定度按公式计算：</w:t>
      </w:r>
    </w:p>
    <w:p w14:paraId="34C490E1">
      <w:pPr>
        <w:spacing w:line="360" w:lineRule="auto"/>
        <w:ind w:firstLine="3240" w:firstLineChars="1350"/>
        <w:rPr>
          <w:rFonts w:ascii="宋体" w:hAnsi="宋体"/>
          <w:color w:val="000000"/>
          <w:sz w:val="24"/>
        </w:rPr>
      </w:pPr>
      <w:r>
        <w:rPr>
          <w:rFonts w:ascii="宋体" w:hAnsi="宋体"/>
          <w:color w:val="000000"/>
          <w:position w:val="-12"/>
          <w:sz w:val="24"/>
        </w:rPr>
        <w:object>
          <v:shape id="_x0000_i1048" o:spt="75" type="#_x0000_t75" style="height:19.3pt;width:81.45pt;" o:ole="t" filled="f" o:preferrelative="t" stroked="f" coordsize="21600,21600">
            <v:path/>
            <v:fill on="f" focussize="0,0"/>
            <v:stroke on="f" joinstyle="miter"/>
            <v:imagedata r:id="rId64" o:title=""/>
            <o:lock v:ext="edit" aspectratio="t"/>
            <w10:wrap type="none"/>
            <w10:anchorlock/>
          </v:shape>
          <o:OLEObject Type="Embed" ProgID="Equation.DSMT4" ShapeID="_x0000_i1048" DrawAspect="Content" ObjectID="_1468075748" r:id="rId63">
            <o:LockedField>false</o:LockedField>
          </o:OLEObject>
        </w:object>
      </w:r>
    </w:p>
    <w:p w14:paraId="3882DF94">
      <w:pPr>
        <w:spacing w:line="360" w:lineRule="auto"/>
        <w:ind w:left="1999" w:leftChars="952" w:firstLine="1080" w:firstLineChars="450"/>
        <w:rPr>
          <w:sz w:val="24"/>
        </w:rPr>
      </w:pPr>
      <w:r>
        <w:rPr>
          <w:position w:val="-14"/>
          <w:sz w:val="24"/>
        </w:rPr>
        <w:object>
          <v:shape id="_x0000_i1049" o:spt="75" type="#_x0000_t75" style="height:22.3pt;width:91.3pt;" o:ole="t" filled="f" o:preferrelative="t" stroked="f" coordsize="21600,21600">
            <v:path/>
            <v:fill on="f" focussize="0,0"/>
            <v:stroke on="f" joinstyle="miter"/>
            <v:imagedata r:id="rId66" o:title=""/>
            <o:lock v:ext="edit" aspectratio="t"/>
            <w10:wrap type="none"/>
            <w10:anchorlock/>
          </v:shape>
          <o:OLEObject Type="Embed" ProgID="Equation.KSEE3" ShapeID="_x0000_i1049" DrawAspect="Content" ObjectID="_1468075749" r:id="rId65">
            <o:LockedField>false</o:LockedField>
          </o:OLEObject>
        </w:object>
      </w:r>
    </w:p>
    <w:p w14:paraId="463C5CE0">
      <w:pPr>
        <w:widowControl/>
        <w:spacing w:line="360" w:lineRule="auto"/>
        <w:ind w:firstLine="120" w:firstLineChars="50"/>
        <w:jc w:val="left"/>
        <w:rPr>
          <w:rFonts w:ascii="宋体" w:hAnsi="宋体"/>
          <w:sz w:val="24"/>
        </w:rPr>
      </w:pPr>
      <w:r>
        <w:rPr>
          <w:rFonts w:hint="eastAsia"/>
          <w:sz w:val="24"/>
        </w:rPr>
        <w:t xml:space="preserve">C.3.4 </w:t>
      </w:r>
      <w:r>
        <w:rPr>
          <w:rFonts w:hint="eastAsia" w:ascii="宋体" w:hAnsi="宋体"/>
          <w:sz w:val="24"/>
        </w:rPr>
        <w:t>扩展不确定度</w:t>
      </w:r>
    </w:p>
    <w:p w14:paraId="5C8A3977">
      <w:pPr>
        <w:spacing w:line="360" w:lineRule="auto"/>
        <w:ind w:firstLine="480" w:firstLineChars="200"/>
        <w:rPr>
          <w:rFonts w:ascii="宋体" w:hAnsi="宋体"/>
          <w:color w:val="000000"/>
          <w:sz w:val="24"/>
        </w:rPr>
      </w:pPr>
      <w:r>
        <w:rPr>
          <w:rFonts w:hint="eastAsia" w:ascii="宋体" w:hAnsi="宋体"/>
          <w:color w:val="000000"/>
          <w:sz w:val="24"/>
        </w:rPr>
        <w:t>取包含因子</w:t>
      </w:r>
      <w:r>
        <w:rPr>
          <w:rFonts w:hint="eastAsia" w:ascii="宋体" w:hAnsi="宋体"/>
          <w:i/>
          <w:color w:val="000000"/>
          <w:sz w:val="24"/>
        </w:rPr>
        <w:t>k</w:t>
      </w:r>
      <w:r>
        <w:rPr>
          <w:rFonts w:hint="eastAsia" w:ascii="宋体" w:hAnsi="宋体"/>
          <w:color w:val="000000"/>
          <w:sz w:val="24"/>
        </w:rPr>
        <w:t>=2，则扩展不确定度按下式计算：</w:t>
      </w:r>
    </w:p>
    <w:p w14:paraId="5696E7D5">
      <w:pPr>
        <w:spacing w:line="360" w:lineRule="auto"/>
        <w:ind w:left="424" w:leftChars="202" w:firstLine="2400" w:firstLineChars="1000"/>
        <w:rPr>
          <w:rFonts w:ascii="宋体" w:hAnsi="宋体"/>
          <w:sz w:val="24"/>
        </w:rPr>
      </w:pPr>
      <w:r>
        <w:rPr>
          <w:position w:val="-14"/>
          <w:sz w:val="24"/>
        </w:rPr>
        <w:object>
          <v:shape id="_x0000_i1050" o:spt="75" type="#_x0000_t75" style="height:22.3pt;width:139.7pt;" o:ole="t" filled="f" o:preferrelative="t" stroked="f" coordsize="21600,21600">
            <v:path/>
            <v:fill on="f" focussize="0,0"/>
            <v:stroke on="f" joinstyle="miter"/>
            <v:imagedata r:id="rId68" o:title=""/>
            <o:lock v:ext="edit" aspectratio="t"/>
            <w10:wrap type="none"/>
            <w10:anchorlock/>
          </v:shape>
          <o:OLEObject Type="Embed" ProgID="Equation.3" ShapeID="_x0000_i1050" DrawAspect="Content" ObjectID="_1468075750" r:id="rId67">
            <o:LockedField>false</o:LockedField>
          </o:OLEObject>
        </w:object>
      </w:r>
    </w:p>
    <w:p w14:paraId="63C53C61">
      <w:pPr>
        <w:spacing w:line="360" w:lineRule="auto"/>
        <w:ind w:firstLine="480" w:firstLineChars="200"/>
        <w:rPr>
          <w:color w:val="000000"/>
          <w:sz w:val="24"/>
        </w:rPr>
      </w:pPr>
      <w:r>
        <w:rPr>
          <w:color w:val="000000"/>
          <w:sz w:val="24"/>
        </w:rPr>
        <w:t>标准不确定度分量汇总见下表</w:t>
      </w:r>
      <w:r>
        <w:rPr>
          <w:rFonts w:hint="eastAsia"/>
          <w:color w:val="000000"/>
          <w:sz w:val="24"/>
        </w:rPr>
        <w:t>C</w:t>
      </w:r>
      <w:r>
        <w:rPr>
          <w:color w:val="000000"/>
          <w:sz w:val="24"/>
        </w:rPr>
        <w:t>.1。</w:t>
      </w:r>
    </w:p>
    <w:p w14:paraId="6FBA95D5">
      <w:pPr>
        <w:spacing w:line="360" w:lineRule="auto"/>
        <w:jc w:val="center"/>
        <w:rPr>
          <w:color w:val="000000"/>
          <w:sz w:val="24"/>
        </w:rPr>
      </w:pPr>
      <w:r>
        <w:rPr>
          <w:color w:val="000000"/>
          <w:sz w:val="24"/>
        </w:rPr>
        <w:t>表</w:t>
      </w:r>
      <w:r>
        <w:rPr>
          <w:rFonts w:hint="eastAsia"/>
          <w:color w:val="000000"/>
          <w:sz w:val="24"/>
        </w:rPr>
        <w:t>C</w:t>
      </w:r>
      <w:r>
        <w:rPr>
          <w:color w:val="000000"/>
          <w:sz w:val="24"/>
        </w:rPr>
        <w:t>.1 标准不确定度分量汇总表</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3420"/>
        <w:gridCol w:w="832"/>
        <w:gridCol w:w="2268"/>
        <w:gridCol w:w="851"/>
      </w:tblGrid>
      <w:tr w14:paraId="0AB1F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668" w:type="dxa"/>
            <w:vAlign w:val="center"/>
          </w:tcPr>
          <w:p w14:paraId="16B1C87B">
            <w:pPr>
              <w:spacing w:line="360" w:lineRule="auto"/>
              <w:jc w:val="center"/>
              <w:rPr>
                <w:color w:val="000000"/>
                <w:sz w:val="24"/>
              </w:rPr>
            </w:pPr>
            <w:r>
              <w:rPr>
                <w:color w:val="000000"/>
                <w:sz w:val="24"/>
              </w:rPr>
              <w:t>不确定度分量</w:t>
            </w:r>
          </w:p>
        </w:tc>
        <w:tc>
          <w:tcPr>
            <w:tcW w:w="3420" w:type="dxa"/>
            <w:vAlign w:val="center"/>
          </w:tcPr>
          <w:p w14:paraId="18970AFE">
            <w:pPr>
              <w:spacing w:line="360" w:lineRule="auto"/>
              <w:jc w:val="center"/>
              <w:rPr>
                <w:color w:val="000000"/>
                <w:sz w:val="24"/>
              </w:rPr>
            </w:pPr>
            <w:r>
              <w:rPr>
                <w:color w:val="000000"/>
                <w:sz w:val="24"/>
              </w:rPr>
              <w:t>不确定度来源</w:t>
            </w:r>
          </w:p>
        </w:tc>
        <w:tc>
          <w:tcPr>
            <w:tcW w:w="832" w:type="dxa"/>
            <w:vAlign w:val="center"/>
          </w:tcPr>
          <w:p w14:paraId="5D0C19AD">
            <w:pPr>
              <w:spacing w:line="360" w:lineRule="auto"/>
              <w:jc w:val="center"/>
              <w:rPr>
                <w:color w:val="000000"/>
                <w:sz w:val="24"/>
              </w:rPr>
            </w:pPr>
            <w:r>
              <w:rPr>
                <w:color w:val="000000"/>
                <w:sz w:val="24"/>
              </w:rPr>
              <w:t>评定方法</w:t>
            </w:r>
          </w:p>
        </w:tc>
        <w:tc>
          <w:tcPr>
            <w:tcW w:w="2268" w:type="dxa"/>
            <w:vAlign w:val="center"/>
          </w:tcPr>
          <w:p w14:paraId="2DA880DC">
            <w:pPr>
              <w:spacing w:line="360" w:lineRule="auto"/>
              <w:jc w:val="center"/>
              <w:rPr>
                <w:color w:val="000000"/>
                <w:sz w:val="24"/>
              </w:rPr>
            </w:pPr>
            <w:r>
              <w:rPr>
                <w:color w:val="000000"/>
                <w:sz w:val="24"/>
              </w:rPr>
              <w:t>标准不确定度</w:t>
            </w:r>
          </w:p>
        </w:tc>
        <w:tc>
          <w:tcPr>
            <w:tcW w:w="851" w:type="dxa"/>
            <w:vAlign w:val="center"/>
          </w:tcPr>
          <w:p w14:paraId="1C8BE98D">
            <w:pPr>
              <w:spacing w:line="360" w:lineRule="auto"/>
              <w:jc w:val="center"/>
              <w:rPr>
                <w:color w:val="000000"/>
                <w:sz w:val="24"/>
              </w:rPr>
            </w:pPr>
            <w:r>
              <w:rPr>
                <w:color w:val="000000"/>
                <w:sz w:val="24"/>
              </w:rPr>
              <w:t>灵敏系数</w:t>
            </w:r>
          </w:p>
        </w:tc>
      </w:tr>
      <w:tr w14:paraId="6B07E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668" w:type="dxa"/>
            <w:vAlign w:val="center"/>
          </w:tcPr>
          <w:p w14:paraId="58A86360">
            <w:pPr>
              <w:spacing w:line="360" w:lineRule="auto"/>
              <w:jc w:val="center"/>
              <w:rPr>
                <w:color w:val="000000"/>
                <w:sz w:val="24"/>
              </w:rPr>
            </w:pPr>
            <w:r>
              <w:rPr>
                <w:rFonts w:hint="eastAsia"/>
                <w:i/>
                <w:iCs/>
                <w:sz w:val="24"/>
              </w:rPr>
              <w:t>u</w:t>
            </w:r>
            <w:r>
              <w:rPr>
                <w:rFonts w:hint="eastAsia"/>
                <w:sz w:val="24"/>
                <w:vertAlign w:val="subscript"/>
              </w:rPr>
              <w:t>11</w:t>
            </w:r>
          </w:p>
        </w:tc>
        <w:tc>
          <w:tcPr>
            <w:tcW w:w="3420" w:type="dxa"/>
            <w:vAlign w:val="center"/>
          </w:tcPr>
          <w:p w14:paraId="13F2FE31">
            <w:pPr>
              <w:spacing w:line="360" w:lineRule="auto"/>
              <w:jc w:val="center"/>
              <w:rPr>
                <w:color w:val="000000"/>
                <w:sz w:val="24"/>
              </w:rPr>
            </w:pPr>
            <w:r>
              <w:rPr>
                <w:rFonts w:hint="eastAsia"/>
                <w:color w:val="000000"/>
                <w:sz w:val="24"/>
              </w:rPr>
              <w:t>控制衡器示值准确度</w:t>
            </w:r>
          </w:p>
        </w:tc>
        <w:tc>
          <w:tcPr>
            <w:tcW w:w="832" w:type="dxa"/>
            <w:vAlign w:val="center"/>
          </w:tcPr>
          <w:p w14:paraId="4C968270">
            <w:pPr>
              <w:spacing w:line="360" w:lineRule="auto"/>
              <w:jc w:val="center"/>
              <w:rPr>
                <w:color w:val="000000"/>
                <w:sz w:val="24"/>
              </w:rPr>
            </w:pPr>
            <w:r>
              <w:rPr>
                <w:rFonts w:hint="eastAsia"/>
                <w:color w:val="000000"/>
                <w:sz w:val="24"/>
              </w:rPr>
              <w:t>B</w:t>
            </w:r>
          </w:p>
        </w:tc>
        <w:tc>
          <w:tcPr>
            <w:tcW w:w="2268" w:type="dxa"/>
          </w:tcPr>
          <w:p w14:paraId="6B0EEEE8">
            <w:pPr>
              <w:spacing w:line="360" w:lineRule="auto"/>
              <w:jc w:val="center"/>
              <w:rPr>
                <w:color w:val="000000"/>
                <w:sz w:val="24"/>
              </w:rPr>
            </w:pPr>
            <w:r>
              <w:rPr>
                <w:color w:val="000000"/>
                <w:position w:val="-28"/>
                <w:sz w:val="24"/>
              </w:rPr>
              <w:object>
                <v:shape id="_x0000_i1051" o:spt="75" type="#_x0000_t75" style="height:33.45pt;width:31.3pt;" o:ole="t" filled="f" o:preferrelative="t" stroked="f" coordsize="21600,21600">
                  <v:path/>
                  <v:fill on="f" focussize="0,0"/>
                  <v:stroke on="f" joinstyle="miter"/>
                  <v:imagedata r:id="rId70" o:title=""/>
                  <o:lock v:ext="edit" aspectratio="t"/>
                  <w10:wrap type="none"/>
                  <w10:anchorlock/>
                </v:shape>
                <o:OLEObject Type="Embed" ProgID="Equation.DSMT4" ShapeID="_x0000_i1051" DrawAspect="Content" ObjectID="_1468075751" r:id="rId69">
                  <o:LockedField>false</o:LockedField>
                </o:OLEObject>
              </w:object>
            </w:r>
          </w:p>
        </w:tc>
        <w:tc>
          <w:tcPr>
            <w:tcW w:w="851" w:type="dxa"/>
            <w:vAlign w:val="center"/>
          </w:tcPr>
          <w:p w14:paraId="6FAA81C5">
            <w:pPr>
              <w:spacing w:line="360" w:lineRule="auto"/>
              <w:jc w:val="center"/>
              <w:rPr>
                <w:color w:val="000000"/>
                <w:sz w:val="24"/>
              </w:rPr>
            </w:pPr>
            <w:r>
              <w:rPr>
                <w:color w:val="000000"/>
                <w:sz w:val="24"/>
              </w:rPr>
              <w:t>1</w:t>
            </w:r>
          </w:p>
        </w:tc>
      </w:tr>
      <w:tr w14:paraId="10AF3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68" w:type="dxa"/>
            <w:vAlign w:val="center"/>
          </w:tcPr>
          <w:p w14:paraId="135EC17F">
            <w:pPr>
              <w:spacing w:line="360" w:lineRule="auto"/>
              <w:jc w:val="center"/>
              <w:rPr>
                <w:color w:val="000000"/>
                <w:sz w:val="24"/>
              </w:rPr>
            </w:pPr>
            <w:r>
              <w:rPr>
                <w:rFonts w:hint="eastAsia"/>
                <w:i/>
                <w:iCs/>
                <w:sz w:val="24"/>
              </w:rPr>
              <w:t>u</w:t>
            </w:r>
            <w:r>
              <w:rPr>
                <w:rFonts w:hint="eastAsia"/>
                <w:sz w:val="24"/>
                <w:vertAlign w:val="subscript"/>
              </w:rPr>
              <w:t>12</w:t>
            </w:r>
          </w:p>
        </w:tc>
        <w:tc>
          <w:tcPr>
            <w:tcW w:w="3420" w:type="dxa"/>
            <w:vAlign w:val="center"/>
          </w:tcPr>
          <w:p w14:paraId="36020BB1">
            <w:pPr>
              <w:spacing w:line="360" w:lineRule="auto"/>
              <w:jc w:val="center"/>
              <w:rPr>
                <w:color w:val="000000"/>
                <w:sz w:val="24"/>
              </w:rPr>
            </w:pPr>
            <w:r>
              <w:rPr>
                <w:rFonts w:hint="eastAsia"/>
                <w:color w:val="000000"/>
                <w:sz w:val="24"/>
              </w:rPr>
              <w:t>控制衡器的分辨力</w:t>
            </w:r>
          </w:p>
        </w:tc>
        <w:tc>
          <w:tcPr>
            <w:tcW w:w="832" w:type="dxa"/>
            <w:vAlign w:val="center"/>
          </w:tcPr>
          <w:p w14:paraId="47DC7991">
            <w:pPr>
              <w:spacing w:line="360" w:lineRule="auto"/>
              <w:jc w:val="center"/>
              <w:rPr>
                <w:color w:val="000000"/>
                <w:sz w:val="24"/>
              </w:rPr>
            </w:pPr>
            <w:r>
              <w:rPr>
                <w:color w:val="000000"/>
                <w:sz w:val="24"/>
              </w:rPr>
              <w:t>B</w:t>
            </w:r>
          </w:p>
        </w:tc>
        <w:tc>
          <w:tcPr>
            <w:tcW w:w="2268" w:type="dxa"/>
          </w:tcPr>
          <w:p w14:paraId="51BE3B45">
            <w:pPr>
              <w:spacing w:line="360" w:lineRule="auto"/>
              <w:jc w:val="center"/>
              <w:rPr>
                <w:color w:val="000000"/>
                <w:sz w:val="24"/>
              </w:rPr>
            </w:pPr>
            <w:r>
              <w:rPr>
                <w:color w:val="000000"/>
                <w:position w:val="-28"/>
                <w:sz w:val="24"/>
              </w:rPr>
              <w:object>
                <v:shape id="_x0000_i1052" o:spt="75" type="#_x0000_t75" style="height:33.45pt;width:42pt;" o:ole="t" filled="f" o:preferrelative="t" stroked="f" coordsize="21600,21600">
                  <v:path/>
                  <v:fill on="f" focussize="0,0"/>
                  <v:stroke on="f" joinstyle="miter"/>
                  <v:imagedata r:id="rId72" o:title=""/>
                  <o:lock v:ext="edit" aspectratio="t"/>
                  <w10:wrap type="none"/>
                  <w10:anchorlock/>
                </v:shape>
                <o:OLEObject Type="Embed" ProgID="Equation.DSMT4" ShapeID="_x0000_i1052" DrawAspect="Content" ObjectID="_1468075752" r:id="rId71">
                  <o:LockedField>false</o:LockedField>
                </o:OLEObject>
              </w:object>
            </w:r>
          </w:p>
        </w:tc>
        <w:tc>
          <w:tcPr>
            <w:tcW w:w="851" w:type="dxa"/>
            <w:vAlign w:val="center"/>
          </w:tcPr>
          <w:p w14:paraId="2AE9FBB4">
            <w:pPr>
              <w:spacing w:line="360" w:lineRule="auto"/>
              <w:jc w:val="center"/>
              <w:rPr>
                <w:color w:val="000000"/>
                <w:sz w:val="24"/>
              </w:rPr>
            </w:pPr>
            <w:r>
              <w:rPr>
                <w:color w:val="000000"/>
                <w:sz w:val="24"/>
              </w:rPr>
              <w:t>1</w:t>
            </w:r>
          </w:p>
        </w:tc>
      </w:tr>
      <w:tr w14:paraId="3F8F4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68" w:type="dxa"/>
            <w:vAlign w:val="center"/>
          </w:tcPr>
          <w:p w14:paraId="3FF2927C">
            <w:pPr>
              <w:spacing w:line="360" w:lineRule="auto"/>
              <w:jc w:val="center"/>
              <w:rPr>
                <w:i/>
                <w:iCs/>
                <w:sz w:val="24"/>
              </w:rPr>
            </w:pPr>
            <w:r>
              <w:rPr>
                <w:rFonts w:hint="eastAsia"/>
                <w:i/>
                <w:iCs/>
                <w:sz w:val="24"/>
              </w:rPr>
              <w:t>u</w:t>
            </w:r>
            <w:r>
              <w:rPr>
                <w:sz w:val="24"/>
                <w:vertAlign w:val="subscript"/>
              </w:rPr>
              <w:t>21</w:t>
            </w:r>
          </w:p>
        </w:tc>
        <w:tc>
          <w:tcPr>
            <w:tcW w:w="3420" w:type="dxa"/>
            <w:vAlign w:val="center"/>
          </w:tcPr>
          <w:p w14:paraId="53BDE118">
            <w:pPr>
              <w:spacing w:line="360" w:lineRule="auto"/>
              <w:jc w:val="center"/>
              <w:rPr>
                <w:color w:val="000000"/>
                <w:sz w:val="24"/>
              </w:rPr>
            </w:pPr>
            <w:r>
              <w:rPr>
                <w:rFonts w:hint="eastAsia"/>
                <w:color w:val="000000"/>
                <w:sz w:val="24"/>
              </w:rPr>
              <w:t>皮带秤示值重复性</w:t>
            </w:r>
          </w:p>
        </w:tc>
        <w:tc>
          <w:tcPr>
            <w:tcW w:w="832" w:type="dxa"/>
            <w:vAlign w:val="center"/>
          </w:tcPr>
          <w:p w14:paraId="017E1D0D">
            <w:pPr>
              <w:spacing w:line="360" w:lineRule="auto"/>
              <w:jc w:val="center"/>
              <w:rPr>
                <w:color w:val="000000"/>
                <w:sz w:val="24"/>
              </w:rPr>
            </w:pPr>
            <w:r>
              <w:rPr>
                <w:rFonts w:hint="eastAsia"/>
                <w:color w:val="000000"/>
                <w:sz w:val="24"/>
              </w:rPr>
              <w:t>A</w:t>
            </w:r>
          </w:p>
        </w:tc>
        <w:tc>
          <w:tcPr>
            <w:tcW w:w="2268" w:type="dxa"/>
            <w:vAlign w:val="center"/>
          </w:tcPr>
          <w:p w14:paraId="6AE2E69E">
            <w:pPr>
              <w:spacing w:line="360" w:lineRule="auto"/>
              <w:jc w:val="center"/>
              <w:rPr>
                <w:position w:val="-28"/>
                <w:sz w:val="24"/>
              </w:rPr>
            </w:pPr>
            <w:r>
              <w:rPr>
                <w:position w:val="-24"/>
                <w:sz w:val="24"/>
              </w:rPr>
              <w:object>
                <v:shape id="_x0000_i1053" o:spt="75" type="#_x0000_t75" style="height:31.3pt;width:27.45pt;" o:ole="t" filled="f" o:preferrelative="t" stroked="f" coordsize="21600,21600">
                  <v:path/>
                  <v:fill on="f" focussize="0,0"/>
                  <v:stroke on="f" joinstyle="miter"/>
                  <v:imagedata r:id="rId74" o:title=""/>
                  <o:lock v:ext="edit" aspectratio="t"/>
                  <w10:wrap type="none"/>
                  <w10:anchorlock/>
                </v:shape>
                <o:OLEObject Type="Embed" ProgID="Equation.DSMT4" ShapeID="_x0000_i1053" DrawAspect="Content" ObjectID="_1468075753" r:id="rId73">
                  <o:LockedField>false</o:LockedField>
                </o:OLEObject>
              </w:object>
            </w:r>
          </w:p>
        </w:tc>
        <w:tc>
          <w:tcPr>
            <w:tcW w:w="851" w:type="dxa"/>
            <w:vAlign w:val="center"/>
          </w:tcPr>
          <w:p w14:paraId="11BF8292">
            <w:pPr>
              <w:spacing w:line="360" w:lineRule="auto"/>
              <w:jc w:val="center"/>
              <w:rPr>
                <w:color w:val="000000"/>
                <w:sz w:val="24"/>
              </w:rPr>
            </w:pPr>
            <w:r>
              <w:rPr>
                <w:rFonts w:hint="eastAsia"/>
                <w:color w:val="000000"/>
                <w:sz w:val="24"/>
              </w:rPr>
              <w:t>1</w:t>
            </w:r>
          </w:p>
        </w:tc>
      </w:tr>
      <w:tr w14:paraId="4507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68" w:type="dxa"/>
            <w:vAlign w:val="center"/>
          </w:tcPr>
          <w:p w14:paraId="548B4983">
            <w:pPr>
              <w:spacing w:line="360" w:lineRule="auto"/>
              <w:jc w:val="center"/>
              <w:rPr>
                <w:color w:val="000000"/>
                <w:sz w:val="24"/>
              </w:rPr>
            </w:pPr>
            <w:r>
              <w:rPr>
                <w:rFonts w:hint="eastAsia"/>
                <w:i/>
                <w:iCs/>
                <w:sz w:val="24"/>
              </w:rPr>
              <w:t>u</w:t>
            </w:r>
            <w:r>
              <w:rPr>
                <w:sz w:val="24"/>
                <w:vertAlign w:val="subscript"/>
              </w:rPr>
              <w:t>2</w:t>
            </w:r>
            <w:r>
              <w:rPr>
                <w:rFonts w:hint="eastAsia"/>
                <w:sz w:val="24"/>
                <w:vertAlign w:val="subscript"/>
              </w:rPr>
              <w:t>2</w:t>
            </w:r>
          </w:p>
        </w:tc>
        <w:tc>
          <w:tcPr>
            <w:tcW w:w="3420" w:type="dxa"/>
            <w:vAlign w:val="center"/>
          </w:tcPr>
          <w:p w14:paraId="72CDD852">
            <w:pPr>
              <w:spacing w:line="360" w:lineRule="auto"/>
              <w:jc w:val="center"/>
              <w:rPr>
                <w:color w:val="000000"/>
                <w:sz w:val="24"/>
              </w:rPr>
            </w:pPr>
            <w:r>
              <w:rPr>
                <w:color w:val="000000"/>
                <w:sz w:val="24"/>
              </w:rPr>
              <w:t>皮带秤的分辨力</w:t>
            </w:r>
          </w:p>
        </w:tc>
        <w:tc>
          <w:tcPr>
            <w:tcW w:w="832" w:type="dxa"/>
            <w:vAlign w:val="center"/>
          </w:tcPr>
          <w:p w14:paraId="2ED5939F">
            <w:pPr>
              <w:spacing w:line="360" w:lineRule="auto"/>
              <w:jc w:val="center"/>
              <w:rPr>
                <w:color w:val="000000"/>
                <w:sz w:val="24"/>
              </w:rPr>
            </w:pPr>
            <w:r>
              <w:rPr>
                <w:color w:val="000000"/>
                <w:sz w:val="24"/>
              </w:rPr>
              <w:t>B</w:t>
            </w:r>
          </w:p>
        </w:tc>
        <w:tc>
          <w:tcPr>
            <w:tcW w:w="2268" w:type="dxa"/>
          </w:tcPr>
          <w:p w14:paraId="5BF85602">
            <w:pPr>
              <w:spacing w:line="360" w:lineRule="auto"/>
              <w:jc w:val="center"/>
              <w:rPr>
                <w:color w:val="000000"/>
                <w:sz w:val="24"/>
              </w:rPr>
            </w:pPr>
            <w:r>
              <w:rPr>
                <w:color w:val="000000"/>
                <w:sz w:val="24"/>
              </w:rPr>
              <w:t>0.29</w:t>
            </w:r>
            <w:r>
              <w:rPr>
                <w:rFonts w:hint="eastAsia"/>
                <w:i/>
                <w:sz w:val="24"/>
              </w:rPr>
              <w:t xml:space="preserve"> e</w:t>
            </w:r>
            <w:r>
              <w:rPr>
                <w:rFonts w:hint="eastAsia"/>
                <w:sz w:val="24"/>
                <w:vertAlign w:val="subscript"/>
              </w:rPr>
              <w:t>1</w:t>
            </w:r>
          </w:p>
        </w:tc>
        <w:tc>
          <w:tcPr>
            <w:tcW w:w="851" w:type="dxa"/>
            <w:vAlign w:val="center"/>
          </w:tcPr>
          <w:p w14:paraId="6D619563">
            <w:pPr>
              <w:spacing w:line="360" w:lineRule="auto"/>
              <w:jc w:val="center"/>
              <w:rPr>
                <w:color w:val="000000"/>
                <w:sz w:val="24"/>
              </w:rPr>
            </w:pPr>
            <w:r>
              <w:rPr>
                <w:color w:val="000000"/>
                <w:sz w:val="24"/>
              </w:rPr>
              <w:t>1</w:t>
            </w:r>
          </w:p>
        </w:tc>
      </w:tr>
    </w:tbl>
    <w:p w14:paraId="451E6345">
      <w:pPr>
        <w:widowControl/>
        <w:spacing w:line="360" w:lineRule="auto"/>
        <w:ind w:firstLine="120" w:firstLineChars="50"/>
        <w:jc w:val="left"/>
        <w:rPr>
          <w:rFonts w:ascii="宋体" w:hAnsi="宋体"/>
          <w:sz w:val="24"/>
        </w:rPr>
      </w:pPr>
      <w:r>
        <w:rPr>
          <w:rFonts w:hint="eastAsia"/>
          <w:sz w:val="24"/>
        </w:rPr>
        <w:t xml:space="preserve">C.4 </w:t>
      </w:r>
      <w:r>
        <w:rPr>
          <w:rFonts w:hint="eastAsia" w:ascii="宋体" w:hAnsi="宋体"/>
          <w:sz w:val="24"/>
        </w:rPr>
        <w:t>评定示例</w:t>
      </w:r>
    </w:p>
    <w:p w14:paraId="7A73B1AC">
      <w:pPr>
        <w:spacing w:line="360" w:lineRule="auto"/>
        <w:ind w:firstLine="480" w:firstLineChars="200"/>
        <w:rPr>
          <w:rFonts w:eastAsiaTheme="minorEastAsia"/>
          <w:color w:val="000000"/>
          <w:kern w:val="0"/>
          <w:sz w:val="24"/>
        </w:rPr>
      </w:pPr>
      <w:r>
        <w:rPr>
          <w:rFonts w:hint="eastAsia"/>
          <w:sz w:val="24"/>
        </w:rPr>
        <w:t>利用准确度为</w:t>
      </w:r>
      <w:r>
        <w:rPr>
          <w:rFonts w:hint="eastAsia" w:ascii="Arial Unicode MS" w:hAnsi="Arial Unicode MS" w:eastAsia="Arial Unicode MS" w:cs="Arial Unicode MS"/>
          <w:sz w:val="24"/>
        </w:rPr>
        <w:t></w:t>
      </w:r>
      <w:r>
        <w:rPr>
          <w:rFonts w:hint="eastAsia" w:ascii="宋体" w:hAnsi="宋体" w:cs="微软雅黑"/>
          <w:sz w:val="24"/>
        </w:rPr>
        <w:t>的</w:t>
      </w:r>
      <w:r>
        <w:rPr>
          <w:rFonts w:hint="eastAsia"/>
          <w:sz w:val="24"/>
        </w:rPr>
        <w:t>电子汽车衡（max：1 t/</w:t>
      </w:r>
      <w:r>
        <w:rPr>
          <w:rFonts w:hint="eastAsia"/>
          <w:i/>
          <w:sz w:val="24"/>
        </w:rPr>
        <w:t>d</w:t>
      </w:r>
      <w:r>
        <w:rPr>
          <w:rFonts w:hint="eastAsia"/>
          <w:sz w:val="24"/>
        </w:rPr>
        <w:t>=</w:t>
      </w:r>
      <w:r>
        <w:rPr>
          <w:rFonts w:hint="eastAsia"/>
          <w:i/>
          <w:sz w:val="24"/>
        </w:rPr>
        <w:t>e</w:t>
      </w:r>
      <w:r>
        <w:rPr>
          <w:rFonts w:hint="eastAsia"/>
          <w:sz w:val="24"/>
        </w:rPr>
        <w:t>：0.</w:t>
      </w:r>
      <w:r>
        <w:rPr>
          <w:sz w:val="24"/>
        </w:rPr>
        <w:t>1</w:t>
      </w:r>
      <w:r>
        <w:rPr>
          <w:rFonts w:hint="eastAsia"/>
          <w:sz w:val="24"/>
        </w:rPr>
        <w:t xml:space="preserve"> kg），校准最大流量</w:t>
      </w:r>
      <w:r>
        <w:rPr>
          <w:rFonts w:hint="eastAsia"/>
          <w:i/>
          <w:sz w:val="24"/>
        </w:rPr>
        <w:t>Q</w:t>
      </w:r>
      <w:r>
        <w:rPr>
          <w:rFonts w:hint="eastAsia"/>
          <w:sz w:val="24"/>
          <w:vertAlign w:val="subscript"/>
        </w:rPr>
        <w:t>max</w:t>
      </w:r>
      <w:r>
        <w:rPr>
          <w:rFonts w:hint="eastAsia"/>
          <w:sz w:val="24"/>
        </w:rPr>
        <w:t>为</w:t>
      </w:r>
      <w:r>
        <w:rPr>
          <w:sz w:val="24"/>
        </w:rPr>
        <w:t>10</w:t>
      </w:r>
      <w:r>
        <w:rPr>
          <w:rFonts w:hint="eastAsia"/>
          <w:sz w:val="24"/>
        </w:rPr>
        <w:t xml:space="preserve"> t/h，实际分度值（</w:t>
      </w:r>
      <w:r>
        <w:rPr>
          <w:rFonts w:hint="eastAsia"/>
          <w:i/>
          <w:sz w:val="24"/>
        </w:rPr>
        <w:t>d</w:t>
      </w:r>
      <w:r>
        <w:rPr>
          <w:rFonts w:hint="eastAsia"/>
          <w:sz w:val="24"/>
        </w:rPr>
        <w:t>=</w:t>
      </w:r>
      <w:r>
        <w:rPr>
          <w:rFonts w:hint="eastAsia"/>
          <w:i/>
          <w:sz w:val="24"/>
        </w:rPr>
        <w:t>e</w:t>
      </w:r>
      <w:r>
        <w:rPr>
          <w:rFonts w:hint="eastAsia"/>
          <w:sz w:val="24"/>
          <w:vertAlign w:val="subscript"/>
        </w:rPr>
        <w:t>1</w:t>
      </w:r>
      <w:r>
        <w:rPr>
          <w:rFonts w:hint="eastAsia"/>
          <w:sz w:val="24"/>
        </w:rPr>
        <w:t>）为0.2 kg，准确度等级为0.2级的皮带秤</w:t>
      </w:r>
      <w:r>
        <w:rPr>
          <w:rFonts w:hAnsiTheme="minorEastAsia" w:eastAsiaTheme="minorEastAsia"/>
          <w:color w:val="000000"/>
          <w:kern w:val="0"/>
          <w:sz w:val="24"/>
        </w:rPr>
        <w:t>，进行</w:t>
      </w:r>
      <w:r>
        <w:rPr>
          <w:rFonts w:hint="eastAsia" w:hAnsiTheme="minorEastAsia" w:eastAsiaTheme="minorEastAsia"/>
          <w:color w:val="000000"/>
          <w:kern w:val="0"/>
          <w:sz w:val="24"/>
        </w:rPr>
        <w:t>物料试验</w:t>
      </w:r>
      <w:r>
        <w:rPr>
          <w:rFonts w:hAnsiTheme="minorEastAsia" w:eastAsiaTheme="minorEastAsia"/>
          <w:color w:val="000000"/>
          <w:kern w:val="0"/>
          <w:sz w:val="24"/>
        </w:rPr>
        <w:t>误差测量结果的</w:t>
      </w:r>
      <w:r>
        <w:rPr>
          <w:rFonts w:hAnsiTheme="minorEastAsia" w:eastAsiaTheme="minorEastAsia"/>
          <w:color w:val="000000"/>
          <w:sz w:val="24"/>
        </w:rPr>
        <w:t>测量不确定度</w:t>
      </w:r>
      <w:r>
        <w:rPr>
          <w:rFonts w:hint="eastAsia" w:hAnsiTheme="minorEastAsia" w:eastAsiaTheme="minorEastAsia"/>
          <w:color w:val="000000"/>
          <w:sz w:val="24"/>
        </w:rPr>
        <w:t>分析，</w:t>
      </w:r>
      <w:r>
        <w:rPr>
          <w:rFonts w:hint="eastAsia"/>
          <w:i/>
          <w:sz w:val="24"/>
        </w:rPr>
        <w:t>e</w:t>
      </w:r>
      <w:r>
        <w:rPr>
          <w:rFonts w:hint="eastAsia"/>
          <w:sz w:val="24"/>
        </w:rPr>
        <w:t>=</w:t>
      </w:r>
      <w:r>
        <w:rPr>
          <w:sz w:val="24"/>
        </w:rPr>
        <w:t>0.1</w:t>
      </w:r>
      <w:r>
        <w:rPr>
          <w:rFonts w:hint="eastAsia"/>
          <w:sz w:val="24"/>
        </w:rPr>
        <w:t xml:space="preserve"> kg，</w:t>
      </w:r>
      <w:r>
        <w:rPr>
          <w:rFonts w:hint="eastAsia"/>
          <w:i/>
          <w:iCs/>
          <w:sz w:val="24"/>
        </w:rPr>
        <w:t>L</w:t>
      </w:r>
      <w:r>
        <w:rPr>
          <w:rFonts w:hint="eastAsia"/>
          <w:sz w:val="24"/>
        </w:rPr>
        <w:t>=98</w:t>
      </w:r>
      <w:r>
        <w:rPr>
          <w:sz w:val="24"/>
        </w:rPr>
        <w:t>0.8</w:t>
      </w:r>
      <w:r>
        <w:rPr>
          <w:rFonts w:hint="eastAsia"/>
          <w:sz w:val="24"/>
        </w:rPr>
        <w:t xml:space="preserve"> kg ，</w:t>
      </w:r>
      <w:r>
        <w:rPr>
          <w:rFonts w:hint="eastAsia"/>
          <w:i/>
          <w:sz w:val="24"/>
        </w:rPr>
        <w:t>e</w:t>
      </w:r>
      <w:r>
        <w:rPr>
          <w:rFonts w:hint="eastAsia"/>
          <w:sz w:val="24"/>
          <w:vertAlign w:val="subscript"/>
        </w:rPr>
        <w:t>1</w:t>
      </w:r>
      <w:r>
        <w:rPr>
          <w:rFonts w:hint="eastAsia"/>
          <w:sz w:val="24"/>
        </w:rPr>
        <w:t>=</w:t>
      </w:r>
      <w:r>
        <w:rPr>
          <w:sz w:val="24"/>
        </w:rPr>
        <w:t>0.2</w:t>
      </w:r>
      <w:r>
        <w:rPr>
          <w:rFonts w:hint="eastAsia"/>
          <w:sz w:val="24"/>
        </w:rPr>
        <w:t xml:space="preserve"> kg，</w:t>
      </w:r>
      <w:r>
        <w:rPr>
          <w:rFonts w:hint="eastAsia"/>
          <w:i/>
          <w:iCs/>
          <w:sz w:val="24"/>
        </w:rPr>
        <w:t>I</w:t>
      </w:r>
      <w:r>
        <w:rPr>
          <w:rFonts w:hint="eastAsia"/>
          <w:sz w:val="24"/>
        </w:rPr>
        <w:t>=98</w:t>
      </w:r>
      <w:r>
        <w:rPr>
          <w:sz w:val="24"/>
        </w:rPr>
        <w:t>0.4</w:t>
      </w:r>
      <w:r>
        <w:rPr>
          <w:rFonts w:hint="eastAsia"/>
          <w:sz w:val="24"/>
        </w:rPr>
        <w:t xml:space="preserve"> kg，</w:t>
      </w:r>
      <w:r>
        <w:rPr>
          <w:rFonts w:hint="eastAsia"/>
          <w:i/>
          <w:sz w:val="24"/>
        </w:rPr>
        <w:t>r</w:t>
      </w:r>
      <w:r>
        <w:rPr>
          <w:rFonts w:hint="eastAsia"/>
          <w:sz w:val="24"/>
        </w:rPr>
        <w:t>=</w:t>
      </w:r>
      <w:r>
        <w:rPr>
          <w:sz w:val="24"/>
        </w:rPr>
        <w:t>0.2</w:t>
      </w:r>
      <w:r>
        <w:rPr>
          <w:rFonts w:hint="eastAsia"/>
          <w:sz w:val="24"/>
        </w:rPr>
        <w:t xml:space="preserve"> kg，</w:t>
      </w:r>
      <w:r>
        <w:rPr>
          <w:rFonts w:hint="eastAsia"/>
          <w:iCs/>
          <w:sz w:val="24"/>
        </w:rPr>
        <w:t>MPE</w:t>
      </w:r>
      <w:r>
        <w:rPr>
          <w:rFonts w:hint="eastAsia"/>
          <w:sz w:val="24"/>
        </w:rPr>
        <w:t>=1.</w:t>
      </w:r>
      <w:r>
        <w:rPr>
          <w:sz w:val="24"/>
        </w:rPr>
        <w:t>5</w:t>
      </w:r>
      <w:r>
        <w:rPr>
          <w:rFonts w:hint="eastAsia"/>
          <w:i/>
          <w:iCs/>
          <w:sz w:val="24"/>
        </w:rPr>
        <w:t>e</w:t>
      </w:r>
      <w:r>
        <w:rPr>
          <w:sz w:val="24"/>
        </w:rPr>
        <w:t>=0.15 kg</w:t>
      </w:r>
    </w:p>
    <w:p w14:paraId="5046AB10">
      <w:pPr>
        <w:widowControl/>
        <w:spacing w:line="360" w:lineRule="auto"/>
        <w:ind w:firstLine="120" w:firstLineChars="50"/>
        <w:jc w:val="left"/>
        <w:rPr>
          <w:rFonts w:ascii="宋体" w:hAnsi="宋体"/>
          <w:sz w:val="24"/>
        </w:rPr>
      </w:pPr>
      <w:r>
        <w:rPr>
          <w:rFonts w:hint="eastAsia"/>
          <w:sz w:val="24"/>
        </w:rPr>
        <w:t>C.4.1控制衡器的不确定度分量</w:t>
      </w:r>
      <w:r>
        <w:rPr>
          <w:rFonts w:hint="eastAsia"/>
          <w:i/>
          <w:iCs/>
          <w:sz w:val="24"/>
        </w:rPr>
        <w:t>u</w:t>
      </w:r>
      <w:r>
        <w:rPr>
          <w:rFonts w:hint="eastAsia"/>
          <w:sz w:val="24"/>
          <w:vertAlign w:val="subscript"/>
        </w:rPr>
        <w:t>1</w:t>
      </w:r>
      <w:r>
        <w:rPr>
          <w:sz w:val="24"/>
          <w:vertAlign w:val="subscript"/>
        </w:rPr>
        <w:t>rel</w:t>
      </w:r>
    </w:p>
    <w:p w14:paraId="197AD701">
      <w:pPr>
        <w:spacing w:line="360" w:lineRule="auto"/>
        <w:ind w:firstLine="2520" w:firstLineChars="1050"/>
        <w:rPr>
          <w:sz w:val="24"/>
        </w:rPr>
      </w:pPr>
      <w:r>
        <w:rPr>
          <w:position w:val="-24"/>
          <w:sz w:val="24"/>
        </w:rPr>
        <w:object>
          <v:shape id="_x0000_i1054" o:spt="75" type="#_x0000_t75" style="height:34.7pt;width:154.3pt;" o:ole="t" filled="f" o:preferrelative="t" stroked="f" coordsize="21600,21600">
            <v:path/>
            <v:fill on="f" focussize="0,0"/>
            <v:stroke on="f" joinstyle="miter"/>
            <v:imagedata r:id="rId53" o:title=""/>
            <o:lock v:ext="edit" aspectratio="t"/>
            <w10:wrap type="none"/>
            <w10:anchorlock/>
          </v:shape>
          <o:OLEObject Type="Embed" ProgID="Equation.KSEE3" ShapeID="_x0000_i1054" DrawAspect="Content" ObjectID="_1468075754" r:id="rId75">
            <o:LockedField>false</o:LockedField>
          </o:OLEObject>
        </w:object>
      </w:r>
      <w:r>
        <w:rPr>
          <w:rFonts w:hint="eastAsia"/>
          <w:sz w:val="24"/>
        </w:rPr>
        <w:t>=0.009%</w:t>
      </w:r>
    </w:p>
    <w:p w14:paraId="2C1CAA12">
      <w:pPr>
        <w:widowControl/>
        <w:spacing w:line="360" w:lineRule="auto"/>
        <w:ind w:firstLine="120" w:firstLineChars="50"/>
        <w:jc w:val="left"/>
        <w:rPr>
          <w:rFonts w:ascii="宋体" w:hAnsi="宋体"/>
          <w:sz w:val="24"/>
        </w:rPr>
      </w:pPr>
      <w:r>
        <w:rPr>
          <w:rFonts w:hint="eastAsia"/>
          <w:sz w:val="24"/>
        </w:rPr>
        <w:t>C.4.2 皮带秤的不确定度分量</w:t>
      </w:r>
      <w:r>
        <w:rPr>
          <w:rFonts w:hint="eastAsia"/>
          <w:i/>
          <w:sz w:val="24"/>
        </w:rPr>
        <w:t>u</w:t>
      </w:r>
      <w:r>
        <w:rPr>
          <w:rFonts w:hint="eastAsia"/>
          <w:sz w:val="24"/>
          <w:vertAlign w:val="subscript"/>
        </w:rPr>
        <w:t>2</w:t>
      </w:r>
      <w:r>
        <w:rPr>
          <w:sz w:val="24"/>
          <w:vertAlign w:val="subscript"/>
        </w:rPr>
        <w:t>rel</w:t>
      </w:r>
    </w:p>
    <w:p w14:paraId="7E8A5772">
      <w:pPr>
        <w:spacing w:line="360" w:lineRule="auto"/>
        <w:ind w:firstLine="2520" w:firstLineChars="1050"/>
        <w:rPr>
          <w:sz w:val="24"/>
        </w:rPr>
      </w:pPr>
      <w:r>
        <w:rPr>
          <w:position w:val="-24"/>
          <w:sz w:val="24"/>
        </w:rPr>
        <w:object>
          <v:shape id="_x0000_i1055" o:spt="75" type="#_x0000_t75" style="height:36pt;width:130.3pt;" o:ole="t" filled="f" o:preferrelative="t" stroked="f" coordsize="21600,21600">
            <v:path/>
            <v:fill on="f" focussize="0,0"/>
            <v:stroke on="f" joinstyle="miter"/>
            <v:imagedata r:id="rId62" o:title=""/>
            <o:lock v:ext="edit" aspectratio="t"/>
            <w10:wrap type="none"/>
            <w10:anchorlock/>
          </v:shape>
          <o:OLEObject Type="Embed" ProgID="Equation.KSEE3" ShapeID="_x0000_i1055" DrawAspect="Content" ObjectID="_1468075755" r:id="rId76">
            <o:LockedField>false</o:LockedField>
          </o:OLEObject>
        </w:object>
      </w:r>
      <w:r>
        <w:rPr>
          <w:rFonts w:hint="eastAsia"/>
          <w:sz w:val="24"/>
        </w:rPr>
        <w:t>=0.011%</w:t>
      </w:r>
    </w:p>
    <w:p w14:paraId="5F4986B3">
      <w:pPr>
        <w:spacing w:line="360" w:lineRule="auto"/>
        <w:ind w:firstLine="120" w:firstLineChars="50"/>
        <w:rPr>
          <w:sz w:val="24"/>
        </w:rPr>
      </w:pPr>
      <w:r>
        <w:rPr>
          <w:rFonts w:hint="eastAsia"/>
          <w:sz w:val="24"/>
        </w:rPr>
        <w:t>C.4.3 合成标准不确定度</w:t>
      </w:r>
    </w:p>
    <w:p w14:paraId="70D95B32">
      <w:pPr>
        <w:spacing w:line="360" w:lineRule="auto"/>
        <w:ind w:firstLine="2640" w:firstLineChars="1100"/>
        <w:rPr>
          <w:rFonts w:eastAsiaTheme="minorEastAsia"/>
          <w:color w:val="000000"/>
          <w:sz w:val="24"/>
        </w:rPr>
      </w:pPr>
      <w:r>
        <w:rPr>
          <w:rFonts w:eastAsiaTheme="minorEastAsia"/>
          <w:color w:val="000000"/>
          <w:position w:val="-14"/>
          <w:sz w:val="24"/>
        </w:rPr>
        <w:object>
          <v:shape id="_x0000_i1056" o:spt="75" type="#_x0000_t75" style="height:23.55pt;width:138pt;" o:ole="t" filled="f" o:preferrelative="t" stroked="f" coordsize="21600,21600">
            <v:path/>
            <v:fill on="f" focussize="0,0"/>
            <v:stroke on="f" joinstyle="miter"/>
            <v:imagedata r:id="rId78" o:title=""/>
            <o:lock v:ext="edit" aspectratio="t"/>
            <w10:wrap type="none"/>
            <w10:anchorlock/>
          </v:shape>
          <o:OLEObject Type="Embed" ProgID="Equation.DSMT4" ShapeID="_x0000_i1056" DrawAspect="Content" ObjectID="_1468075756" r:id="rId77">
            <o:LockedField>false</o:LockedField>
          </o:OLEObject>
        </w:object>
      </w:r>
    </w:p>
    <w:p w14:paraId="2FD29A8D">
      <w:pPr>
        <w:spacing w:line="360" w:lineRule="auto"/>
        <w:ind w:firstLine="120" w:firstLineChars="50"/>
        <w:rPr>
          <w:rFonts w:hAnsiTheme="minorEastAsia" w:eastAsiaTheme="minorEastAsia"/>
          <w:color w:val="000000"/>
          <w:sz w:val="24"/>
        </w:rPr>
      </w:pPr>
      <w:r>
        <w:rPr>
          <w:rFonts w:hint="eastAsia"/>
          <w:sz w:val="24"/>
        </w:rPr>
        <w:t xml:space="preserve">C.4.4 </w:t>
      </w:r>
      <w:r>
        <w:rPr>
          <w:rFonts w:hAnsiTheme="minorEastAsia" w:eastAsiaTheme="minorEastAsia"/>
          <w:color w:val="000000"/>
          <w:sz w:val="24"/>
        </w:rPr>
        <w:t>扩展不确定度</w:t>
      </w:r>
    </w:p>
    <w:p w14:paraId="0E854366">
      <w:pPr>
        <w:spacing w:line="360" w:lineRule="auto"/>
        <w:ind w:firstLine="600" w:firstLineChars="250"/>
        <w:rPr>
          <w:rFonts w:eastAsiaTheme="minorEastAsia"/>
          <w:color w:val="000000"/>
          <w:sz w:val="24"/>
        </w:rPr>
      </w:pPr>
      <w:r>
        <w:rPr>
          <w:rFonts w:hAnsiTheme="minorEastAsia" w:eastAsiaTheme="minorEastAsia"/>
          <w:color w:val="000000"/>
          <w:sz w:val="24"/>
        </w:rPr>
        <w:t>取</w:t>
      </w:r>
      <w:r>
        <w:rPr>
          <w:rFonts w:eastAsiaTheme="minorEastAsia"/>
          <w:i/>
          <w:iCs/>
          <w:color w:val="000000"/>
          <w:sz w:val="24"/>
        </w:rPr>
        <w:t>k</w:t>
      </w:r>
      <w:r>
        <w:rPr>
          <w:rFonts w:eastAsiaTheme="minorEastAsia"/>
          <w:color w:val="000000"/>
          <w:sz w:val="24"/>
        </w:rPr>
        <w:t>=2</w:t>
      </w:r>
      <w:r>
        <w:rPr>
          <w:rFonts w:hAnsiTheme="minorEastAsia" w:eastAsiaTheme="minorEastAsia"/>
          <w:color w:val="000000"/>
          <w:sz w:val="24"/>
        </w:rPr>
        <w:t>，则扩展不确定度：</w:t>
      </w:r>
      <w:r>
        <w:rPr>
          <w:i/>
          <w:sz w:val="24"/>
        </w:rPr>
        <w:t>U</w:t>
      </w:r>
      <w:r>
        <w:rPr>
          <w:sz w:val="24"/>
          <w:vertAlign w:val="subscript"/>
        </w:rPr>
        <w:t>rel</w:t>
      </w:r>
      <w:r>
        <w:rPr>
          <w:sz w:val="24"/>
        </w:rPr>
        <w:t>=2</w:t>
      </w:r>
      <w:r>
        <w:rPr>
          <w:rFonts w:hint="eastAsia"/>
          <w:sz w:val="24"/>
        </w:rPr>
        <w:t>×</w:t>
      </w:r>
      <w:r>
        <w:rPr>
          <w:i/>
          <w:sz w:val="24"/>
        </w:rPr>
        <w:t>u</w:t>
      </w:r>
      <w:r>
        <w:rPr>
          <w:sz w:val="24"/>
          <w:vertAlign w:val="subscript"/>
        </w:rPr>
        <w:t>c</w:t>
      </w:r>
      <w:r>
        <w:rPr>
          <w:rFonts w:hint="eastAsia"/>
          <w:sz w:val="24"/>
          <w:vertAlign w:val="subscript"/>
        </w:rPr>
        <w:t>rel</w:t>
      </w:r>
      <w:r>
        <w:rPr>
          <w:rFonts w:hint="eastAsia"/>
          <w:sz w:val="24"/>
        </w:rPr>
        <w:t>=2×0.014%=0.02</w:t>
      </w:r>
      <w:r>
        <w:rPr>
          <w:sz w:val="24"/>
        </w:rPr>
        <w:t>8</w:t>
      </w:r>
      <w:r>
        <w:rPr>
          <w:rFonts w:hint="eastAsia"/>
          <w:sz w:val="24"/>
        </w:rPr>
        <w:t>%</w:t>
      </w:r>
      <w:r>
        <w:rPr>
          <w:rFonts w:hAnsiTheme="minorEastAsia" w:eastAsiaTheme="minorEastAsia"/>
          <w:color w:val="000000"/>
          <w:sz w:val="24"/>
        </w:rPr>
        <w:t>，取一位有效数字，则</w:t>
      </w:r>
      <w:r>
        <w:rPr>
          <w:i/>
          <w:sz w:val="24"/>
        </w:rPr>
        <w:t>U</w:t>
      </w:r>
      <w:r>
        <w:rPr>
          <w:sz w:val="24"/>
          <w:vertAlign w:val="subscript"/>
        </w:rPr>
        <w:t>rel</w:t>
      </w:r>
      <w:r>
        <w:rPr>
          <w:rFonts w:eastAsiaTheme="minorEastAsia"/>
          <w:color w:val="000000"/>
          <w:sz w:val="24"/>
        </w:rPr>
        <w:t xml:space="preserve"> =</w:t>
      </w:r>
      <w:r>
        <w:rPr>
          <w:rFonts w:hint="eastAsia"/>
          <w:sz w:val="24"/>
        </w:rPr>
        <w:t>0.03%</w:t>
      </w:r>
      <w:r>
        <w:rPr>
          <w:rFonts w:hAnsiTheme="minorEastAsia" w:eastAsiaTheme="minorEastAsia"/>
          <w:color w:val="000000"/>
          <w:sz w:val="24"/>
        </w:rPr>
        <w:t>。</w:t>
      </w:r>
    </w:p>
    <w:p w14:paraId="78133D69"/>
    <w:p w14:paraId="16AF9928"/>
    <w:p w14:paraId="2296FBAE"/>
    <w:p w14:paraId="323449EC"/>
    <w:p w14:paraId="35E8BF90"/>
    <w:p w14:paraId="43E24529"/>
    <w:p w14:paraId="44FC53CF"/>
    <w:p w14:paraId="18D3E296"/>
    <w:p w14:paraId="457C4047"/>
    <w:p w14:paraId="0BD259EC"/>
    <w:p w14:paraId="1B7EF5B5"/>
    <w:p w14:paraId="16E1BC3B"/>
    <w:p w14:paraId="12FB49EA"/>
    <w:p w14:paraId="58E0D198"/>
    <w:p w14:paraId="3E2CCBB1"/>
    <w:p w14:paraId="595A4245"/>
    <w:p w14:paraId="229BF712"/>
    <w:p w14:paraId="076E847E"/>
    <w:p w14:paraId="4B35679A"/>
    <w:p w14:paraId="7F379B74"/>
    <w:p w14:paraId="427D111B"/>
    <w:p w14:paraId="2A6F9F9F"/>
    <w:p w14:paraId="29BF699E"/>
    <w:p w14:paraId="1DF995A0"/>
    <w:p w14:paraId="77CF3860"/>
    <w:p w14:paraId="69343B20"/>
    <w:p w14:paraId="1F3BE816"/>
    <w:p w14:paraId="7C247BA7"/>
    <w:p w14:paraId="560146E0"/>
    <w:p w14:paraId="4CA062B0">
      <w:pPr>
        <w:pStyle w:val="2"/>
        <w:keepNext w:val="0"/>
        <w:snapToGrid w:val="0"/>
        <w:spacing w:beforeLines="50" w:afterLines="50" w:line="360" w:lineRule="auto"/>
        <w:ind w:firstLine="0" w:firstLineChars="0"/>
        <w:jc w:val="left"/>
        <w:rPr>
          <w:rFonts w:hAnsi="黑体" w:eastAsia="黑体" w:cs="黑体"/>
          <w:szCs w:val="28"/>
        </w:rPr>
      </w:pPr>
      <w:r>
        <w:rPr>
          <w:rFonts w:hint="eastAsia" w:hAnsi="黑体" w:eastAsia="黑体" w:cs="黑体"/>
          <w:szCs w:val="28"/>
        </w:rPr>
        <w:t>附录</w:t>
      </w:r>
      <w:bookmarkEnd w:id="217"/>
      <w:r>
        <w:rPr>
          <w:rFonts w:hint="eastAsia" w:hAnsi="黑体" w:eastAsia="黑体" w:cs="黑体"/>
          <w:szCs w:val="28"/>
        </w:rPr>
        <w:t>D</w:t>
      </w:r>
    </w:p>
    <w:p w14:paraId="26403605">
      <w:pPr>
        <w:spacing w:before="50" w:after="50" w:line="360" w:lineRule="auto"/>
        <w:ind w:right="370"/>
        <w:jc w:val="center"/>
        <w:outlineLvl w:val="0"/>
        <w:rPr>
          <w:rFonts w:ascii="宋体" w:hAnsi="宋体"/>
          <w:sz w:val="28"/>
          <w:szCs w:val="28"/>
        </w:rPr>
      </w:pPr>
      <w:bookmarkStart w:id="218" w:name="_Toc161313180"/>
      <w:r>
        <w:rPr>
          <w:rFonts w:hint="eastAsia" w:ascii="宋体" w:hAnsi="宋体"/>
          <w:b/>
          <w:sz w:val="28"/>
          <w:szCs w:val="28"/>
        </w:rPr>
        <w:t>模拟载荷试验误差测量结果的不确定度分析与评定</w:t>
      </w:r>
      <w:bookmarkEnd w:id="218"/>
    </w:p>
    <w:p w14:paraId="196126F2">
      <w:pPr>
        <w:spacing w:line="360" w:lineRule="auto"/>
        <w:ind w:right="-187"/>
        <w:rPr>
          <w:sz w:val="24"/>
        </w:rPr>
      </w:pPr>
      <w:r>
        <w:rPr>
          <w:sz w:val="24"/>
        </w:rPr>
        <w:t>D.1 测量模型</w:t>
      </w:r>
    </w:p>
    <w:p w14:paraId="7B551578">
      <w:pPr>
        <w:spacing w:line="360" w:lineRule="auto"/>
        <w:rPr>
          <w:sz w:val="24"/>
        </w:rPr>
      </w:pPr>
      <w:r>
        <w:rPr>
          <w:sz w:val="24"/>
        </w:rPr>
        <w:t>被核查皮带秤的测量模型为：</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57214C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415A9E27">
            <w:pPr>
              <w:spacing w:line="360" w:lineRule="auto"/>
              <w:jc w:val="center"/>
              <w:rPr>
                <w:sz w:val="24"/>
              </w:rPr>
            </w:pPr>
            <w:r>
              <w:rPr>
                <w:color w:val="000000"/>
                <w:position w:val="-4"/>
                <w:sz w:val="24"/>
              </w:rPr>
              <w:object>
                <v:shape id="_x0000_i1057" o:spt="75" type="#_x0000_t75" style="height:13.3pt;width:48pt;" o:ole="t" filled="f" o:preferrelative="t" stroked="f" coordsize="21600,21600">
                  <v:path/>
                  <v:fill on="f" focussize="0,0"/>
                  <v:stroke on="f" joinstyle="miter"/>
                  <v:imagedata r:id="rId31" o:title=""/>
                  <o:lock v:ext="edit" aspectratio="t"/>
                  <w10:wrap type="none"/>
                  <w10:anchorlock/>
                </v:shape>
                <o:OLEObject Type="Embed" ProgID="Equation.3" ShapeID="_x0000_i1057" DrawAspect="Content" ObjectID="_1468075757" r:id="rId79">
                  <o:LockedField>false</o:LockedField>
                </o:OLEObject>
              </w:object>
            </w:r>
          </w:p>
        </w:tc>
        <w:tc>
          <w:tcPr>
            <w:tcW w:w="1240" w:type="dxa"/>
            <w:vAlign w:val="center"/>
          </w:tcPr>
          <w:p w14:paraId="7BFEF077">
            <w:pPr>
              <w:spacing w:line="360" w:lineRule="auto"/>
              <w:jc w:val="center"/>
              <w:rPr>
                <w:sz w:val="24"/>
              </w:rPr>
            </w:pPr>
            <w:r>
              <w:rPr>
                <w:rFonts w:hint="eastAsia" w:ascii="宋体" w:hAnsi="宋体"/>
                <w:color w:val="000000"/>
                <w:sz w:val="24"/>
              </w:rPr>
              <w:t>（D.1）</w:t>
            </w:r>
          </w:p>
        </w:tc>
      </w:tr>
    </w:tbl>
    <w:p w14:paraId="20E21F46">
      <w:pPr>
        <w:autoSpaceDE w:val="0"/>
        <w:autoSpaceDN w:val="0"/>
        <w:adjustRightInd w:val="0"/>
        <w:spacing w:line="360" w:lineRule="auto"/>
        <w:rPr>
          <w:color w:val="000000"/>
          <w:sz w:val="24"/>
        </w:rPr>
      </w:pPr>
      <w:r>
        <w:rPr>
          <w:color w:val="000000"/>
          <w:sz w:val="24"/>
        </w:rPr>
        <w:t>式中：</w:t>
      </w:r>
    </w:p>
    <w:p w14:paraId="3B24E17B">
      <w:pPr>
        <w:autoSpaceDE w:val="0"/>
        <w:autoSpaceDN w:val="0"/>
        <w:adjustRightInd w:val="0"/>
        <w:spacing w:line="360" w:lineRule="auto"/>
        <w:ind w:left="943" w:leftChars="449" w:firstLine="520" w:firstLineChars="217"/>
        <w:rPr>
          <w:color w:val="000000"/>
          <w:sz w:val="24"/>
        </w:rPr>
      </w:pPr>
      <w:r>
        <w:rPr>
          <w:i/>
          <w:color w:val="000000"/>
          <w:sz w:val="24"/>
        </w:rPr>
        <w:t>I</w:t>
      </w:r>
      <w:r>
        <w:rPr>
          <w:color w:val="000000"/>
          <w:sz w:val="24"/>
        </w:rPr>
        <w:t>----皮带秤的累计称量的物料重量值；</w:t>
      </w:r>
    </w:p>
    <w:p w14:paraId="04EB990D">
      <w:pPr>
        <w:autoSpaceDE w:val="0"/>
        <w:autoSpaceDN w:val="0"/>
        <w:adjustRightInd w:val="0"/>
        <w:spacing w:line="360" w:lineRule="auto"/>
        <w:ind w:left="943" w:leftChars="449" w:firstLine="520" w:firstLineChars="217"/>
        <w:rPr>
          <w:color w:val="000000"/>
          <w:sz w:val="24"/>
        </w:rPr>
      </w:pPr>
      <w:r>
        <w:rPr>
          <w:i/>
          <w:color w:val="000000"/>
          <w:sz w:val="24"/>
        </w:rPr>
        <w:t>L</w:t>
      </w:r>
      <w:r>
        <w:rPr>
          <w:color w:val="000000"/>
          <w:sz w:val="24"/>
        </w:rPr>
        <w:t>----模拟载荷试验的累计示值；</w:t>
      </w:r>
    </w:p>
    <w:p w14:paraId="3696BA21">
      <w:pPr>
        <w:autoSpaceDE w:val="0"/>
        <w:autoSpaceDN w:val="0"/>
        <w:adjustRightInd w:val="0"/>
        <w:spacing w:line="360" w:lineRule="auto"/>
        <w:ind w:left="943" w:leftChars="449" w:firstLine="520" w:firstLineChars="217"/>
        <w:rPr>
          <w:color w:val="000000"/>
          <w:sz w:val="24"/>
        </w:rPr>
      </w:pPr>
      <w:r>
        <w:rPr>
          <w:i/>
          <w:color w:val="000000"/>
          <w:sz w:val="24"/>
        </w:rPr>
        <w:t>E</w:t>
      </w:r>
      <w:r>
        <w:rPr>
          <w:color w:val="000000"/>
          <w:sz w:val="24"/>
        </w:rPr>
        <w:t>----皮带秤的相对误差。</w:t>
      </w:r>
    </w:p>
    <w:p w14:paraId="49B0B479">
      <w:pPr>
        <w:spacing w:line="360" w:lineRule="auto"/>
        <w:ind w:right="-187"/>
        <w:rPr>
          <w:sz w:val="24"/>
        </w:rPr>
      </w:pPr>
      <w:r>
        <w:rPr>
          <w:sz w:val="24"/>
        </w:rPr>
        <w:t>D.2 不确定度的来源分析</w:t>
      </w:r>
    </w:p>
    <w:p w14:paraId="1E263B2A">
      <w:pPr>
        <w:spacing w:line="360" w:lineRule="auto"/>
        <w:ind w:firstLine="480" w:firstLineChars="200"/>
        <w:rPr>
          <w:color w:val="000000"/>
          <w:sz w:val="24"/>
        </w:rPr>
      </w:pPr>
      <w:r>
        <w:rPr>
          <w:color w:val="000000"/>
          <w:sz w:val="24"/>
        </w:rPr>
        <w:t>不确定度来源主要包括：</w:t>
      </w:r>
    </w:p>
    <w:p w14:paraId="37EB1166">
      <w:pPr>
        <w:spacing w:line="360" w:lineRule="auto"/>
        <w:ind w:firstLine="1260" w:firstLineChars="525"/>
        <w:rPr>
          <w:color w:val="000000"/>
          <w:sz w:val="24"/>
        </w:rPr>
      </w:pPr>
      <w:r>
        <w:rPr>
          <w:color w:val="000000"/>
          <w:sz w:val="24"/>
        </w:rPr>
        <w:t>—皮带秤进行模拟载荷试验重复性测量引入的标准不确定度分量；</w:t>
      </w:r>
    </w:p>
    <w:p w14:paraId="72DEF1D5">
      <w:pPr>
        <w:spacing w:line="360" w:lineRule="auto"/>
        <w:ind w:firstLine="1260" w:firstLineChars="525"/>
        <w:rPr>
          <w:color w:val="000000"/>
          <w:sz w:val="24"/>
        </w:rPr>
      </w:pPr>
      <w:r>
        <w:rPr>
          <w:color w:val="000000"/>
          <w:sz w:val="24"/>
        </w:rPr>
        <w:t>—模拟载荷累计参考值引入的标准不确定度分量；</w:t>
      </w:r>
    </w:p>
    <w:p w14:paraId="79EEA3B4">
      <w:pPr>
        <w:spacing w:line="360" w:lineRule="auto"/>
        <w:ind w:firstLine="1260" w:firstLineChars="525"/>
        <w:rPr>
          <w:color w:val="000000"/>
          <w:sz w:val="24"/>
        </w:rPr>
      </w:pPr>
      <w:r>
        <w:rPr>
          <w:color w:val="000000"/>
          <w:sz w:val="24"/>
        </w:rPr>
        <w:t>—皮带秤的分辨力引入的标准不确定度分量；</w:t>
      </w:r>
    </w:p>
    <w:p w14:paraId="26F44E17">
      <w:pPr>
        <w:spacing w:line="360" w:lineRule="auto"/>
        <w:ind w:right="-187"/>
        <w:rPr>
          <w:sz w:val="24"/>
        </w:rPr>
      </w:pPr>
      <w:r>
        <w:rPr>
          <w:sz w:val="24"/>
        </w:rPr>
        <w:t>D.3 标准不确定度评定</w:t>
      </w:r>
    </w:p>
    <w:p w14:paraId="555D328F">
      <w:pPr>
        <w:spacing w:line="360" w:lineRule="auto"/>
        <w:rPr>
          <w:color w:val="000000"/>
          <w:sz w:val="24"/>
          <w:vertAlign w:val="subscript"/>
        </w:rPr>
      </w:pPr>
      <w:r>
        <w:rPr>
          <w:sz w:val="24"/>
        </w:rPr>
        <w:t xml:space="preserve">D.3.1 </w:t>
      </w:r>
      <w:r>
        <w:rPr>
          <w:color w:val="000000"/>
          <w:sz w:val="24"/>
        </w:rPr>
        <w:t>皮带秤进行模拟载荷试验重复性测量引入的标准不确定度分量</w:t>
      </w:r>
      <w:r>
        <w:rPr>
          <w:i/>
          <w:color w:val="000000"/>
          <w:sz w:val="24"/>
        </w:rPr>
        <w:t>u</w:t>
      </w:r>
      <w:r>
        <w:rPr>
          <w:color w:val="000000"/>
          <w:sz w:val="24"/>
          <w:vertAlign w:val="subscript"/>
        </w:rPr>
        <w:t>1</w:t>
      </w:r>
    </w:p>
    <w:p w14:paraId="47429483">
      <w:pPr>
        <w:spacing w:line="360" w:lineRule="auto"/>
        <w:ind w:firstLine="537" w:firstLineChars="224"/>
        <w:rPr>
          <w:color w:val="000000"/>
          <w:sz w:val="24"/>
          <w:vertAlign w:val="subscript"/>
        </w:rPr>
      </w:pPr>
      <w:r>
        <w:rPr>
          <w:color w:val="000000"/>
          <w:sz w:val="24"/>
        </w:rPr>
        <w:t>在重复性测量条件下，进行3次模拟载荷试验，采用极差法，计算</w:t>
      </w:r>
      <w:r>
        <w:rPr>
          <w:i/>
          <w:color w:val="000000"/>
          <w:sz w:val="24"/>
        </w:rPr>
        <w:t>u</w:t>
      </w:r>
      <w:r>
        <w:rPr>
          <w:color w:val="000000"/>
          <w:sz w:val="24"/>
          <w:vertAlign w:val="subscript"/>
        </w:rPr>
        <w:t xml:space="preserve"> 1</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307B1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72734B27">
            <w:pPr>
              <w:spacing w:line="360" w:lineRule="auto"/>
              <w:jc w:val="center"/>
              <w:rPr>
                <w:sz w:val="24"/>
              </w:rPr>
            </w:pPr>
            <w:r>
              <w:rPr>
                <w:color w:val="000000"/>
                <w:position w:val="-24"/>
                <w:sz w:val="24"/>
              </w:rPr>
              <w:object>
                <v:shape id="_x0000_i1058" o:spt="75" type="#_x0000_t75" style="height:33.45pt;width:82.7pt;" o:ole="t" filled="f" o:preferrelative="t" stroked="f" coordsize="21600,21600">
                  <v:path/>
                  <v:fill on="f" focussize="0,0"/>
                  <v:stroke on="f" joinstyle="miter"/>
                  <v:imagedata r:id="rId81" o:title=""/>
                  <o:lock v:ext="edit" aspectratio="t"/>
                  <w10:wrap type="none"/>
                  <w10:anchorlock/>
                </v:shape>
                <o:OLEObject Type="Embed" ProgID="Equation.DSMT4" ShapeID="_x0000_i1058" DrawAspect="Content" ObjectID="_1468075758" r:id="rId80">
                  <o:LockedField>false</o:LockedField>
                </o:OLEObject>
              </w:object>
            </w:r>
          </w:p>
        </w:tc>
        <w:tc>
          <w:tcPr>
            <w:tcW w:w="1240" w:type="dxa"/>
            <w:vAlign w:val="center"/>
          </w:tcPr>
          <w:p w14:paraId="2BCB7364">
            <w:pPr>
              <w:spacing w:line="360" w:lineRule="auto"/>
              <w:jc w:val="center"/>
              <w:rPr>
                <w:sz w:val="24"/>
              </w:rPr>
            </w:pPr>
            <w:r>
              <w:rPr>
                <w:rFonts w:hint="eastAsia" w:ascii="宋体" w:hAnsi="宋体"/>
                <w:color w:val="000000"/>
                <w:sz w:val="24"/>
              </w:rPr>
              <w:t>（D.2）</w:t>
            </w:r>
          </w:p>
        </w:tc>
      </w:tr>
    </w:tbl>
    <w:p w14:paraId="072D03BE">
      <w:pPr>
        <w:spacing w:line="360" w:lineRule="auto"/>
        <w:ind w:firstLine="537" w:firstLineChars="224"/>
        <w:jc w:val="left"/>
        <w:rPr>
          <w:color w:val="000000"/>
          <w:sz w:val="24"/>
        </w:rPr>
      </w:pPr>
      <w:r>
        <w:rPr>
          <w:color w:val="000000"/>
          <w:sz w:val="24"/>
          <w:lang w:val="it-IT"/>
        </w:rPr>
        <w:t>式中：</w:t>
      </w:r>
      <w:r>
        <w:rPr>
          <w:i/>
          <w:color w:val="000000"/>
          <w:sz w:val="24"/>
          <w:lang w:val="it-IT"/>
        </w:rPr>
        <w:t>C</w:t>
      </w:r>
      <w:r>
        <w:rPr>
          <w:color w:val="000000"/>
          <w:sz w:val="24"/>
          <w:lang w:val="it-IT"/>
        </w:rPr>
        <w:t>—极差系数，此处</w:t>
      </w:r>
      <w:r>
        <w:rPr>
          <w:i/>
          <w:color w:val="000000"/>
          <w:sz w:val="24"/>
          <w:lang w:val="it-IT"/>
        </w:rPr>
        <w:t>C</w:t>
      </w:r>
      <w:r>
        <w:rPr>
          <w:color w:val="000000"/>
          <w:sz w:val="24"/>
          <w:lang w:val="it-IT"/>
        </w:rPr>
        <w:t>=1.69。</w:t>
      </w:r>
    </w:p>
    <w:p w14:paraId="2FC5001E">
      <w:pPr>
        <w:spacing w:line="360" w:lineRule="auto"/>
        <w:rPr>
          <w:color w:val="000000"/>
          <w:sz w:val="24"/>
          <w:vertAlign w:val="subscript"/>
        </w:rPr>
      </w:pPr>
      <w:r>
        <w:rPr>
          <w:sz w:val="24"/>
        </w:rPr>
        <w:t xml:space="preserve">D.3.2 </w:t>
      </w:r>
      <w:r>
        <w:rPr>
          <w:color w:val="000000"/>
          <w:sz w:val="24"/>
        </w:rPr>
        <w:t>模拟载荷累计参考值引入的测量不确定度分量</w:t>
      </w:r>
      <w:r>
        <w:rPr>
          <w:i/>
          <w:iCs/>
          <w:color w:val="000000"/>
          <w:sz w:val="24"/>
        </w:rPr>
        <w:t>u</w:t>
      </w:r>
      <w:r>
        <w:rPr>
          <w:color w:val="000000"/>
          <w:sz w:val="24"/>
          <w:vertAlign w:val="subscript"/>
        </w:rPr>
        <w:t>2</w:t>
      </w:r>
    </w:p>
    <w:p w14:paraId="1170793A">
      <w:pPr>
        <w:spacing w:line="360" w:lineRule="auto"/>
        <w:ind w:firstLine="537" w:firstLineChars="224"/>
        <w:rPr>
          <w:color w:val="000000"/>
          <w:sz w:val="24"/>
        </w:rPr>
      </w:pPr>
      <w:r>
        <w:rPr>
          <w:color w:val="000000"/>
          <w:sz w:val="24"/>
        </w:rPr>
        <w:t>模拟载荷累计参考值的确定，一般是根据三次模拟载荷试验累计重复性试验的示值得到，使用重复试验示值的重复性进行标准不确定度评价。模拟载荷累计参考值导致的测量不确定度分量用</w:t>
      </w:r>
      <w:r>
        <w:rPr>
          <w:i/>
          <w:color w:val="000000"/>
          <w:sz w:val="24"/>
        </w:rPr>
        <w:t>u</w:t>
      </w:r>
      <w:r>
        <w:rPr>
          <w:color w:val="000000"/>
          <w:sz w:val="24"/>
          <w:vertAlign w:val="subscript"/>
        </w:rPr>
        <w:t xml:space="preserve"> 2</w:t>
      </w:r>
      <w:r>
        <w:rPr>
          <w:color w:val="000000"/>
          <w:sz w:val="24"/>
        </w:rPr>
        <w:t>表示。</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10A2D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5722CD8B">
            <w:pPr>
              <w:spacing w:line="360" w:lineRule="auto"/>
              <w:jc w:val="center"/>
              <w:rPr>
                <w:sz w:val="24"/>
              </w:rPr>
            </w:pPr>
            <w:r>
              <w:rPr>
                <w:color w:val="000000"/>
                <w:position w:val="-24"/>
                <w:sz w:val="24"/>
              </w:rPr>
              <w:object>
                <v:shape id="_x0000_i1059" o:spt="75" type="#_x0000_t75" style="height:33.45pt;width:87.45pt;" o:ole="t" filled="f" o:preferrelative="t" stroked="f" coordsize="21600,21600">
                  <v:path/>
                  <v:fill on="f" focussize="0,0"/>
                  <v:stroke on="f" joinstyle="miter"/>
                  <v:imagedata r:id="rId83" o:title=""/>
                  <o:lock v:ext="edit" aspectratio="t"/>
                  <w10:wrap type="none"/>
                  <w10:anchorlock/>
                </v:shape>
                <o:OLEObject Type="Embed" ProgID="Equation.3" ShapeID="_x0000_i1059" DrawAspect="Content" ObjectID="_1468075759" r:id="rId82">
                  <o:LockedField>false</o:LockedField>
                </o:OLEObject>
              </w:object>
            </w:r>
          </w:p>
        </w:tc>
        <w:tc>
          <w:tcPr>
            <w:tcW w:w="1240" w:type="dxa"/>
            <w:vAlign w:val="center"/>
          </w:tcPr>
          <w:p w14:paraId="3EE21C85">
            <w:pPr>
              <w:spacing w:line="360" w:lineRule="auto"/>
              <w:jc w:val="center"/>
              <w:rPr>
                <w:sz w:val="24"/>
              </w:rPr>
            </w:pPr>
            <w:r>
              <w:rPr>
                <w:rFonts w:hint="eastAsia" w:ascii="宋体" w:hAnsi="宋体"/>
                <w:color w:val="000000"/>
                <w:sz w:val="24"/>
              </w:rPr>
              <w:t>（D.3）</w:t>
            </w:r>
          </w:p>
        </w:tc>
      </w:tr>
    </w:tbl>
    <w:p w14:paraId="31B74525">
      <w:pPr>
        <w:spacing w:line="360" w:lineRule="auto"/>
        <w:rPr>
          <w:color w:val="000000"/>
          <w:sz w:val="24"/>
        </w:rPr>
      </w:pPr>
      <w:r>
        <w:rPr>
          <w:sz w:val="24"/>
        </w:rPr>
        <w:t xml:space="preserve">D.3.3 </w:t>
      </w:r>
      <w:r>
        <w:rPr>
          <w:color w:val="000000"/>
          <w:sz w:val="24"/>
        </w:rPr>
        <w:t>皮带秤示值分辨力带来的测量不确定度分量</w:t>
      </w:r>
      <w:r>
        <w:rPr>
          <w:i/>
          <w:color w:val="000000"/>
          <w:sz w:val="24"/>
        </w:rPr>
        <w:t>u</w:t>
      </w:r>
      <w:r>
        <w:rPr>
          <w:color w:val="000000"/>
          <w:sz w:val="24"/>
          <w:vertAlign w:val="subscript"/>
        </w:rPr>
        <w:t>3</w:t>
      </w:r>
    </w:p>
    <w:p w14:paraId="69BC5ED9">
      <w:pPr>
        <w:spacing w:line="360" w:lineRule="auto"/>
        <w:ind w:firstLine="537" w:firstLineChars="224"/>
        <w:rPr>
          <w:color w:val="000000"/>
          <w:sz w:val="24"/>
        </w:rPr>
      </w:pPr>
      <w:r>
        <w:rPr>
          <w:color w:val="000000"/>
          <w:sz w:val="24"/>
        </w:rPr>
        <w:t>由于在进行皮带秤模拟试验时，无法采用“闪变点”确定皮带秤化整前的示值误差。所以由于分辨力引起的不确定度为：</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1B5A4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49BA819C">
            <w:pPr>
              <w:spacing w:line="360" w:lineRule="auto"/>
              <w:jc w:val="center"/>
              <w:rPr>
                <w:sz w:val="24"/>
              </w:rPr>
            </w:pPr>
            <w:r>
              <w:rPr>
                <w:i/>
                <w:iCs/>
                <w:color w:val="000000"/>
                <w:sz w:val="24"/>
              </w:rPr>
              <w:t>u</w:t>
            </w:r>
            <w:r>
              <w:rPr>
                <w:color w:val="000000"/>
                <w:sz w:val="24"/>
                <w:vertAlign w:val="subscript"/>
              </w:rPr>
              <w:t>3</w:t>
            </w:r>
            <w:r>
              <w:rPr>
                <w:color w:val="000000"/>
                <w:sz w:val="24"/>
              </w:rPr>
              <w:t xml:space="preserve">= </w:t>
            </w:r>
            <w:r>
              <w:rPr>
                <w:color w:val="000000"/>
                <w:position w:val="-28"/>
                <w:sz w:val="24"/>
              </w:rPr>
              <w:object>
                <v:shape id="_x0000_i1060" o:spt="75" type="#_x0000_t75" style="height:32.55pt;width:30pt;" o:ole="t" filled="f" o:preferrelative="t" stroked="f" coordsize="21600,21600">
                  <v:path/>
                  <v:fill on="f" focussize="0,0"/>
                  <v:stroke on="f" joinstyle="miter"/>
                  <v:imagedata r:id="rId85" o:title=""/>
                  <o:lock v:ext="edit" aspectratio="t"/>
                  <w10:wrap type="none"/>
                  <w10:anchorlock/>
                </v:shape>
                <o:OLEObject Type="Embed" ProgID="Equation.DSMT4" ShapeID="_x0000_i1060" DrawAspect="Content" ObjectID="_1468075760" r:id="rId84">
                  <o:LockedField>false</o:LockedField>
                </o:OLEObject>
              </w:object>
            </w:r>
            <w:r>
              <w:rPr>
                <w:color w:val="000000"/>
                <w:sz w:val="24"/>
              </w:rPr>
              <w:t>=0.29</w:t>
            </w:r>
            <w:r>
              <w:rPr>
                <w:rFonts w:hint="eastAsia"/>
                <w:i/>
                <w:sz w:val="24"/>
              </w:rPr>
              <w:t xml:space="preserve"> e</w:t>
            </w:r>
            <w:r>
              <w:rPr>
                <w:rFonts w:hint="eastAsia"/>
                <w:sz w:val="24"/>
                <w:vertAlign w:val="subscript"/>
              </w:rPr>
              <w:t>1</w:t>
            </w:r>
          </w:p>
        </w:tc>
        <w:tc>
          <w:tcPr>
            <w:tcW w:w="1240" w:type="dxa"/>
            <w:vAlign w:val="center"/>
          </w:tcPr>
          <w:p w14:paraId="608A86C0">
            <w:pPr>
              <w:spacing w:line="360" w:lineRule="auto"/>
              <w:jc w:val="center"/>
              <w:rPr>
                <w:sz w:val="24"/>
              </w:rPr>
            </w:pPr>
            <w:r>
              <w:rPr>
                <w:rFonts w:hint="eastAsia" w:ascii="宋体" w:hAnsi="宋体"/>
                <w:color w:val="000000"/>
                <w:sz w:val="24"/>
              </w:rPr>
              <w:t>（D.4）</w:t>
            </w:r>
          </w:p>
        </w:tc>
      </w:tr>
    </w:tbl>
    <w:p w14:paraId="7A780907">
      <w:pPr>
        <w:spacing w:line="360" w:lineRule="auto"/>
        <w:rPr>
          <w:color w:val="000000"/>
          <w:sz w:val="24"/>
        </w:rPr>
      </w:pPr>
      <w:r>
        <w:rPr>
          <w:sz w:val="24"/>
        </w:rPr>
        <w:t xml:space="preserve">D.3.4 </w:t>
      </w:r>
      <w:r>
        <w:rPr>
          <w:color w:val="000000"/>
          <w:sz w:val="24"/>
        </w:rPr>
        <w:t>合成标准不确定度</w:t>
      </w:r>
    </w:p>
    <w:p w14:paraId="628668A8">
      <w:pPr>
        <w:spacing w:line="360" w:lineRule="auto"/>
        <w:ind w:firstLine="480" w:firstLineChars="200"/>
        <w:rPr>
          <w:color w:val="000000"/>
          <w:sz w:val="24"/>
        </w:rPr>
      </w:pPr>
      <w:r>
        <w:rPr>
          <w:color w:val="000000"/>
          <w:sz w:val="24"/>
        </w:rPr>
        <w:t>全部不确定度分量均不相关，合成标准不确定度按公式计算：</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32DE0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75FE03F5">
            <w:pPr>
              <w:spacing w:line="360" w:lineRule="auto"/>
              <w:jc w:val="center"/>
              <w:rPr>
                <w:sz w:val="24"/>
              </w:rPr>
            </w:pPr>
            <w:r>
              <w:rPr>
                <w:color w:val="000000"/>
                <w:position w:val="-14"/>
                <w:sz w:val="24"/>
              </w:rPr>
              <w:object>
                <v:shape id="_x0000_i1061" o:spt="75" type="#_x0000_t75" style="height:24pt;width:104.15pt;" o:ole="t" filled="f" o:preferrelative="t" stroked="f" coordsize="21600,21600">
                  <v:path/>
                  <v:fill on="f" focussize="0,0"/>
                  <v:stroke on="f" joinstyle="miter"/>
                  <v:imagedata r:id="rId87" o:title=""/>
                  <o:lock v:ext="edit" aspectratio="t"/>
                  <w10:wrap type="none"/>
                  <w10:anchorlock/>
                </v:shape>
                <o:OLEObject Type="Embed" ProgID="Equation.3" ShapeID="_x0000_i1061" DrawAspect="Content" ObjectID="_1468075761" r:id="rId86">
                  <o:LockedField>false</o:LockedField>
                </o:OLEObject>
              </w:object>
            </w:r>
          </w:p>
        </w:tc>
        <w:tc>
          <w:tcPr>
            <w:tcW w:w="1240" w:type="dxa"/>
            <w:vAlign w:val="center"/>
          </w:tcPr>
          <w:p w14:paraId="5C38A968">
            <w:pPr>
              <w:spacing w:line="360" w:lineRule="auto"/>
              <w:jc w:val="center"/>
              <w:rPr>
                <w:sz w:val="24"/>
              </w:rPr>
            </w:pPr>
            <w:r>
              <w:rPr>
                <w:rFonts w:hint="eastAsia" w:ascii="宋体" w:hAnsi="宋体"/>
                <w:color w:val="000000"/>
                <w:sz w:val="24"/>
              </w:rPr>
              <w:t>（D.5）</w:t>
            </w:r>
          </w:p>
        </w:tc>
      </w:tr>
      <w:tr w14:paraId="2201E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737BB2A9">
            <w:pPr>
              <w:spacing w:line="360" w:lineRule="auto"/>
              <w:jc w:val="center"/>
              <w:rPr>
                <w:sz w:val="24"/>
              </w:rPr>
            </w:pPr>
            <w:r>
              <w:rPr>
                <w:position w:val="-12"/>
                <w:sz w:val="24"/>
              </w:rPr>
              <w:object>
                <v:shape id="_x0000_i1062" o:spt="75" type="#_x0000_t75" style="height:17.55pt;width:60.45pt;" o:ole="t" filled="f" o:preferrelative="t" stroked="f" coordsize="21600,21600">
                  <v:path/>
                  <v:fill on="f" focussize="0,0"/>
                  <v:stroke on="f" joinstyle="miter"/>
                  <v:imagedata r:id="rId89" o:title=""/>
                  <o:lock v:ext="edit" aspectratio="t"/>
                  <w10:wrap type="none"/>
                  <w10:anchorlock/>
                </v:shape>
                <o:OLEObject Type="Embed" ProgID="Equation.3" ShapeID="_x0000_i1062" DrawAspect="Content" ObjectID="_1468075762" r:id="rId88">
                  <o:LockedField>false</o:LockedField>
                </o:OLEObject>
              </w:object>
            </w:r>
          </w:p>
        </w:tc>
        <w:tc>
          <w:tcPr>
            <w:tcW w:w="1240" w:type="dxa"/>
            <w:vAlign w:val="center"/>
          </w:tcPr>
          <w:p w14:paraId="02894637">
            <w:pPr>
              <w:spacing w:line="360" w:lineRule="auto"/>
              <w:jc w:val="center"/>
              <w:rPr>
                <w:sz w:val="24"/>
              </w:rPr>
            </w:pPr>
            <w:r>
              <w:rPr>
                <w:rFonts w:hint="eastAsia" w:ascii="宋体" w:hAnsi="宋体"/>
                <w:color w:val="000000"/>
                <w:sz w:val="24"/>
              </w:rPr>
              <w:t>（D.6）</w:t>
            </w:r>
          </w:p>
        </w:tc>
      </w:tr>
    </w:tbl>
    <w:p w14:paraId="2EEB3EF7">
      <w:pPr>
        <w:spacing w:line="360" w:lineRule="auto"/>
        <w:rPr>
          <w:sz w:val="24"/>
        </w:rPr>
      </w:pPr>
    </w:p>
    <w:p w14:paraId="4419BA06">
      <w:pPr>
        <w:spacing w:line="360" w:lineRule="auto"/>
        <w:rPr>
          <w:color w:val="000000"/>
          <w:sz w:val="24"/>
        </w:rPr>
      </w:pPr>
      <w:r>
        <w:rPr>
          <w:sz w:val="24"/>
        </w:rPr>
        <w:t xml:space="preserve">D.3.5 </w:t>
      </w:r>
      <w:r>
        <w:rPr>
          <w:color w:val="000000"/>
          <w:sz w:val="24"/>
        </w:rPr>
        <w:t>扩展不确定度</w:t>
      </w:r>
    </w:p>
    <w:p w14:paraId="59DE0D77">
      <w:pPr>
        <w:spacing w:line="360" w:lineRule="auto"/>
        <w:ind w:firstLine="480" w:firstLineChars="200"/>
        <w:rPr>
          <w:color w:val="000000"/>
          <w:sz w:val="24"/>
        </w:rPr>
      </w:pPr>
      <w:r>
        <w:rPr>
          <w:color w:val="000000"/>
          <w:sz w:val="24"/>
        </w:rPr>
        <w:t>取包含因子</w:t>
      </w:r>
      <w:r>
        <w:rPr>
          <w:i/>
          <w:color w:val="000000"/>
          <w:sz w:val="24"/>
        </w:rPr>
        <w:t>k</w:t>
      </w:r>
      <w:r>
        <w:rPr>
          <w:color w:val="000000"/>
          <w:sz w:val="24"/>
        </w:rPr>
        <w:t>=2，则扩展不确定度按下式计算：</w:t>
      </w:r>
    </w:p>
    <w:tbl>
      <w:tblPr>
        <w:tblStyle w:val="3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30"/>
        <w:gridCol w:w="1240"/>
      </w:tblGrid>
      <w:tr w14:paraId="4D74A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330" w:type="dxa"/>
            <w:vAlign w:val="center"/>
          </w:tcPr>
          <w:p w14:paraId="5C1D5295">
            <w:pPr>
              <w:spacing w:line="360" w:lineRule="auto"/>
              <w:jc w:val="center"/>
              <w:rPr>
                <w:sz w:val="24"/>
              </w:rPr>
            </w:pPr>
            <w:r>
              <w:rPr>
                <w:position w:val="-12"/>
                <w:sz w:val="24"/>
              </w:rPr>
              <w:object>
                <v:shape id="_x0000_i1063" o:spt="75" type="#_x0000_t75" style="height:17.55pt;width:60pt;" o:ole="t" filled="f" o:preferrelative="t" stroked="f" coordsize="21600,21600">
                  <v:path/>
                  <v:fill on="f" focussize="0,0"/>
                  <v:stroke on="f" joinstyle="miter"/>
                  <v:imagedata r:id="rId91" o:title=""/>
                  <o:lock v:ext="edit" aspectratio="t"/>
                  <w10:wrap type="none"/>
                  <w10:anchorlock/>
                </v:shape>
                <o:OLEObject Type="Embed" ProgID="Equation.3" ShapeID="_x0000_i1063" DrawAspect="Content" ObjectID="_1468075763" r:id="rId90">
                  <o:LockedField>false</o:LockedField>
                </o:OLEObject>
              </w:object>
            </w:r>
          </w:p>
        </w:tc>
        <w:tc>
          <w:tcPr>
            <w:tcW w:w="1240" w:type="dxa"/>
            <w:vAlign w:val="center"/>
          </w:tcPr>
          <w:p w14:paraId="6712FE10">
            <w:pPr>
              <w:spacing w:line="360" w:lineRule="auto"/>
              <w:jc w:val="center"/>
              <w:rPr>
                <w:sz w:val="24"/>
              </w:rPr>
            </w:pPr>
            <w:r>
              <w:rPr>
                <w:rFonts w:hint="eastAsia" w:ascii="宋体" w:hAnsi="宋体"/>
                <w:color w:val="000000"/>
                <w:sz w:val="24"/>
              </w:rPr>
              <w:t>（D.7）</w:t>
            </w:r>
          </w:p>
        </w:tc>
      </w:tr>
    </w:tbl>
    <w:p w14:paraId="01513E10">
      <w:pPr>
        <w:spacing w:line="360" w:lineRule="auto"/>
        <w:ind w:firstLine="480" w:firstLineChars="200"/>
        <w:rPr>
          <w:color w:val="000000"/>
          <w:sz w:val="24"/>
        </w:rPr>
      </w:pPr>
      <w:r>
        <w:rPr>
          <w:color w:val="000000"/>
          <w:sz w:val="24"/>
        </w:rPr>
        <w:t>标准不确定度分量汇总见下表</w:t>
      </w:r>
      <w:r>
        <w:rPr>
          <w:rFonts w:hint="eastAsia"/>
          <w:color w:val="000000"/>
          <w:sz w:val="24"/>
        </w:rPr>
        <w:t>D</w:t>
      </w:r>
      <w:r>
        <w:rPr>
          <w:color w:val="000000"/>
          <w:sz w:val="24"/>
        </w:rPr>
        <w:t>.1。</w:t>
      </w:r>
    </w:p>
    <w:p w14:paraId="4C4DC3BD">
      <w:pPr>
        <w:spacing w:line="360" w:lineRule="auto"/>
        <w:jc w:val="center"/>
        <w:rPr>
          <w:color w:val="000000"/>
          <w:sz w:val="24"/>
        </w:rPr>
      </w:pPr>
      <w:r>
        <w:rPr>
          <w:color w:val="000000"/>
          <w:sz w:val="24"/>
        </w:rPr>
        <w:t>表</w:t>
      </w:r>
      <w:r>
        <w:rPr>
          <w:rFonts w:hint="eastAsia"/>
          <w:color w:val="000000"/>
          <w:sz w:val="24"/>
        </w:rPr>
        <w:t>D</w:t>
      </w:r>
      <w:r>
        <w:rPr>
          <w:color w:val="000000"/>
          <w:sz w:val="24"/>
        </w:rPr>
        <w:t>.1 标准不确定度分量汇总表</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3420"/>
        <w:gridCol w:w="832"/>
        <w:gridCol w:w="2268"/>
        <w:gridCol w:w="851"/>
      </w:tblGrid>
      <w:tr w14:paraId="0AEC4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668" w:type="dxa"/>
            <w:vAlign w:val="center"/>
          </w:tcPr>
          <w:p w14:paraId="33C5EE9D">
            <w:pPr>
              <w:spacing w:line="360" w:lineRule="auto"/>
              <w:jc w:val="center"/>
              <w:rPr>
                <w:color w:val="000000"/>
                <w:sz w:val="24"/>
              </w:rPr>
            </w:pPr>
            <w:r>
              <w:rPr>
                <w:color w:val="000000"/>
                <w:sz w:val="24"/>
              </w:rPr>
              <w:t>不确定度分量</w:t>
            </w:r>
          </w:p>
        </w:tc>
        <w:tc>
          <w:tcPr>
            <w:tcW w:w="3420" w:type="dxa"/>
            <w:vAlign w:val="center"/>
          </w:tcPr>
          <w:p w14:paraId="64095DFB">
            <w:pPr>
              <w:spacing w:line="360" w:lineRule="auto"/>
              <w:jc w:val="center"/>
              <w:rPr>
                <w:color w:val="000000"/>
                <w:sz w:val="24"/>
              </w:rPr>
            </w:pPr>
            <w:r>
              <w:rPr>
                <w:color w:val="000000"/>
                <w:sz w:val="24"/>
              </w:rPr>
              <w:t>不确定度来源</w:t>
            </w:r>
          </w:p>
        </w:tc>
        <w:tc>
          <w:tcPr>
            <w:tcW w:w="832" w:type="dxa"/>
            <w:vAlign w:val="center"/>
          </w:tcPr>
          <w:p w14:paraId="044D4860">
            <w:pPr>
              <w:spacing w:line="360" w:lineRule="auto"/>
              <w:jc w:val="center"/>
              <w:rPr>
                <w:color w:val="000000"/>
                <w:sz w:val="24"/>
              </w:rPr>
            </w:pPr>
            <w:r>
              <w:rPr>
                <w:color w:val="000000"/>
                <w:sz w:val="24"/>
              </w:rPr>
              <w:t>评定方法</w:t>
            </w:r>
          </w:p>
        </w:tc>
        <w:tc>
          <w:tcPr>
            <w:tcW w:w="2268" w:type="dxa"/>
            <w:vAlign w:val="center"/>
          </w:tcPr>
          <w:p w14:paraId="63DC8AE2">
            <w:pPr>
              <w:spacing w:line="360" w:lineRule="auto"/>
              <w:jc w:val="center"/>
              <w:rPr>
                <w:color w:val="000000"/>
                <w:sz w:val="24"/>
              </w:rPr>
            </w:pPr>
            <w:r>
              <w:rPr>
                <w:color w:val="000000"/>
                <w:sz w:val="24"/>
              </w:rPr>
              <w:t>标准不确定度</w:t>
            </w:r>
          </w:p>
        </w:tc>
        <w:tc>
          <w:tcPr>
            <w:tcW w:w="851" w:type="dxa"/>
            <w:vAlign w:val="center"/>
          </w:tcPr>
          <w:p w14:paraId="04B98528">
            <w:pPr>
              <w:spacing w:line="360" w:lineRule="auto"/>
              <w:jc w:val="center"/>
              <w:rPr>
                <w:color w:val="000000"/>
                <w:sz w:val="24"/>
              </w:rPr>
            </w:pPr>
            <w:r>
              <w:rPr>
                <w:color w:val="000000"/>
                <w:sz w:val="24"/>
              </w:rPr>
              <w:t>灵敏系数</w:t>
            </w:r>
          </w:p>
        </w:tc>
      </w:tr>
      <w:tr w14:paraId="08CD8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1668" w:type="dxa"/>
            <w:vAlign w:val="center"/>
          </w:tcPr>
          <w:p w14:paraId="280BD6C4">
            <w:pPr>
              <w:spacing w:line="360" w:lineRule="auto"/>
              <w:jc w:val="center"/>
              <w:rPr>
                <w:color w:val="000000"/>
                <w:sz w:val="24"/>
              </w:rPr>
            </w:pPr>
            <w:r>
              <w:rPr>
                <w:i/>
                <w:color w:val="000000"/>
                <w:sz w:val="24"/>
              </w:rPr>
              <w:t>u</w:t>
            </w:r>
            <w:r>
              <w:rPr>
                <w:color w:val="000000"/>
                <w:sz w:val="24"/>
                <w:vertAlign w:val="subscript"/>
              </w:rPr>
              <w:t>1</w:t>
            </w:r>
          </w:p>
        </w:tc>
        <w:tc>
          <w:tcPr>
            <w:tcW w:w="3420" w:type="dxa"/>
          </w:tcPr>
          <w:p w14:paraId="1F646903">
            <w:pPr>
              <w:spacing w:line="360" w:lineRule="auto"/>
              <w:jc w:val="left"/>
              <w:rPr>
                <w:color w:val="000000"/>
                <w:sz w:val="24"/>
              </w:rPr>
            </w:pPr>
            <w:r>
              <w:rPr>
                <w:color w:val="000000"/>
                <w:sz w:val="24"/>
              </w:rPr>
              <w:t>皮带秤进行模拟载荷试验重复性测量</w:t>
            </w:r>
          </w:p>
        </w:tc>
        <w:tc>
          <w:tcPr>
            <w:tcW w:w="832" w:type="dxa"/>
            <w:vAlign w:val="center"/>
          </w:tcPr>
          <w:p w14:paraId="4AACE111">
            <w:pPr>
              <w:spacing w:line="360" w:lineRule="auto"/>
              <w:jc w:val="center"/>
              <w:rPr>
                <w:color w:val="000000"/>
                <w:sz w:val="24"/>
              </w:rPr>
            </w:pPr>
            <w:r>
              <w:rPr>
                <w:color w:val="000000"/>
                <w:sz w:val="24"/>
              </w:rPr>
              <w:t>A</w:t>
            </w:r>
          </w:p>
        </w:tc>
        <w:tc>
          <w:tcPr>
            <w:tcW w:w="2268" w:type="dxa"/>
          </w:tcPr>
          <w:p w14:paraId="38C63B64">
            <w:pPr>
              <w:spacing w:line="360" w:lineRule="auto"/>
              <w:jc w:val="center"/>
              <w:rPr>
                <w:color w:val="000000"/>
                <w:sz w:val="24"/>
              </w:rPr>
            </w:pPr>
            <w:r>
              <w:rPr>
                <w:position w:val="-24"/>
                <w:sz w:val="24"/>
              </w:rPr>
              <w:object>
                <v:shape id="_x0000_i1064" o:spt="75" type="#_x0000_t75" style="height:33.45pt;width:61.7pt;" o:ole="t" filled="f" o:preferrelative="t" stroked="f" coordsize="21600,21600">
                  <v:path/>
                  <v:fill on="f" focussize="0,0"/>
                  <v:stroke on="f" joinstyle="miter"/>
                  <v:imagedata r:id="rId93" o:title=""/>
                  <o:lock v:ext="edit" aspectratio="t"/>
                  <w10:wrap type="none"/>
                  <w10:anchorlock/>
                </v:shape>
                <o:OLEObject Type="Embed" ProgID="Equation.DSMT4" ShapeID="_x0000_i1064" DrawAspect="Content" ObjectID="_1468075764" r:id="rId92">
                  <o:LockedField>false</o:LockedField>
                </o:OLEObject>
              </w:object>
            </w:r>
          </w:p>
        </w:tc>
        <w:tc>
          <w:tcPr>
            <w:tcW w:w="851" w:type="dxa"/>
            <w:vAlign w:val="center"/>
          </w:tcPr>
          <w:p w14:paraId="78F0180C">
            <w:pPr>
              <w:spacing w:line="360" w:lineRule="auto"/>
              <w:jc w:val="center"/>
              <w:rPr>
                <w:color w:val="000000"/>
                <w:sz w:val="24"/>
              </w:rPr>
            </w:pPr>
            <w:r>
              <w:rPr>
                <w:color w:val="000000"/>
                <w:sz w:val="24"/>
              </w:rPr>
              <w:t>1</w:t>
            </w:r>
          </w:p>
        </w:tc>
      </w:tr>
      <w:tr w14:paraId="66B8A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68" w:type="dxa"/>
            <w:vAlign w:val="center"/>
          </w:tcPr>
          <w:p w14:paraId="6F46381E">
            <w:pPr>
              <w:spacing w:line="360" w:lineRule="auto"/>
              <w:jc w:val="center"/>
              <w:rPr>
                <w:color w:val="000000"/>
                <w:sz w:val="24"/>
              </w:rPr>
            </w:pPr>
            <w:r>
              <w:rPr>
                <w:i/>
                <w:color w:val="000000"/>
                <w:sz w:val="24"/>
              </w:rPr>
              <w:t>u</w:t>
            </w:r>
            <w:r>
              <w:rPr>
                <w:color w:val="000000"/>
                <w:sz w:val="24"/>
                <w:vertAlign w:val="subscript"/>
              </w:rPr>
              <w:t>2</w:t>
            </w:r>
          </w:p>
        </w:tc>
        <w:tc>
          <w:tcPr>
            <w:tcW w:w="3420" w:type="dxa"/>
            <w:vAlign w:val="center"/>
          </w:tcPr>
          <w:p w14:paraId="4258CC9F">
            <w:pPr>
              <w:spacing w:line="360" w:lineRule="auto"/>
              <w:jc w:val="center"/>
              <w:rPr>
                <w:color w:val="000000"/>
                <w:sz w:val="24"/>
              </w:rPr>
            </w:pPr>
            <w:r>
              <w:rPr>
                <w:color w:val="000000"/>
                <w:sz w:val="24"/>
              </w:rPr>
              <w:t>模拟载荷累计参考值</w:t>
            </w:r>
          </w:p>
        </w:tc>
        <w:tc>
          <w:tcPr>
            <w:tcW w:w="832" w:type="dxa"/>
            <w:vAlign w:val="center"/>
          </w:tcPr>
          <w:p w14:paraId="716D3CCD">
            <w:pPr>
              <w:spacing w:line="360" w:lineRule="auto"/>
              <w:jc w:val="center"/>
              <w:rPr>
                <w:color w:val="000000"/>
                <w:sz w:val="24"/>
              </w:rPr>
            </w:pPr>
            <w:r>
              <w:rPr>
                <w:color w:val="000000"/>
                <w:sz w:val="24"/>
              </w:rPr>
              <w:t>B</w:t>
            </w:r>
          </w:p>
        </w:tc>
        <w:tc>
          <w:tcPr>
            <w:tcW w:w="2268" w:type="dxa"/>
          </w:tcPr>
          <w:p w14:paraId="3D4A9FA6">
            <w:pPr>
              <w:spacing w:line="360" w:lineRule="auto"/>
              <w:jc w:val="center"/>
              <w:rPr>
                <w:color w:val="000000"/>
                <w:sz w:val="24"/>
              </w:rPr>
            </w:pPr>
            <w:r>
              <w:rPr>
                <w:position w:val="-24"/>
                <w:sz w:val="24"/>
              </w:rPr>
              <w:object>
                <v:shape id="_x0000_i1065" o:spt="75" type="#_x0000_t75" style="height:33.45pt;width:61.7pt;" o:ole="t" filled="f" o:preferrelative="t" stroked="f" coordsize="21600,21600">
                  <v:path/>
                  <v:fill on="f" focussize="0,0"/>
                  <v:stroke on="f" joinstyle="miter"/>
                  <v:imagedata r:id="rId93" o:title=""/>
                  <o:lock v:ext="edit" aspectratio="t"/>
                  <w10:wrap type="none"/>
                  <w10:anchorlock/>
                </v:shape>
                <o:OLEObject Type="Embed" ProgID="Equation.DSMT4" ShapeID="_x0000_i1065" DrawAspect="Content" ObjectID="_1468075765" r:id="rId94">
                  <o:LockedField>false</o:LockedField>
                </o:OLEObject>
              </w:object>
            </w:r>
          </w:p>
        </w:tc>
        <w:tc>
          <w:tcPr>
            <w:tcW w:w="851" w:type="dxa"/>
            <w:vAlign w:val="center"/>
          </w:tcPr>
          <w:p w14:paraId="0DFCAFEA">
            <w:pPr>
              <w:spacing w:line="360" w:lineRule="auto"/>
              <w:jc w:val="center"/>
              <w:rPr>
                <w:color w:val="000000"/>
                <w:sz w:val="24"/>
              </w:rPr>
            </w:pPr>
            <w:r>
              <w:rPr>
                <w:color w:val="000000"/>
                <w:sz w:val="24"/>
              </w:rPr>
              <w:t>-1</w:t>
            </w:r>
          </w:p>
        </w:tc>
      </w:tr>
      <w:tr w14:paraId="65B42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668" w:type="dxa"/>
            <w:vAlign w:val="center"/>
          </w:tcPr>
          <w:p w14:paraId="07DFC755">
            <w:pPr>
              <w:spacing w:line="360" w:lineRule="auto"/>
              <w:jc w:val="center"/>
              <w:rPr>
                <w:color w:val="000000"/>
                <w:sz w:val="24"/>
              </w:rPr>
            </w:pPr>
            <w:r>
              <w:rPr>
                <w:i/>
                <w:color w:val="000000"/>
                <w:sz w:val="24"/>
              </w:rPr>
              <w:t>u</w:t>
            </w:r>
            <w:r>
              <w:rPr>
                <w:color w:val="000000"/>
                <w:sz w:val="24"/>
                <w:vertAlign w:val="subscript"/>
              </w:rPr>
              <w:t>3</w:t>
            </w:r>
          </w:p>
        </w:tc>
        <w:tc>
          <w:tcPr>
            <w:tcW w:w="3420" w:type="dxa"/>
          </w:tcPr>
          <w:p w14:paraId="1CAED6D7">
            <w:pPr>
              <w:spacing w:line="360" w:lineRule="auto"/>
              <w:jc w:val="center"/>
              <w:rPr>
                <w:color w:val="000000"/>
                <w:sz w:val="24"/>
              </w:rPr>
            </w:pPr>
            <w:r>
              <w:rPr>
                <w:color w:val="000000"/>
                <w:sz w:val="24"/>
              </w:rPr>
              <w:t>皮带秤的分辨力</w:t>
            </w:r>
          </w:p>
        </w:tc>
        <w:tc>
          <w:tcPr>
            <w:tcW w:w="832" w:type="dxa"/>
            <w:vAlign w:val="center"/>
          </w:tcPr>
          <w:p w14:paraId="74F6AE37">
            <w:pPr>
              <w:spacing w:line="360" w:lineRule="auto"/>
              <w:jc w:val="center"/>
              <w:rPr>
                <w:color w:val="000000"/>
                <w:sz w:val="24"/>
              </w:rPr>
            </w:pPr>
            <w:r>
              <w:rPr>
                <w:color w:val="000000"/>
                <w:sz w:val="24"/>
              </w:rPr>
              <w:t>B</w:t>
            </w:r>
          </w:p>
        </w:tc>
        <w:tc>
          <w:tcPr>
            <w:tcW w:w="2268" w:type="dxa"/>
          </w:tcPr>
          <w:p w14:paraId="0B42BF9D">
            <w:pPr>
              <w:spacing w:line="360" w:lineRule="auto"/>
              <w:jc w:val="center"/>
              <w:rPr>
                <w:color w:val="000000"/>
                <w:sz w:val="24"/>
              </w:rPr>
            </w:pPr>
            <w:r>
              <w:rPr>
                <w:color w:val="000000"/>
                <w:sz w:val="24"/>
              </w:rPr>
              <w:t>0.29</w:t>
            </w:r>
            <w:r>
              <w:rPr>
                <w:rFonts w:hint="eastAsia"/>
                <w:i/>
                <w:sz w:val="24"/>
              </w:rPr>
              <w:t xml:space="preserve"> e</w:t>
            </w:r>
            <w:r>
              <w:rPr>
                <w:rFonts w:hint="eastAsia"/>
                <w:sz w:val="24"/>
                <w:vertAlign w:val="subscript"/>
              </w:rPr>
              <w:t>1</w:t>
            </w:r>
          </w:p>
        </w:tc>
        <w:tc>
          <w:tcPr>
            <w:tcW w:w="851" w:type="dxa"/>
            <w:vAlign w:val="center"/>
          </w:tcPr>
          <w:p w14:paraId="24AC431D">
            <w:pPr>
              <w:spacing w:line="360" w:lineRule="auto"/>
              <w:jc w:val="center"/>
              <w:rPr>
                <w:color w:val="000000"/>
                <w:sz w:val="24"/>
              </w:rPr>
            </w:pPr>
            <w:r>
              <w:rPr>
                <w:color w:val="000000"/>
                <w:sz w:val="24"/>
              </w:rPr>
              <w:t>1</w:t>
            </w:r>
          </w:p>
        </w:tc>
      </w:tr>
    </w:tbl>
    <w:p w14:paraId="3927745F">
      <w:pPr>
        <w:widowControl/>
        <w:spacing w:line="360" w:lineRule="auto"/>
        <w:ind w:firstLine="120" w:firstLineChars="50"/>
        <w:jc w:val="left"/>
        <w:rPr>
          <w:sz w:val="24"/>
        </w:rPr>
      </w:pPr>
      <w:r>
        <w:rPr>
          <w:sz w:val="24"/>
        </w:rPr>
        <w:t>D.4 评定示例</w:t>
      </w:r>
    </w:p>
    <w:p w14:paraId="4EB60C0E">
      <w:pPr>
        <w:spacing w:line="360" w:lineRule="auto"/>
        <w:ind w:firstLine="480" w:firstLineChars="200"/>
        <w:rPr>
          <w:rFonts w:eastAsiaTheme="minorEastAsia"/>
          <w:color w:val="000000"/>
          <w:kern w:val="0"/>
          <w:sz w:val="24"/>
        </w:rPr>
      </w:pPr>
      <w:r>
        <w:rPr>
          <w:rFonts w:eastAsiaTheme="minorEastAsia"/>
          <w:color w:val="000000"/>
          <w:sz w:val="24"/>
        </w:rPr>
        <w:t>对一台</w:t>
      </w:r>
      <w:r>
        <w:rPr>
          <w:rFonts w:eastAsiaTheme="minorEastAsia"/>
          <w:sz w:val="24"/>
        </w:rPr>
        <w:t>0.2级</w:t>
      </w:r>
      <w:r>
        <w:rPr>
          <w:rFonts w:eastAsiaTheme="minorEastAsia"/>
          <w:color w:val="000000"/>
          <w:sz w:val="24"/>
        </w:rPr>
        <w:t>皮带秤，Q</w:t>
      </w:r>
      <w:r>
        <w:rPr>
          <w:rFonts w:eastAsiaTheme="minorEastAsia"/>
          <w:color w:val="000000"/>
          <w:sz w:val="24"/>
          <w:vertAlign w:val="subscript"/>
        </w:rPr>
        <w:t>max</w:t>
      </w:r>
      <w:r>
        <w:rPr>
          <w:rFonts w:eastAsiaTheme="minorEastAsia"/>
          <w:color w:val="000000"/>
          <w:sz w:val="24"/>
        </w:rPr>
        <w:t>=100t/h，</w:t>
      </w:r>
      <w:r>
        <w:rPr>
          <w:rFonts w:eastAsiaTheme="minorEastAsia"/>
          <w:color w:val="000000"/>
          <w:kern w:val="0"/>
          <w:sz w:val="24"/>
        </w:rPr>
        <w:t>累计</w:t>
      </w:r>
      <w:r>
        <w:rPr>
          <w:rFonts w:eastAsiaTheme="minorEastAsia"/>
          <w:color w:val="000000"/>
          <w:sz w:val="24"/>
        </w:rPr>
        <w:t>分度值</w:t>
      </w:r>
      <w:r>
        <w:rPr>
          <w:rFonts w:eastAsiaTheme="minorEastAsia"/>
          <w:i/>
          <w:color w:val="000000"/>
          <w:sz w:val="24"/>
        </w:rPr>
        <w:t>d</w:t>
      </w:r>
      <w:r>
        <w:rPr>
          <w:rFonts w:eastAsiaTheme="minorEastAsia"/>
          <w:color w:val="000000"/>
          <w:sz w:val="24"/>
          <w:vertAlign w:val="subscript"/>
        </w:rPr>
        <w:t>t</w:t>
      </w:r>
      <w:r>
        <w:rPr>
          <w:rFonts w:eastAsiaTheme="minorEastAsia"/>
          <w:color w:val="000000"/>
          <w:sz w:val="24"/>
        </w:rPr>
        <w:t>=1kg，称量长度</w:t>
      </w:r>
      <w:r>
        <w:rPr>
          <w:rFonts w:eastAsiaTheme="minorEastAsia"/>
          <w:sz w:val="24"/>
        </w:rPr>
        <w:t>W</w:t>
      </w:r>
      <w:r>
        <w:rPr>
          <w:rFonts w:eastAsiaTheme="minorEastAsia"/>
          <w:sz w:val="24"/>
          <w:vertAlign w:val="subscript"/>
        </w:rPr>
        <w:t>L</w:t>
      </w:r>
      <w:r>
        <w:rPr>
          <w:rFonts w:eastAsiaTheme="minorEastAsia"/>
          <w:sz w:val="24"/>
        </w:rPr>
        <w:t>=1200mm</w:t>
      </w:r>
      <w:r>
        <w:rPr>
          <w:rFonts w:eastAsiaTheme="minorEastAsia"/>
          <w:color w:val="000000"/>
          <w:sz w:val="24"/>
        </w:rPr>
        <w:t>在速度</w:t>
      </w:r>
      <w:r>
        <w:rPr>
          <w:rFonts w:eastAsiaTheme="minorEastAsia"/>
          <w:sz w:val="24"/>
        </w:rPr>
        <w:t>v=2m/s下</w:t>
      </w:r>
      <w:r>
        <w:rPr>
          <w:rFonts w:eastAsiaTheme="minorEastAsia"/>
          <w:color w:val="000000"/>
          <w:sz w:val="24"/>
        </w:rPr>
        <w:t>对</w:t>
      </w:r>
      <w:r>
        <w:rPr>
          <w:rFonts w:eastAsiaTheme="minorEastAsia"/>
          <w:color w:val="000000"/>
          <w:kern w:val="0"/>
          <w:sz w:val="24"/>
        </w:rPr>
        <w:t>累计载荷的重量值</w:t>
      </w:r>
      <w:r>
        <w:rPr>
          <w:rFonts w:eastAsiaTheme="minorEastAsia"/>
          <w:color w:val="000000"/>
          <w:sz w:val="24"/>
        </w:rPr>
        <w:t>为2000kg的</w:t>
      </w:r>
      <w:r>
        <w:rPr>
          <w:rFonts w:eastAsiaTheme="minorEastAsia"/>
          <w:color w:val="000000"/>
          <w:kern w:val="0"/>
          <w:sz w:val="24"/>
        </w:rPr>
        <w:t>模拟载荷，进行模拟载荷试验误差测量结果的</w:t>
      </w:r>
      <w:r>
        <w:rPr>
          <w:rFonts w:eastAsiaTheme="minorEastAsia"/>
          <w:color w:val="000000"/>
          <w:sz w:val="24"/>
        </w:rPr>
        <w:t>测量不确定度分析。以皮带秤常用流量100t/h为例进行评定，试验过程中,累计试验分度值为0.1kg。</w:t>
      </w:r>
    </w:p>
    <w:p w14:paraId="3D85C1B0">
      <w:pPr>
        <w:spacing w:line="360" w:lineRule="auto"/>
        <w:ind w:right="-187" w:firstLine="120" w:firstLineChars="50"/>
        <w:rPr>
          <w:rFonts w:eastAsiaTheme="minorEastAsia"/>
          <w:color w:val="000000"/>
          <w:sz w:val="24"/>
          <w:vertAlign w:val="subscript"/>
        </w:rPr>
      </w:pPr>
      <w:r>
        <w:rPr>
          <w:sz w:val="24"/>
        </w:rPr>
        <w:t xml:space="preserve">D.4.1 </w:t>
      </w:r>
      <w:r>
        <w:rPr>
          <w:rFonts w:eastAsiaTheme="minorEastAsia"/>
          <w:color w:val="000000"/>
          <w:sz w:val="24"/>
        </w:rPr>
        <w:t>皮带秤进行模拟载荷试验重复性测量引入的标准不确定度分量</w:t>
      </w:r>
      <w:r>
        <w:rPr>
          <w:rFonts w:eastAsiaTheme="minorEastAsia"/>
          <w:i/>
          <w:color w:val="000000"/>
          <w:sz w:val="24"/>
        </w:rPr>
        <w:t>u</w:t>
      </w:r>
      <w:r>
        <w:rPr>
          <w:rFonts w:eastAsiaTheme="minorEastAsia"/>
          <w:color w:val="000000"/>
          <w:sz w:val="24"/>
          <w:vertAlign w:val="subscript"/>
        </w:rPr>
        <w:t>1</w:t>
      </w:r>
    </w:p>
    <w:p w14:paraId="4C8AE7C4">
      <w:pPr>
        <w:spacing w:line="360" w:lineRule="auto"/>
        <w:ind w:right="-187" w:firstLine="540" w:firstLineChars="225"/>
        <w:rPr>
          <w:rFonts w:eastAsiaTheme="minorEastAsia"/>
          <w:color w:val="000000"/>
          <w:sz w:val="24"/>
        </w:rPr>
      </w:pPr>
      <w:r>
        <w:rPr>
          <w:rFonts w:eastAsiaTheme="minorEastAsia"/>
          <w:color w:val="000000"/>
          <w:sz w:val="24"/>
        </w:rPr>
        <w:t>试验数据（称量结果，kg）：2000.2、2000.4、2000.6</w:t>
      </w:r>
      <w:r>
        <w:rPr>
          <w:rFonts w:eastAsiaTheme="minorEastAsia"/>
          <w:sz w:val="24"/>
        </w:rPr>
        <w:t>。</w:t>
      </w:r>
    </w:p>
    <w:p w14:paraId="012DC617">
      <w:pPr>
        <w:spacing w:line="360" w:lineRule="auto"/>
        <w:ind w:firstLine="2160" w:firstLineChars="900"/>
        <w:rPr>
          <w:rFonts w:eastAsiaTheme="minorEastAsia"/>
          <w:color w:val="000000"/>
          <w:sz w:val="24"/>
        </w:rPr>
      </w:pPr>
      <w:r>
        <w:rPr>
          <w:rFonts w:eastAsiaTheme="minorEastAsia"/>
          <w:color w:val="000000"/>
          <w:position w:val="-24"/>
          <w:sz w:val="24"/>
        </w:rPr>
        <w:object>
          <v:shape id="_x0000_i1066" o:spt="75" type="#_x0000_t75" style="height:33.45pt;width:186.45pt;" o:ole="t" filled="f" o:preferrelative="t" stroked="f" coordsize="21600,21600">
            <v:path/>
            <v:fill on="f" focussize="0,0"/>
            <v:stroke on="f" joinstyle="miter"/>
            <v:imagedata r:id="rId96" o:title=""/>
            <o:lock v:ext="edit" aspectratio="t"/>
            <w10:wrap type="none"/>
            <w10:anchorlock/>
          </v:shape>
          <o:OLEObject Type="Embed" ProgID="Equation.DSMT4" ShapeID="_x0000_i1066" DrawAspect="Content" ObjectID="_1468075766" r:id="rId95">
            <o:LockedField>false</o:LockedField>
          </o:OLEObject>
        </w:object>
      </w:r>
      <w:r>
        <w:rPr>
          <w:rFonts w:eastAsiaTheme="minorEastAsia"/>
          <w:color w:val="000000"/>
          <w:sz w:val="24"/>
        </w:rPr>
        <w:t xml:space="preserve"> =0.237 kg</w:t>
      </w:r>
    </w:p>
    <w:p w14:paraId="798C0614">
      <w:pPr>
        <w:ind w:firstLine="120" w:firstLineChars="50"/>
        <w:rPr>
          <w:rFonts w:eastAsiaTheme="minorEastAsia"/>
          <w:color w:val="000000"/>
          <w:sz w:val="24"/>
          <w:vertAlign w:val="subscript"/>
        </w:rPr>
      </w:pPr>
      <w:r>
        <w:rPr>
          <w:sz w:val="24"/>
        </w:rPr>
        <w:t xml:space="preserve">D.4.2 </w:t>
      </w:r>
      <w:r>
        <w:rPr>
          <w:rFonts w:eastAsiaTheme="minorEastAsia"/>
          <w:color w:val="000000"/>
          <w:sz w:val="24"/>
        </w:rPr>
        <w:t>模拟载荷累计参考值引入的标准不确定度分量</w:t>
      </w:r>
      <w:r>
        <w:rPr>
          <w:rFonts w:eastAsiaTheme="minorEastAsia"/>
          <w:i/>
          <w:iCs/>
          <w:color w:val="000000"/>
          <w:sz w:val="24"/>
        </w:rPr>
        <w:t>u</w:t>
      </w:r>
      <w:r>
        <w:rPr>
          <w:rFonts w:eastAsiaTheme="minorEastAsia"/>
          <w:color w:val="000000"/>
          <w:sz w:val="24"/>
          <w:vertAlign w:val="subscript"/>
        </w:rPr>
        <w:t>2</w:t>
      </w:r>
    </w:p>
    <w:p w14:paraId="1EE1C3E3">
      <w:pPr>
        <w:spacing w:line="360" w:lineRule="auto"/>
        <w:ind w:firstLine="480" w:firstLineChars="200"/>
        <w:rPr>
          <w:rFonts w:eastAsiaTheme="minorEastAsia"/>
          <w:color w:val="000000"/>
          <w:sz w:val="24"/>
        </w:rPr>
      </w:pPr>
      <w:r>
        <w:rPr>
          <w:rFonts w:eastAsiaTheme="minorEastAsia"/>
          <w:color w:val="000000"/>
          <w:sz w:val="24"/>
        </w:rPr>
        <w:t>在确定模拟载荷累计参考值时，首先得到三次模拟载荷试验累计重复性试验的示值为（称量结果，kg）：2000.2、2000.1、2000.1。</w:t>
      </w:r>
    </w:p>
    <w:p w14:paraId="2907CA09">
      <w:pPr>
        <w:spacing w:line="360" w:lineRule="auto"/>
        <w:jc w:val="center"/>
        <w:rPr>
          <w:rFonts w:eastAsiaTheme="minorEastAsia"/>
          <w:color w:val="000000"/>
          <w:sz w:val="24"/>
        </w:rPr>
      </w:pPr>
      <w:r>
        <w:rPr>
          <w:rFonts w:eastAsiaTheme="minorEastAsia"/>
          <w:color w:val="000000"/>
          <w:position w:val="-24"/>
          <w:sz w:val="24"/>
        </w:rPr>
        <w:object>
          <v:shape id="_x0000_i1067" o:spt="75" type="#_x0000_t75" style="height:33.45pt;width:196.3pt;" o:ole="t" filled="f" o:preferrelative="t" stroked="f" coordsize="21600,21600">
            <v:path/>
            <v:fill on="f" focussize="0,0"/>
            <v:stroke on="f" joinstyle="miter"/>
            <v:imagedata r:id="rId98" o:title=""/>
            <o:lock v:ext="edit" aspectratio="t"/>
            <w10:wrap type="none"/>
            <w10:anchorlock/>
          </v:shape>
          <o:OLEObject Type="Embed" ProgID="Equation.3" ShapeID="_x0000_i1067" DrawAspect="Content" ObjectID="_1468075767" r:id="rId97">
            <o:LockedField>false</o:LockedField>
          </o:OLEObject>
        </w:object>
      </w:r>
      <w:r>
        <w:rPr>
          <w:rFonts w:eastAsiaTheme="minorEastAsia"/>
          <w:color w:val="000000"/>
          <w:sz w:val="24"/>
        </w:rPr>
        <w:t>=0.059kg</w:t>
      </w:r>
    </w:p>
    <w:p w14:paraId="55EB45C3">
      <w:pPr>
        <w:spacing w:line="360" w:lineRule="auto"/>
        <w:rPr>
          <w:rFonts w:eastAsiaTheme="minorEastAsia"/>
          <w:color w:val="000000"/>
          <w:sz w:val="24"/>
        </w:rPr>
      </w:pPr>
      <w:r>
        <w:rPr>
          <w:sz w:val="24"/>
        </w:rPr>
        <w:t xml:space="preserve">D.4.3 </w:t>
      </w:r>
      <w:r>
        <w:rPr>
          <w:rFonts w:eastAsiaTheme="minorEastAsia"/>
          <w:color w:val="000000"/>
          <w:sz w:val="24"/>
        </w:rPr>
        <w:t>皮带秤示值分辨力带来的测量不确定度分量</w:t>
      </w:r>
      <w:r>
        <w:rPr>
          <w:rFonts w:eastAsiaTheme="minorEastAsia"/>
          <w:i/>
          <w:color w:val="000000"/>
          <w:sz w:val="24"/>
        </w:rPr>
        <w:t>u</w:t>
      </w:r>
      <w:r>
        <w:rPr>
          <w:rFonts w:eastAsiaTheme="minorEastAsia"/>
          <w:color w:val="000000"/>
          <w:sz w:val="24"/>
          <w:vertAlign w:val="subscript"/>
        </w:rPr>
        <w:t>3</w:t>
      </w:r>
    </w:p>
    <w:p w14:paraId="507BFC4B">
      <w:pPr>
        <w:spacing w:line="360" w:lineRule="auto"/>
        <w:ind w:firstLine="480" w:firstLineChars="200"/>
        <w:rPr>
          <w:rFonts w:eastAsiaTheme="minorEastAsia"/>
          <w:color w:val="000000"/>
          <w:kern w:val="21"/>
          <w:sz w:val="24"/>
        </w:rPr>
      </w:pPr>
      <w:r>
        <w:rPr>
          <w:rFonts w:eastAsiaTheme="minorEastAsia"/>
          <w:color w:val="000000"/>
          <w:sz w:val="24"/>
        </w:rPr>
        <w:t>皮带秤的累计试验分度值为0.1kg，得：</w:t>
      </w:r>
      <w:r>
        <w:rPr>
          <w:rFonts w:eastAsiaTheme="minorEastAsia"/>
          <w:i/>
          <w:color w:val="000000"/>
          <w:sz w:val="24"/>
        </w:rPr>
        <w:t>u</w:t>
      </w:r>
      <w:r>
        <w:rPr>
          <w:rFonts w:eastAsiaTheme="minorEastAsia"/>
          <w:color w:val="000000"/>
          <w:sz w:val="24"/>
          <w:vertAlign w:val="subscript"/>
        </w:rPr>
        <w:t>3</w:t>
      </w:r>
      <w:r>
        <w:rPr>
          <w:rFonts w:eastAsiaTheme="minorEastAsia"/>
          <w:color w:val="000000"/>
          <w:sz w:val="24"/>
        </w:rPr>
        <w:t>= 0.29</w:t>
      </w:r>
      <w:r>
        <w:rPr>
          <w:rFonts w:hint="eastAsia"/>
          <w:i/>
          <w:sz w:val="24"/>
        </w:rPr>
        <w:t xml:space="preserve"> e</w:t>
      </w:r>
      <w:r>
        <w:rPr>
          <w:rFonts w:hint="eastAsia"/>
          <w:sz w:val="24"/>
          <w:vertAlign w:val="subscript"/>
        </w:rPr>
        <w:t>1</w:t>
      </w:r>
      <w:r>
        <w:rPr>
          <w:rFonts w:eastAsiaTheme="minorEastAsia"/>
          <w:color w:val="000000"/>
          <w:sz w:val="24"/>
        </w:rPr>
        <w:t>=0.029kg</w:t>
      </w:r>
    </w:p>
    <w:p w14:paraId="456BA408">
      <w:pPr>
        <w:spacing w:line="360" w:lineRule="auto"/>
        <w:rPr>
          <w:rFonts w:eastAsiaTheme="minorEastAsia"/>
          <w:color w:val="000000"/>
          <w:sz w:val="24"/>
        </w:rPr>
      </w:pPr>
      <w:r>
        <w:rPr>
          <w:sz w:val="24"/>
        </w:rPr>
        <w:t>D.4.4合成标准不确定度</w:t>
      </w:r>
    </w:p>
    <w:p w14:paraId="523A17B0">
      <w:pPr>
        <w:spacing w:line="360" w:lineRule="auto"/>
        <w:ind w:left="405" w:leftChars="193" w:firstLine="480" w:firstLineChars="200"/>
        <w:rPr>
          <w:rFonts w:eastAsiaTheme="minorEastAsia"/>
          <w:color w:val="000000"/>
          <w:sz w:val="24"/>
        </w:rPr>
      </w:pPr>
      <w:r>
        <w:rPr>
          <w:rFonts w:eastAsiaTheme="minorEastAsia"/>
          <w:color w:val="000000"/>
          <w:position w:val="-14"/>
          <w:sz w:val="24"/>
        </w:rPr>
        <w:object>
          <v:shape id="_x0000_i1068" o:spt="75" type="#_x0000_t75" style="height:24pt;width:249.45pt;" o:ole="t" filled="f" o:preferrelative="t" stroked="f" coordsize="21600,21600">
            <v:path/>
            <v:fill on="f" focussize="0,0"/>
            <v:stroke on="f" joinstyle="miter"/>
            <v:imagedata r:id="rId100" o:title=""/>
            <o:lock v:ext="edit" aspectratio="t"/>
            <w10:wrap type="none"/>
            <w10:anchorlock/>
          </v:shape>
          <o:OLEObject Type="Embed" ProgID="Equation.3" ShapeID="_x0000_i1068" DrawAspect="Content" ObjectID="_1468075768" r:id="rId99">
            <o:LockedField>false</o:LockedField>
          </o:OLEObject>
        </w:object>
      </w:r>
      <w:r>
        <w:rPr>
          <w:rFonts w:eastAsiaTheme="minorEastAsia"/>
          <w:color w:val="000000"/>
          <w:sz w:val="24"/>
        </w:rPr>
        <w:t>=0.246kg</w:t>
      </w:r>
    </w:p>
    <w:p w14:paraId="18A249A8">
      <w:pPr>
        <w:spacing w:line="360" w:lineRule="auto"/>
        <w:ind w:left="405" w:leftChars="193" w:firstLine="480" w:firstLineChars="200"/>
        <w:rPr>
          <w:rFonts w:eastAsiaTheme="minorEastAsia"/>
          <w:color w:val="000000"/>
          <w:sz w:val="24"/>
        </w:rPr>
      </w:pPr>
      <w:r>
        <w:rPr>
          <w:position w:val="-12"/>
          <w:sz w:val="24"/>
        </w:rPr>
        <w:object>
          <v:shape id="_x0000_i1069" o:spt="75" type="#_x0000_t75" style="height:17.55pt;width:109.7pt;" o:ole="t" filled="f" o:preferrelative="t" stroked="f" coordsize="21600,21600">
            <v:path/>
            <v:fill on="f" focussize="0,0"/>
            <v:stroke on="f" joinstyle="miter"/>
            <v:imagedata r:id="rId102" o:title=""/>
            <o:lock v:ext="edit" aspectratio="t"/>
            <w10:wrap type="none"/>
            <w10:anchorlock/>
          </v:shape>
          <o:OLEObject Type="Embed" ProgID="Equation.3" ShapeID="_x0000_i1069" DrawAspect="Content" ObjectID="_1468075769" r:id="rId101">
            <o:LockedField>false</o:LockedField>
          </o:OLEObject>
        </w:object>
      </w:r>
    </w:p>
    <w:p w14:paraId="737D1FA4">
      <w:pPr>
        <w:spacing w:line="360" w:lineRule="auto"/>
        <w:rPr>
          <w:rFonts w:eastAsiaTheme="minorEastAsia"/>
          <w:color w:val="000000"/>
          <w:sz w:val="24"/>
        </w:rPr>
      </w:pPr>
      <w:r>
        <w:rPr>
          <w:sz w:val="24"/>
        </w:rPr>
        <w:t xml:space="preserve">D.4.5 </w:t>
      </w:r>
      <w:r>
        <w:rPr>
          <w:rFonts w:eastAsiaTheme="minorEastAsia"/>
          <w:color w:val="000000"/>
          <w:sz w:val="24"/>
        </w:rPr>
        <w:t>扩展不确定度</w:t>
      </w:r>
    </w:p>
    <w:p w14:paraId="6D00EEB8">
      <w:pPr>
        <w:spacing w:line="360" w:lineRule="auto"/>
        <w:ind w:firstLine="600" w:firstLineChars="250"/>
        <w:rPr>
          <w:rFonts w:eastAsiaTheme="minorEastAsia"/>
          <w:color w:val="000000"/>
          <w:sz w:val="24"/>
        </w:rPr>
      </w:pPr>
      <w:r>
        <w:rPr>
          <w:rFonts w:hAnsiTheme="minorEastAsia" w:eastAsiaTheme="minorEastAsia"/>
          <w:color w:val="000000"/>
          <w:sz w:val="24"/>
        </w:rPr>
        <w:t>取</w:t>
      </w:r>
      <w:r>
        <w:rPr>
          <w:rFonts w:eastAsiaTheme="minorEastAsia"/>
          <w:i/>
          <w:iCs/>
          <w:color w:val="000000"/>
          <w:sz w:val="24"/>
        </w:rPr>
        <w:t>k</w:t>
      </w:r>
      <w:r>
        <w:rPr>
          <w:rFonts w:eastAsiaTheme="minorEastAsia"/>
          <w:color w:val="000000"/>
          <w:sz w:val="24"/>
        </w:rPr>
        <w:t>=2</w:t>
      </w:r>
      <w:r>
        <w:rPr>
          <w:rFonts w:hAnsiTheme="minorEastAsia" w:eastAsiaTheme="minorEastAsia"/>
          <w:color w:val="000000"/>
          <w:sz w:val="24"/>
        </w:rPr>
        <w:t>，则扩展不确定度：</w:t>
      </w:r>
      <w:r>
        <w:rPr>
          <w:i/>
          <w:sz w:val="24"/>
        </w:rPr>
        <w:t>U</w:t>
      </w:r>
      <w:r>
        <w:rPr>
          <w:sz w:val="24"/>
          <w:vertAlign w:val="subscript"/>
        </w:rPr>
        <w:t>rel</w:t>
      </w:r>
      <w:r>
        <w:rPr>
          <w:sz w:val="24"/>
        </w:rPr>
        <w:t>=2</w:t>
      </w:r>
      <w:r>
        <w:rPr>
          <w:rFonts w:hint="eastAsia"/>
          <w:sz w:val="24"/>
        </w:rPr>
        <w:t>×</w:t>
      </w:r>
      <w:r>
        <w:rPr>
          <w:i/>
          <w:sz w:val="24"/>
        </w:rPr>
        <w:t>u</w:t>
      </w:r>
      <w:r>
        <w:rPr>
          <w:sz w:val="24"/>
          <w:vertAlign w:val="subscript"/>
        </w:rPr>
        <w:t>c</w:t>
      </w:r>
      <w:r>
        <w:rPr>
          <w:rFonts w:hint="eastAsia"/>
          <w:sz w:val="24"/>
          <w:vertAlign w:val="subscript"/>
        </w:rPr>
        <w:t>rel</w:t>
      </w:r>
      <w:r>
        <w:rPr>
          <w:rFonts w:hint="eastAsia"/>
          <w:sz w:val="24"/>
        </w:rPr>
        <w:t>=2×0.013%=0.026%</w:t>
      </w:r>
      <w:r>
        <w:rPr>
          <w:rFonts w:hAnsiTheme="minorEastAsia" w:eastAsiaTheme="minorEastAsia"/>
          <w:color w:val="000000"/>
          <w:sz w:val="24"/>
        </w:rPr>
        <w:t>，取一位有效数字，则</w:t>
      </w:r>
      <w:r>
        <w:rPr>
          <w:i/>
          <w:sz w:val="24"/>
        </w:rPr>
        <w:t>U</w:t>
      </w:r>
      <w:r>
        <w:rPr>
          <w:sz w:val="24"/>
          <w:vertAlign w:val="subscript"/>
        </w:rPr>
        <w:t>rel</w:t>
      </w:r>
      <w:r>
        <w:rPr>
          <w:rFonts w:eastAsiaTheme="minorEastAsia"/>
          <w:color w:val="000000"/>
          <w:sz w:val="24"/>
        </w:rPr>
        <w:t xml:space="preserve"> =</w:t>
      </w:r>
      <w:r>
        <w:rPr>
          <w:rFonts w:hint="eastAsia"/>
          <w:sz w:val="24"/>
        </w:rPr>
        <w:t>0.03%</w:t>
      </w:r>
      <w:r>
        <w:rPr>
          <w:rFonts w:hAnsiTheme="minorEastAsia" w:eastAsiaTheme="minorEastAsia"/>
          <w:color w:val="000000"/>
          <w:sz w:val="24"/>
        </w:rPr>
        <w:t>。</w:t>
      </w:r>
    </w:p>
    <w:p w14:paraId="0D8A99FC">
      <w:pPr>
        <w:spacing w:line="360" w:lineRule="auto"/>
        <w:jc w:val="center"/>
        <w:rPr>
          <w:rFonts w:asciiTheme="minorEastAsia" w:hAnsiTheme="minorEastAsia" w:eastAsiaTheme="minorEastAsia"/>
          <w:bCs/>
        </w:rPr>
      </w:pPr>
    </w:p>
    <w:sectPr>
      <w:footerReference r:id="rId16" w:type="default"/>
      <w:footerReference r:id="rId17" w:type="even"/>
      <w:pgSz w:w="11906" w:h="16838"/>
      <w:pgMar w:top="1588" w:right="1276" w:bottom="1361" w:left="1276" w:header="850" w:footer="85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F4AEA">
    <w:pPr>
      <w:pStyle w:val="19"/>
      <w:jc w:val="right"/>
    </w:pPr>
  </w:p>
  <w:p w14:paraId="5E4B81CD">
    <w:pPr>
      <w:pStyle w:val="1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F2B59">
    <w:pPr>
      <w:pStyle w:val="19"/>
      <w:spacing w:before="120" w:after="120"/>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458650748"/>
                          </w:sdtPr>
                          <w:sdtContent>
                            <w:p w14:paraId="088E2AE6">
                              <w:pPr>
                                <w:pStyle w:val="19"/>
                                <w:spacing w:before="120" w:after="120"/>
                              </w:pPr>
                              <w:r>
                                <w:fldChar w:fldCharType="begin"/>
                              </w:r>
                              <w:r>
                                <w:instrText xml:space="preserve"> PAGE   \* MERGEFORMAT </w:instrText>
                              </w:r>
                              <w:r>
                                <w:fldChar w:fldCharType="separate"/>
                              </w:r>
                              <w:r>
                                <w:rPr>
                                  <w:lang w:val="zh-CN"/>
                                </w:rPr>
                                <w:t>14</w:t>
                              </w:r>
                              <w:r>
                                <w:rPr>
                                  <w:lang w:val="zh-CN"/>
                                </w:rPr>
                                <w:fldChar w:fldCharType="end"/>
                              </w:r>
                            </w:p>
                          </w:sdtContent>
                        </w:sdt>
                        <w:p w14:paraId="316B2EBC"/>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sdt>
                    <w:sdtPr>
                      <w:id w:val="-458650748"/>
                    </w:sdtPr>
                    <w:sdtContent>
                      <w:p w14:paraId="088E2AE6">
                        <w:pPr>
                          <w:pStyle w:val="19"/>
                          <w:spacing w:before="120" w:after="120"/>
                        </w:pPr>
                        <w:r>
                          <w:fldChar w:fldCharType="begin"/>
                        </w:r>
                        <w:r>
                          <w:instrText xml:space="preserve"> PAGE   \* MERGEFORMAT </w:instrText>
                        </w:r>
                        <w:r>
                          <w:fldChar w:fldCharType="separate"/>
                        </w:r>
                        <w:r>
                          <w:rPr>
                            <w:lang w:val="zh-CN"/>
                          </w:rPr>
                          <w:t>14</w:t>
                        </w:r>
                        <w:r>
                          <w:rPr>
                            <w:lang w:val="zh-CN"/>
                          </w:rPr>
                          <w:fldChar w:fldCharType="end"/>
                        </w:r>
                      </w:p>
                    </w:sdtContent>
                  </w:sdt>
                  <w:p w14:paraId="316B2EBC"/>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A68B2">
    <w:pPr>
      <w:pStyle w:val="19"/>
    </w:pPr>
    <w:r>
      <w:rPr>
        <w:rFonts w:hint="eastAsia"/>
      </w:rPr>
      <w:t xml:space="preserve"> </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9FA63">
    <w:pPr>
      <w:pStyle w:val="19"/>
      <w:jc w:val="right"/>
    </w:pPr>
  </w:p>
  <w:p w14:paraId="54B43AE6">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CFE7B">
    <w:pPr>
      <w:pStyle w:val="19"/>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8292642">
                          <w:pPr>
                            <w:pStyle w:val="19"/>
                          </w:pPr>
                          <w:r>
                            <w:fldChar w:fldCharType="begin"/>
                          </w:r>
                          <w:r>
                            <w:instrText xml:space="preserve"> PAGE  \* MERGEFORMAT </w:instrText>
                          </w:r>
                          <w:r>
                            <w:fldChar w:fldCharType="separate"/>
                          </w:r>
                          <w:r>
                            <w:t>7</w:t>
                          </w:r>
                          <w:r>
                            <w:fldChar w:fldCharType="end"/>
                          </w:r>
                        </w:p>
                      </w:txbxContent>
                    </wps:txbx>
                    <wps:bodyPr wrap="none" lIns="0" tIns="0" rIns="0" bIns="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VBfO8kBAACeAwAADgAAAGRycy9lMm9Eb2MueG1srVPNjtMwEL4j8Q6W&#10;7zRpk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pua33DmhKUHv/z4fvn5+/LrG1uW&#10;r1dJod5jRYX3nkrj8BYG2ps5jhRMxIc22PQlSozypO/5qq8aIpPp0nq1XpeUkpSbHcIvHq77gPGd&#10;AsuSUfNAD5h1FacPGMfSuSR1c3CnjcmPaNxfAcIcIypvwXQ7MRknTlYc9sNEbw/Nmdj1tAk1d7T4&#10;nJn3joROSzMbYTb2k5E6on9zjDRGni6hjlDEKjn0bJnftGJpLx77uerht9r+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BUF87yQEAAJ4DAAAOAAAAAAAAAAEAIAAAAB4BAABkcnMvZTJvRG9j&#10;LnhtbFBLBQYAAAAABgAGAFkBAABZBQAAAAA=&#10;">
              <v:fill on="f" focussize="0,0"/>
              <v:stroke on="f"/>
              <v:imagedata o:title=""/>
              <o:lock v:ext="edit" aspectratio="f"/>
              <v:textbox inset="0mm,0mm,0mm,0mm" style="mso-fit-shape-to-text:t;">
                <w:txbxContent>
                  <w:p w14:paraId="18292642">
                    <w:pPr>
                      <w:pStyle w:val="19"/>
                    </w:pPr>
                    <w:r>
                      <w:fldChar w:fldCharType="begin"/>
                    </w:r>
                    <w:r>
                      <w:instrText xml:space="preserve"> PAGE  \* MERGEFORMAT </w:instrText>
                    </w:r>
                    <w:r>
                      <w:fldChar w:fldCharType="separate"/>
                    </w:r>
                    <w:r>
                      <w:t>7</w:t>
                    </w:r>
                    <w:r>
                      <w:fldChar w:fldCharType="end"/>
                    </w:r>
                  </w:p>
                </w:txbxContent>
              </v:textbox>
            </v:shape>
          </w:pict>
        </mc:Fallback>
      </mc:AlternateContent>
    </w:r>
    <w:r>
      <w:rPr>
        <w:rFonts w:hint="eastAsia"/>
      </w:rPr>
      <w:t xml:space="preserve"> </w:t>
    </w:r>
    <w:r>
      <w:t xml:space="preserve">                                                                                           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62A75">
    <w:pPr>
      <w:pStyle w:val="19"/>
      <w:spacing w:before="120" w:after="120"/>
      <w:jc w:val="right"/>
    </w:pPr>
  </w:p>
  <w:p w14:paraId="0A6B79A2">
    <w:pPr>
      <w:pStyle w:val="19"/>
      <w:ind w:right="360"/>
      <w:jc w:val="both"/>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CD6C2">
    <w:pPr>
      <w:pStyle w:val="19"/>
      <w:spacing w:before="120" w:after="12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2D8B8">
    <w:pPr>
      <w:pStyle w:val="19"/>
      <w:spacing w:before="120" w:after="120"/>
      <w:jc w:val="right"/>
      <w:rPr>
        <w:rFonts w:asciiTheme="minorEastAsia" w:hAnsiTheme="minorEastAsia" w:eastAsiaTheme="minor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3ADE68A">
                          <w:pPr>
                            <w:pStyle w:val="19"/>
                            <w:spacing w:before="120" w:after="120"/>
                            <w:jc w:val="cente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I</w:t>
                          </w:r>
                          <w:r>
                            <w:rPr>
                              <w:rFonts w:asciiTheme="minorEastAsia" w:hAnsiTheme="minorEastAsia" w:eastAsiaTheme="minorEastAsia"/>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69GPs5AgAAc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L69GPs5AgAAcQQAAA4AAAAAAAAAAQAgAAAAHwEAAGRycy9lMm9Eb2Mu&#10;eG1sUEsFBgAAAAAGAAYAWQEAAMoFAAAAAA==&#10;">
              <v:fill on="f" focussize="0,0"/>
              <v:stroke on="f" weight="0.5pt"/>
              <v:imagedata o:title=""/>
              <o:lock v:ext="edit" aspectratio="f"/>
              <v:textbox inset="0mm,0mm,0mm,0mm" style="mso-fit-shape-to-text:t;">
                <w:txbxContent>
                  <w:p w14:paraId="03ADE68A">
                    <w:pPr>
                      <w:pStyle w:val="19"/>
                      <w:spacing w:before="120" w:after="120"/>
                      <w:jc w:val="cente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I</w:t>
                    </w:r>
                    <w:r>
                      <w:rPr>
                        <w:rFonts w:asciiTheme="minorEastAsia" w:hAnsiTheme="minorEastAsia" w:eastAsiaTheme="minorEastAsia"/>
                        <w:lang w:val="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335EA">
    <w:pPr>
      <w:pStyle w:val="19"/>
      <w:spacing w:before="120" w:after="120"/>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C967873">
                          <w:pPr>
                            <w:pStyle w:val="19"/>
                            <w:spacing w:before="120" w:after="120"/>
                          </w:pPr>
                          <w:r>
                            <w:fldChar w:fldCharType="begin"/>
                          </w:r>
                          <w:r>
                            <w:instrText xml:space="preserve"> PAGE   \* MERGEFORMAT </w:instrText>
                          </w:r>
                          <w:r>
                            <w:fldChar w:fldCharType="separate"/>
                          </w:r>
                          <w:r>
                            <w:rPr>
                              <w:lang w:val="zh-CN"/>
                            </w:rPr>
                            <w:t>14</w:t>
                          </w:r>
                          <w:r>
                            <w:rPr>
                              <w:lang w:val="zh-CN"/>
                            </w:rPr>
                            <w:fldChar w:fldCharType="end"/>
                          </w:r>
                        </w:p>
                        <w:p w14:paraId="6571515A"/>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1rxzQ4AgAAcQ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3WvHNDgCAABxBAAADgAAAAAAAAABACAAAAAfAQAAZHJzL2Uyb0RvYy54&#10;bWxQSwUGAAAAAAYABgBZAQAAyQUAAAAA&#10;">
              <v:fill on="f" focussize="0,0"/>
              <v:stroke on="f" weight="0.5pt"/>
              <v:imagedata o:title=""/>
              <o:lock v:ext="edit" aspectratio="f"/>
              <v:textbox inset="0mm,0mm,0mm,0mm" style="mso-fit-shape-to-text:t;">
                <w:txbxContent>
                  <w:p w14:paraId="2C967873">
                    <w:pPr>
                      <w:pStyle w:val="19"/>
                      <w:spacing w:before="120" w:after="120"/>
                    </w:pPr>
                    <w:r>
                      <w:fldChar w:fldCharType="begin"/>
                    </w:r>
                    <w:r>
                      <w:instrText xml:space="preserve"> PAGE   \* MERGEFORMAT </w:instrText>
                    </w:r>
                    <w:r>
                      <w:fldChar w:fldCharType="separate"/>
                    </w:r>
                    <w:r>
                      <w:rPr>
                        <w:lang w:val="zh-CN"/>
                      </w:rPr>
                      <w:t>14</w:t>
                    </w:r>
                    <w:r>
                      <w:rPr>
                        <w:lang w:val="zh-CN"/>
                      </w:rPr>
                      <w:fldChar w:fldCharType="end"/>
                    </w:r>
                  </w:p>
                  <w:p w14:paraId="6571515A"/>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BEAFC">
    <w:pPr>
      <w:pStyle w:val="19"/>
      <w:spacing w:before="120" w:after="120"/>
      <w:jc w:val="right"/>
      <w:rPr>
        <w:rFonts w:asciiTheme="minorEastAsia" w:hAnsiTheme="minorEastAsia" w:eastAsiaTheme="minorEastAsia"/>
      </w:rP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81FE4C">
                          <w:pPr>
                            <w:pStyle w:val="19"/>
                            <w:spacing w:before="120" w:after="120"/>
                            <w:jc w:val="right"/>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15</w:t>
                          </w:r>
                          <w:r>
                            <w:rPr>
                              <w:rFonts w:asciiTheme="minorEastAsia" w:hAnsiTheme="minorEastAsia" w:eastAsiaTheme="minorEastAsia"/>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w5y/Y4AgAAb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LDnL9jgCAABvBAAADgAAAAAAAAABACAAAAAfAQAAZHJzL2Uyb0RvYy54&#10;bWxQSwUGAAAAAAYABgBZAQAAyQUAAAAA&#10;">
              <v:fill on="f" focussize="0,0"/>
              <v:stroke on="f" weight="0.5pt"/>
              <v:imagedata o:title=""/>
              <o:lock v:ext="edit" aspectratio="f"/>
              <v:textbox inset="0mm,0mm,0mm,0mm" style="mso-fit-shape-to-text:t;">
                <w:txbxContent>
                  <w:p w14:paraId="3D81FE4C">
                    <w:pPr>
                      <w:pStyle w:val="19"/>
                      <w:spacing w:before="120" w:after="120"/>
                      <w:jc w:val="right"/>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15</w:t>
                    </w:r>
                    <w:r>
                      <w:rPr>
                        <w:rFonts w:asciiTheme="minorEastAsia" w:hAnsiTheme="minorEastAsia" w:eastAsiaTheme="minorEastAsia"/>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0BA7A">
    <w:pPr>
      <w:pStyle w:val="20"/>
      <w:jc w:val="right"/>
    </w:pPr>
  </w:p>
  <w:p w14:paraId="5614A3AD">
    <w:pPr>
      <w:pStyle w:val="20"/>
      <w:rPr>
        <w:sz w:val="21"/>
        <w:szCs w:val="21"/>
      </w:rPr>
    </w:pPr>
    <w:r>
      <w:rPr>
        <w:rFonts w:hint="eastAsia" w:eastAsia="黑体"/>
        <w:sz w:val="21"/>
        <w:szCs w:val="21"/>
      </w:rPr>
      <w:t>JJF(粤)XXXX-XXXX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23723">
    <w:pPr>
      <w:pStyle w:val="20"/>
      <w:spacing w:before="120" w:after="120"/>
      <w:rPr>
        <w:rFonts w:eastAsia="黑体"/>
        <w:bCs/>
      </w:rPr>
    </w:pPr>
    <w:r>
      <w:rPr>
        <w:rFonts w:hint="default" w:ascii="Times New Roman" w:hAnsi="Times New Roman" w:eastAsia="黑体" w:cs="Times New Roman"/>
        <w:bCs/>
        <w:sz w:val="21"/>
        <w:szCs w:val="21"/>
      </w:rPr>
      <w:t>JJF</w:t>
    </w:r>
    <w:r>
      <w:rPr>
        <w:rFonts w:hint="eastAsia" w:ascii="黑体" w:eastAsia="黑体"/>
        <w:bCs/>
        <w:sz w:val="21"/>
        <w:szCs w:val="21"/>
      </w:rPr>
      <w:t>（粤）</w:t>
    </w:r>
    <w:r>
      <w:rPr>
        <w:rFonts w:hint="eastAsia" w:ascii="黑体" w:hAnsi="黑体" w:eastAsia="黑体" w:cs="黑体"/>
        <w:bCs/>
        <w:sz w:val="21"/>
        <w:szCs w:val="21"/>
      </w:rPr>
      <w:t>XXXX-XXXX</w:t>
    </w:r>
  </w:p>
  <w:p w14:paraId="2FB13287">
    <w:pPr>
      <w:pStyle w:val="20"/>
      <w:ind w:right="963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C47AF">
    <w:pPr>
      <w:pStyle w:val="20"/>
      <w:pBdr>
        <w:bottom w:val="none" w:color="auto" w:sz="0" w:space="4"/>
      </w:pBdr>
      <w:tabs>
        <w:tab w:val="right" w:pos="9354"/>
        <w:tab w:val="clear" w:pos="8306"/>
      </w:tabs>
      <w:ind w:firstLine="3343" w:firstLineChars="1850"/>
      <w:jc w:val="both"/>
      <w:outlineLvl w:val="0"/>
      <w:rPr>
        <w:rFonts w:eastAsia="黑体"/>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7FC4E">
    <w:pPr>
      <w:pStyle w:val="20"/>
      <w:rPr>
        <w:rFonts w:eastAsia="黑体"/>
        <w:b/>
        <w:sz w:val="21"/>
        <w:szCs w:val="21"/>
      </w:rPr>
    </w:pPr>
    <w:r>
      <w:rPr>
        <w:rFonts w:hint="default" w:ascii="Times New Roman" w:hAnsi="Times New Roman" w:eastAsia="黑体" w:cs="Times New Roman"/>
        <w:bCs/>
        <w:sz w:val="21"/>
        <w:szCs w:val="21"/>
      </w:rPr>
      <w:t>JJF</w:t>
    </w:r>
    <w:r>
      <w:rPr>
        <w:rFonts w:eastAsia="黑体"/>
        <w:bCs/>
        <w:sz w:val="21"/>
        <w:szCs w:val="21"/>
      </w:rPr>
      <w:t>（粤）</w:t>
    </w:r>
    <w:r>
      <w:rPr>
        <w:rFonts w:hint="eastAsia" w:eastAsia="黑体"/>
        <w:sz w:val="21"/>
        <w:szCs w:val="21"/>
      </w:rPr>
      <w:t>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09840">
    <w:pPr>
      <w:pStyle w:val="20"/>
    </w:pPr>
    <w:r>
      <w:rPr>
        <w:rFonts w:hint="eastAsia" w:ascii="黑体" w:hAnsi="黑体" w:eastAsia="黑体" w:cs="黑体"/>
        <w:bCs/>
        <w:sz w:val="21"/>
        <w:szCs w:val="21"/>
      </w:rPr>
      <w:t>JJF</w:t>
    </w:r>
    <w:r>
      <w:rPr>
        <w:rFonts w:eastAsia="黑体"/>
        <w:bCs/>
        <w:sz w:val="21"/>
        <w:szCs w:val="21"/>
      </w:rPr>
      <w:t>（粤）</w:t>
    </w:r>
    <w:r>
      <w:rPr>
        <w:rFonts w:hint="eastAsia" w:ascii="黑体" w:hAnsi="黑体" w:eastAsia="黑体" w:cs="黑体"/>
        <w:bCs/>
        <w:sz w:val="21"/>
        <w:szCs w:val="21"/>
      </w:rPr>
      <w:t>AAA</w:t>
    </w:r>
    <w:r>
      <w:rPr>
        <w:rFonts w:hint="eastAsia" w:ascii="黑体" w:hAnsi="黑体" w:eastAsia="黑体" w:cs="黑体"/>
        <w:b/>
        <w:sz w:val="21"/>
        <w:szCs w:val="21"/>
      </w:rPr>
      <w:t>—</w:t>
    </w:r>
    <w:r>
      <w:rPr>
        <w:rFonts w:hint="eastAsia" w:ascii="黑体" w:hAnsi="黑体" w:eastAsia="黑体" w:cs="黑体"/>
        <w:bCs/>
        <w:sz w:val="21"/>
        <w:szCs w:val="21"/>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B374C1"/>
    <w:multiLevelType w:val="multilevel"/>
    <w:tmpl w:val="55B374C1"/>
    <w:lvl w:ilvl="0" w:tentative="0">
      <w:start w:val="1"/>
      <w:numFmt w:val="lowerLetter"/>
      <w:lvlText w:val="%1）"/>
      <w:lvlJc w:val="left"/>
      <w:pPr>
        <w:ind w:left="840" w:hanging="360"/>
      </w:pPr>
      <w:rPr>
        <w:rFonts w:hint="default"/>
        <w:color w:val="00000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6CEA2025"/>
    <w:multiLevelType w:val="multilevel"/>
    <w:tmpl w:val="6CEA2025"/>
    <w:lvl w:ilvl="0" w:tentative="0">
      <w:start w:val="1"/>
      <w:numFmt w:val="none"/>
      <w:pStyle w:val="55"/>
      <w:suff w:val="nothing"/>
      <w:lvlText w:val="%1"/>
      <w:lvlJc w:val="left"/>
      <w:pPr>
        <w:ind w:left="0" w:firstLine="0"/>
      </w:pPr>
      <w:rPr>
        <w:rFonts w:hint="default" w:ascii="Times New Roman" w:hAnsi="Times New Roman"/>
        <w:b/>
        <w:i w:val="0"/>
        <w:sz w:val="21"/>
      </w:rPr>
    </w:lvl>
    <w:lvl w:ilvl="1" w:tentative="0">
      <w:start w:val="1"/>
      <w:numFmt w:val="decimal"/>
      <w:pStyle w:val="57"/>
      <w:suff w:val="nothing"/>
      <w:lvlText w:val="%1%2　"/>
      <w:lvlJc w:val="left"/>
      <w:pPr>
        <w:ind w:left="0" w:firstLine="0"/>
      </w:pPr>
      <w:rPr>
        <w:rFonts w:hint="eastAsia" w:ascii="黑体" w:hAnsi="Times New Roman" w:eastAsia="黑体"/>
        <w:b w:val="0"/>
        <w:i w:val="0"/>
        <w:sz w:val="21"/>
      </w:rPr>
    </w:lvl>
    <w:lvl w:ilvl="2" w:tentative="0">
      <w:start w:val="1"/>
      <w:numFmt w:val="decimal"/>
      <w:pStyle w:val="58"/>
      <w:suff w:val="nothing"/>
      <w:lvlText w:val="%1%2.%3　"/>
      <w:lvlJc w:val="left"/>
      <w:pPr>
        <w:ind w:left="735" w:firstLine="0"/>
      </w:pPr>
      <w:rPr>
        <w:rFonts w:hint="eastAsia" w:ascii="黑体" w:hAnsi="Times New Roman" w:eastAsia="黑体"/>
        <w:b w:val="0"/>
        <w:i w:val="0"/>
        <w:sz w:val="21"/>
      </w:rPr>
    </w:lvl>
    <w:lvl w:ilvl="3" w:tentative="0">
      <w:start w:val="1"/>
      <w:numFmt w:val="decimal"/>
      <w:pStyle w:val="59"/>
      <w:suff w:val="nothing"/>
      <w:lvlText w:val="%1%2.%3.%4　"/>
      <w:lvlJc w:val="left"/>
      <w:pPr>
        <w:ind w:left="0" w:firstLine="0"/>
      </w:pPr>
      <w:rPr>
        <w:rFonts w:hint="eastAsia" w:ascii="黑体" w:hAnsi="Times New Roman" w:eastAsia="黑体"/>
        <w:b w:val="0"/>
        <w:i w:val="0"/>
        <w:sz w:val="21"/>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61"/>
      <w:suff w:val="nothing"/>
      <w:lvlText w:val="%1%2.%3.%4.%5.%6　"/>
      <w:lvlJc w:val="left"/>
      <w:pPr>
        <w:ind w:left="0" w:firstLine="0"/>
      </w:pPr>
      <w:rPr>
        <w:rFonts w:hint="eastAsia" w:ascii="黑体" w:hAnsi="Times New Roman" w:eastAsia="黑体"/>
        <w:b w:val="0"/>
        <w:i w:val="0"/>
        <w:sz w:val="21"/>
      </w:rPr>
    </w:lvl>
    <w:lvl w:ilvl="6" w:tentative="0">
      <w:start w:val="1"/>
      <w:numFmt w:val="decimal"/>
      <w:pStyle w:val="6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4NjA4YThkYmI5ZTdmNjc2YWRjZjE1ZGFlNTE0ZDMifQ=="/>
  </w:docVars>
  <w:rsids>
    <w:rsidRoot w:val="003210A8"/>
    <w:rsid w:val="00000952"/>
    <w:rsid w:val="00004B81"/>
    <w:rsid w:val="00005A7F"/>
    <w:rsid w:val="00007B91"/>
    <w:rsid w:val="00013E5D"/>
    <w:rsid w:val="00015C00"/>
    <w:rsid w:val="00020388"/>
    <w:rsid w:val="0002075B"/>
    <w:rsid w:val="00023F2F"/>
    <w:rsid w:val="00024EC6"/>
    <w:rsid w:val="00025E5D"/>
    <w:rsid w:val="00027685"/>
    <w:rsid w:val="0003096E"/>
    <w:rsid w:val="00030B08"/>
    <w:rsid w:val="00031C9E"/>
    <w:rsid w:val="00034C8C"/>
    <w:rsid w:val="0003692F"/>
    <w:rsid w:val="000374B6"/>
    <w:rsid w:val="0004031A"/>
    <w:rsid w:val="00042850"/>
    <w:rsid w:val="0004394B"/>
    <w:rsid w:val="00044700"/>
    <w:rsid w:val="00044787"/>
    <w:rsid w:val="0004659B"/>
    <w:rsid w:val="00051DCC"/>
    <w:rsid w:val="000543FA"/>
    <w:rsid w:val="00057290"/>
    <w:rsid w:val="00061FB7"/>
    <w:rsid w:val="00063ABB"/>
    <w:rsid w:val="000664FE"/>
    <w:rsid w:val="000674CD"/>
    <w:rsid w:val="000701DB"/>
    <w:rsid w:val="000704C5"/>
    <w:rsid w:val="00076C98"/>
    <w:rsid w:val="0008442F"/>
    <w:rsid w:val="00085BD3"/>
    <w:rsid w:val="000902D6"/>
    <w:rsid w:val="00091A24"/>
    <w:rsid w:val="00094EEA"/>
    <w:rsid w:val="000954AA"/>
    <w:rsid w:val="0009719C"/>
    <w:rsid w:val="000A18CB"/>
    <w:rsid w:val="000A3180"/>
    <w:rsid w:val="000A3A6B"/>
    <w:rsid w:val="000A5679"/>
    <w:rsid w:val="000B0A3D"/>
    <w:rsid w:val="000B0D1E"/>
    <w:rsid w:val="000B2018"/>
    <w:rsid w:val="000B3E0F"/>
    <w:rsid w:val="000B5BAF"/>
    <w:rsid w:val="000B5CE9"/>
    <w:rsid w:val="000C0AFF"/>
    <w:rsid w:val="000C1D59"/>
    <w:rsid w:val="000C4EEA"/>
    <w:rsid w:val="000D1DE4"/>
    <w:rsid w:val="000D2A25"/>
    <w:rsid w:val="000D3C2E"/>
    <w:rsid w:val="000D51F2"/>
    <w:rsid w:val="000D5D92"/>
    <w:rsid w:val="000D6609"/>
    <w:rsid w:val="000E0286"/>
    <w:rsid w:val="000E0573"/>
    <w:rsid w:val="000E09D4"/>
    <w:rsid w:val="000E36FA"/>
    <w:rsid w:val="000E392F"/>
    <w:rsid w:val="000E56C1"/>
    <w:rsid w:val="000E72C0"/>
    <w:rsid w:val="000E7B4C"/>
    <w:rsid w:val="000E7E58"/>
    <w:rsid w:val="000F1E2E"/>
    <w:rsid w:val="000F2883"/>
    <w:rsid w:val="000F2C04"/>
    <w:rsid w:val="000F2C81"/>
    <w:rsid w:val="000F4FEB"/>
    <w:rsid w:val="000F65D0"/>
    <w:rsid w:val="001007EC"/>
    <w:rsid w:val="00101637"/>
    <w:rsid w:val="00105578"/>
    <w:rsid w:val="00105D7B"/>
    <w:rsid w:val="00107AAD"/>
    <w:rsid w:val="00107FF4"/>
    <w:rsid w:val="0011027B"/>
    <w:rsid w:val="00110D2C"/>
    <w:rsid w:val="00115370"/>
    <w:rsid w:val="001175FF"/>
    <w:rsid w:val="00120830"/>
    <w:rsid w:val="00120927"/>
    <w:rsid w:val="00120BFD"/>
    <w:rsid w:val="00123765"/>
    <w:rsid w:val="001240D9"/>
    <w:rsid w:val="00126928"/>
    <w:rsid w:val="001279DA"/>
    <w:rsid w:val="00127AB3"/>
    <w:rsid w:val="00127EB7"/>
    <w:rsid w:val="00130218"/>
    <w:rsid w:val="00131F5A"/>
    <w:rsid w:val="00132CDB"/>
    <w:rsid w:val="00136742"/>
    <w:rsid w:val="00141064"/>
    <w:rsid w:val="00142684"/>
    <w:rsid w:val="0014292E"/>
    <w:rsid w:val="00144D53"/>
    <w:rsid w:val="001457EA"/>
    <w:rsid w:val="0015037C"/>
    <w:rsid w:val="00154208"/>
    <w:rsid w:val="00156590"/>
    <w:rsid w:val="001604C5"/>
    <w:rsid w:val="00165D0F"/>
    <w:rsid w:val="001678E8"/>
    <w:rsid w:val="00174673"/>
    <w:rsid w:val="001807E5"/>
    <w:rsid w:val="00182F32"/>
    <w:rsid w:val="00183352"/>
    <w:rsid w:val="00183BE6"/>
    <w:rsid w:val="00184E54"/>
    <w:rsid w:val="00185225"/>
    <w:rsid w:val="00190015"/>
    <w:rsid w:val="00194094"/>
    <w:rsid w:val="001969B9"/>
    <w:rsid w:val="001A0184"/>
    <w:rsid w:val="001A0E1D"/>
    <w:rsid w:val="001A447C"/>
    <w:rsid w:val="001A52AC"/>
    <w:rsid w:val="001A5D31"/>
    <w:rsid w:val="001B39AF"/>
    <w:rsid w:val="001B3DBC"/>
    <w:rsid w:val="001C27A1"/>
    <w:rsid w:val="001C5890"/>
    <w:rsid w:val="001C5EB3"/>
    <w:rsid w:val="001C6C5D"/>
    <w:rsid w:val="001C7262"/>
    <w:rsid w:val="001D017B"/>
    <w:rsid w:val="001D0F22"/>
    <w:rsid w:val="001D38F8"/>
    <w:rsid w:val="001D636D"/>
    <w:rsid w:val="001D7560"/>
    <w:rsid w:val="001E2262"/>
    <w:rsid w:val="001E2302"/>
    <w:rsid w:val="001E2696"/>
    <w:rsid w:val="001E5100"/>
    <w:rsid w:val="001E5612"/>
    <w:rsid w:val="001E646C"/>
    <w:rsid w:val="001E77B3"/>
    <w:rsid w:val="001F0248"/>
    <w:rsid w:val="001F1BA5"/>
    <w:rsid w:val="001F2BC6"/>
    <w:rsid w:val="00201E5A"/>
    <w:rsid w:val="00201EFB"/>
    <w:rsid w:val="002029B7"/>
    <w:rsid w:val="00202A9F"/>
    <w:rsid w:val="0020661F"/>
    <w:rsid w:val="002139DC"/>
    <w:rsid w:val="00215238"/>
    <w:rsid w:val="002159CF"/>
    <w:rsid w:val="0022002D"/>
    <w:rsid w:val="00220474"/>
    <w:rsid w:val="00220E26"/>
    <w:rsid w:val="00220E47"/>
    <w:rsid w:val="002219F1"/>
    <w:rsid w:val="002225B6"/>
    <w:rsid w:val="00223F6D"/>
    <w:rsid w:val="00225084"/>
    <w:rsid w:val="002250E4"/>
    <w:rsid w:val="0022531E"/>
    <w:rsid w:val="00226B35"/>
    <w:rsid w:val="00227F7D"/>
    <w:rsid w:val="0023224C"/>
    <w:rsid w:val="00234C19"/>
    <w:rsid w:val="00237379"/>
    <w:rsid w:val="00241578"/>
    <w:rsid w:val="002426AC"/>
    <w:rsid w:val="00243F1A"/>
    <w:rsid w:val="00245D4B"/>
    <w:rsid w:val="00251C9F"/>
    <w:rsid w:val="002527BE"/>
    <w:rsid w:val="0025338B"/>
    <w:rsid w:val="00254437"/>
    <w:rsid w:val="002574E2"/>
    <w:rsid w:val="00257CC8"/>
    <w:rsid w:val="0026025F"/>
    <w:rsid w:val="00262BC4"/>
    <w:rsid w:val="0026425E"/>
    <w:rsid w:val="00266C7E"/>
    <w:rsid w:val="002670BC"/>
    <w:rsid w:val="0027002E"/>
    <w:rsid w:val="00271392"/>
    <w:rsid w:val="002720AB"/>
    <w:rsid w:val="0027524D"/>
    <w:rsid w:val="00277935"/>
    <w:rsid w:val="0028498C"/>
    <w:rsid w:val="00286ACB"/>
    <w:rsid w:val="002908E0"/>
    <w:rsid w:val="00295425"/>
    <w:rsid w:val="0029673F"/>
    <w:rsid w:val="0029713C"/>
    <w:rsid w:val="002979E0"/>
    <w:rsid w:val="00297DAA"/>
    <w:rsid w:val="002A0C22"/>
    <w:rsid w:val="002A3FFF"/>
    <w:rsid w:val="002A4E9C"/>
    <w:rsid w:val="002A5E67"/>
    <w:rsid w:val="002A6BB4"/>
    <w:rsid w:val="002A6D82"/>
    <w:rsid w:val="002B036C"/>
    <w:rsid w:val="002B30E3"/>
    <w:rsid w:val="002B3BC8"/>
    <w:rsid w:val="002B3E58"/>
    <w:rsid w:val="002B630D"/>
    <w:rsid w:val="002C0B2C"/>
    <w:rsid w:val="002C2881"/>
    <w:rsid w:val="002C2D14"/>
    <w:rsid w:val="002C303F"/>
    <w:rsid w:val="002C59CC"/>
    <w:rsid w:val="002C76B0"/>
    <w:rsid w:val="002D097F"/>
    <w:rsid w:val="002D0DBA"/>
    <w:rsid w:val="002D1AB9"/>
    <w:rsid w:val="002D1DD4"/>
    <w:rsid w:val="002D31DA"/>
    <w:rsid w:val="002D40A1"/>
    <w:rsid w:val="002D6CDD"/>
    <w:rsid w:val="002D7638"/>
    <w:rsid w:val="002D7C11"/>
    <w:rsid w:val="002E1475"/>
    <w:rsid w:val="002E24E4"/>
    <w:rsid w:val="002E5034"/>
    <w:rsid w:val="002E50BE"/>
    <w:rsid w:val="002F3961"/>
    <w:rsid w:val="002F5D97"/>
    <w:rsid w:val="00302B42"/>
    <w:rsid w:val="00306B55"/>
    <w:rsid w:val="0031084D"/>
    <w:rsid w:val="0031102F"/>
    <w:rsid w:val="003118D7"/>
    <w:rsid w:val="00317AC7"/>
    <w:rsid w:val="003200C5"/>
    <w:rsid w:val="00320C19"/>
    <w:rsid w:val="00320E5A"/>
    <w:rsid w:val="003210A8"/>
    <w:rsid w:val="003226D8"/>
    <w:rsid w:val="003257E7"/>
    <w:rsid w:val="003261B5"/>
    <w:rsid w:val="003263D2"/>
    <w:rsid w:val="00327453"/>
    <w:rsid w:val="00331767"/>
    <w:rsid w:val="00332442"/>
    <w:rsid w:val="00334211"/>
    <w:rsid w:val="00336080"/>
    <w:rsid w:val="003373FA"/>
    <w:rsid w:val="00337F71"/>
    <w:rsid w:val="00341119"/>
    <w:rsid w:val="0034563D"/>
    <w:rsid w:val="00347D25"/>
    <w:rsid w:val="00351110"/>
    <w:rsid w:val="003526CD"/>
    <w:rsid w:val="003547D0"/>
    <w:rsid w:val="00354B67"/>
    <w:rsid w:val="00362B43"/>
    <w:rsid w:val="00362CDD"/>
    <w:rsid w:val="00363E1E"/>
    <w:rsid w:val="0036428C"/>
    <w:rsid w:val="003642FA"/>
    <w:rsid w:val="00366544"/>
    <w:rsid w:val="00367BD5"/>
    <w:rsid w:val="00374161"/>
    <w:rsid w:val="00384138"/>
    <w:rsid w:val="00384189"/>
    <w:rsid w:val="00384485"/>
    <w:rsid w:val="00384F9C"/>
    <w:rsid w:val="00386197"/>
    <w:rsid w:val="0039077C"/>
    <w:rsid w:val="003907B7"/>
    <w:rsid w:val="00393243"/>
    <w:rsid w:val="00393DC9"/>
    <w:rsid w:val="003963C1"/>
    <w:rsid w:val="0039793B"/>
    <w:rsid w:val="003A6389"/>
    <w:rsid w:val="003B0068"/>
    <w:rsid w:val="003B055A"/>
    <w:rsid w:val="003B300D"/>
    <w:rsid w:val="003B4E0E"/>
    <w:rsid w:val="003B673A"/>
    <w:rsid w:val="003C303A"/>
    <w:rsid w:val="003C37C6"/>
    <w:rsid w:val="003C3A48"/>
    <w:rsid w:val="003C6D6F"/>
    <w:rsid w:val="003D4261"/>
    <w:rsid w:val="003D4442"/>
    <w:rsid w:val="003E05F3"/>
    <w:rsid w:val="003E5A68"/>
    <w:rsid w:val="003E78FE"/>
    <w:rsid w:val="003F1435"/>
    <w:rsid w:val="003F1E46"/>
    <w:rsid w:val="003F2362"/>
    <w:rsid w:val="003F2963"/>
    <w:rsid w:val="003F664F"/>
    <w:rsid w:val="003F68AF"/>
    <w:rsid w:val="003F7C01"/>
    <w:rsid w:val="0040150C"/>
    <w:rsid w:val="004054DA"/>
    <w:rsid w:val="0041093D"/>
    <w:rsid w:val="00410ED1"/>
    <w:rsid w:val="00410F1C"/>
    <w:rsid w:val="00411A37"/>
    <w:rsid w:val="00412AAC"/>
    <w:rsid w:val="00413839"/>
    <w:rsid w:val="00413E04"/>
    <w:rsid w:val="0041467D"/>
    <w:rsid w:val="00414E06"/>
    <w:rsid w:val="00415509"/>
    <w:rsid w:val="004157C8"/>
    <w:rsid w:val="00416DEA"/>
    <w:rsid w:val="00417CEB"/>
    <w:rsid w:val="00423D74"/>
    <w:rsid w:val="00425AA3"/>
    <w:rsid w:val="00426951"/>
    <w:rsid w:val="00430A7E"/>
    <w:rsid w:val="004312C5"/>
    <w:rsid w:val="004317AF"/>
    <w:rsid w:val="00434BFD"/>
    <w:rsid w:val="004368A1"/>
    <w:rsid w:val="00447EA7"/>
    <w:rsid w:val="004505F7"/>
    <w:rsid w:val="0045178B"/>
    <w:rsid w:val="0045192A"/>
    <w:rsid w:val="00452FD9"/>
    <w:rsid w:val="00454F22"/>
    <w:rsid w:val="00455EB5"/>
    <w:rsid w:val="0045733F"/>
    <w:rsid w:val="00462845"/>
    <w:rsid w:val="00465836"/>
    <w:rsid w:val="00465899"/>
    <w:rsid w:val="004669A7"/>
    <w:rsid w:val="0047151E"/>
    <w:rsid w:val="004729F8"/>
    <w:rsid w:val="00474145"/>
    <w:rsid w:val="004765C8"/>
    <w:rsid w:val="00476984"/>
    <w:rsid w:val="00477B82"/>
    <w:rsid w:val="00477D0D"/>
    <w:rsid w:val="00480516"/>
    <w:rsid w:val="00481E0D"/>
    <w:rsid w:val="004823D1"/>
    <w:rsid w:val="0048536C"/>
    <w:rsid w:val="00485E8A"/>
    <w:rsid w:val="004872CD"/>
    <w:rsid w:val="004903B0"/>
    <w:rsid w:val="00490448"/>
    <w:rsid w:val="00492F86"/>
    <w:rsid w:val="004933ED"/>
    <w:rsid w:val="00495FBD"/>
    <w:rsid w:val="00496713"/>
    <w:rsid w:val="00496921"/>
    <w:rsid w:val="0049777B"/>
    <w:rsid w:val="004A1053"/>
    <w:rsid w:val="004A1C6B"/>
    <w:rsid w:val="004A1CD6"/>
    <w:rsid w:val="004A268A"/>
    <w:rsid w:val="004A3DF1"/>
    <w:rsid w:val="004A6C62"/>
    <w:rsid w:val="004B039A"/>
    <w:rsid w:val="004B0A45"/>
    <w:rsid w:val="004B29DE"/>
    <w:rsid w:val="004B4676"/>
    <w:rsid w:val="004B5C10"/>
    <w:rsid w:val="004B71F3"/>
    <w:rsid w:val="004C00FB"/>
    <w:rsid w:val="004C0DD2"/>
    <w:rsid w:val="004C151D"/>
    <w:rsid w:val="004C57E4"/>
    <w:rsid w:val="004C5982"/>
    <w:rsid w:val="004C5E03"/>
    <w:rsid w:val="004D2FE7"/>
    <w:rsid w:val="004D319D"/>
    <w:rsid w:val="004D528D"/>
    <w:rsid w:val="004E1817"/>
    <w:rsid w:val="004E2790"/>
    <w:rsid w:val="004E2AD1"/>
    <w:rsid w:val="004E4434"/>
    <w:rsid w:val="004E45F8"/>
    <w:rsid w:val="004E73FE"/>
    <w:rsid w:val="004E779C"/>
    <w:rsid w:val="004E7AE0"/>
    <w:rsid w:val="004F20D7"/>
    <w:rsid w:val="004F2385"/>
    <w:rsid w:val="004F3779"/>
    <w:rsid w:val="005053F9"/>
    <w:rsid w:val="005064FA"/>
    <w:rsid w:val="00507826"/>
    <w:rsid w:val="00510D8C"/>
    <w:rsid w:val="00510E79"/>
    <w:rsid w:val="00512B79"/>
    <w:rsid w:val="005133E1"/>
    <w:rsid w:val="005179F0"/>
    <w:rsid w:val="00517ECF"/>
    <w:rsid w:val="00520AC6"/>
    <w:rsid w:val="0052387B"/>
    <w:rsid w:val="005244F8"/>
    <w:rsid w:val="00525E01"/>
    <w:rsid w:val="005279A5"/>
    <w:rsid w:val="0053303A"/>
    <w:rsid w:val="00533477"/>
    <w:rsid w:val="00534ED0"/>
    <w:rsid w:val="005373AB"/>
    <w:rsid w:val="0054209B"/>
    <w:rsid w:val="005420B7"/>
    <w:rsid w:val="00543379"/>
    <w:rsid w:val="00544674"/>
    <w:rsid w:val="0054610C"/>
    <w:rsid w:val="0054789F"/>
    <w:rsid w:val="0055007C"/>
    <w:rsid w:val="00554B8A"/>
    <w:rsid w:val="00556030"/>
    <w:rsid w:val="00556DB1"/>
    <w:rsid w:val="00570FA5"/>
    <w:rsid w:val="00571566"/>
    <w:rsid w:val="005717CB"/>
    <w:rsid w:val="00572E7C"/>
    <w:rsid w:val="00575B10"/>
    <w:rsid w:val="00580C94"/>
    <w:rsid w:val="0058779E"/>
    <w:rsid w:val="00590B61"/>
    <w:rsid w:val="00591BE5"/>
    <w:rsid w:val="00594580"/>
    <w:rsid w:val="005A03A7"/>
    <w:rsid w:val="005A1BDF"/>
    <w:rsid w:val="005A3441"/>
    <w:rsid w:val="005A3A11"/>
    <w:rsid w:val="005B0512"/>
    <w:rsid w:val="005B082A"/>
    <w:rsid w:val="005B0B08"/>
    <w:rsid w:val="005B5F99"/>
    <w:rsid w:val="005C1400"/>
    <w:rsid w:val="005C5FBD"/>
    <w:rsid w:val="005C6503"/>
    <w:rsid w:val="005C7F8E"/>
    <w:rsid w:val="005D6E98"/>
    <w:rsid w:val="005D7D08"/>
    <w:rsid w:val="005E75E9"/>
    <w:rsid w:val="005E773F"/>
    <w:rsid w:val="005E7AFC"/>
    <w:rsid w:val="005E7F8F"/>
    <w:rsid w:val="005F044C"/>
    <w:rsid w:val="005F1F9D"/>
    <w:rsid w:val="005F2F16"/>
    <w:rsid w:val="005F396F"/>
    <w:rsid w:val="005F4794"/>
    <w:rsid w:val="005F4F3F"/>
    <w:rsid w:val="005F536A"/>
    <w:rsid w:val="005F6421"/>
    <w:rsid w:val="00600020"/>
    <w:rsid w:val="006014F0"/>
    <w:rsid w:val="00601F52"/>
    <w:rsid w:val="00602472"/>
    <w:rsid w:val="00602F28"/>
    <w:rsid w:val="006039E5"/>
    <w:rsid w:val="00603BF2"/>
    <w:rsid w:val="00605157"/>
    <w:rsid w:val="006055CC"/>
    <w:rsid w:val="00606FC1"/>
    <w:rsid w:val="00607CA6"/>
    <w:rsid w:val="00607E87"/>
    <w:rsid w:val="00612200"/>
    <w:rsid w:val="006133CC"/>
    <w:rsid w:val="006176E7"/>
    <w:rsid w:val="00617CF6"/>
    <w:rsid w:val="0062127B"/>
    <w:rsid w:val="0062147A"/>
    <w:rsid w:val="00625126"/>
    <w:rsid w:val="006254A3"/>
    <w:rsid w:val="00625D76"/>
    <w:rsid w:val="00631779"/>
    <w:rsid w:val="00631D24"/>
    <w:rsid w:val="0063394A"/>
    <w:rsid w:val="00634A1F"/>
    <w:rsid w:val="00635828"/>
    <w:rsid w:val="00635B5F"/>
    <w:rsid w:val="00643CBB"/>
    <w:rsid w:val="00644E35"/>
    <w:rsid w:val="00652ECE"/>
    <w:rsid w:val="00656394"/>
    <w:rsid w:val="00661685"/>
    <w:rsid w:val="0066198D"/>
    <w:rsid w:val="006627A6"/>
    <w:rsid w:val="00662C78"/>
    <w:rsid w:val="0066363E"/>
    <w:rsid w:val="006641C0"/>
    <w:rsid w:val="00666F5C"/>
    <w:rsid w:val="0066719E"/>
    <w:rsid w:val="0067093A"/>
    <w:rsid w:val="00671799"/>
    <w:rsid w:val="00674CBD"/>
    <w:rsid w:val="006758FD"/>
    <w:rsid w:val="00676646"/>
    <w:rsid w:val="00676750"/>
    <w:rsid w:val="006770E2"/>
    <w:rsid w:val="006852AB"/>
    <w:rsid w:val="00685944"/>
    <w:rsid w:val="00685BF1"/>
    <w:rsid w:val="0068603E"/>
    <w:rsid w:val="00687BBB"/>
    <w:rsid w:val="00691C14"/>
    <w:rsid w:val="00692C4E"/>
    <w:rsid w:val="0069310A"/>
    <w:rsid w:val="006A152B"/>
    <w:rsid w:val="006A16E7"/>
    <w:rsid w:val="006A2C05"/>
    <w:rsid w:val="006B1881"/>
    <w:rsid w:val="006B3089"/>
    <w:rsid w:val="006B3F70"/>
    <w:rsid w:val="006B472C"/>
    <w:rsid w:val="006B6B7B"/>
    <w:rsid w:val="006B7FC6"/>
    <w:rsid w:val="006C0187"/>
    <w:rsid w:val="006C086A"/>
    <w:rsid w:val="006C0A2C"/>
    <w:rsid w:val="006C0C97"/>
    <w:rsid w:val="006C156B"/>
    <w:rsid w:val="006C1E11"/>
    <w:rsid w:val="006C2175"/>
    <w:rsid w:val="006C4BDB"/>
    <w:rsid w:val="006C5B40"/>
    <w:rsid w:val="006D2743"/>
    <w:rsid w:val="006D64A7"/>
    <w:rsid w:val="006D7213"/>
    <w:rsid w:val="006E0657"/>
    <w:rsid w:val="006E132B"/>
    <w:rsid w:val="006E16C7"/>
    <w:rsid w:val="006E30BA"/>
    <w:rsid w:val="006E3F53"/>
    <w:rsid w:val="006E6701"/>
    <w:rsid w:val="006F3165"/>
    <w:rsid w:val="006F3D7E"/>
    <w:rsid w:val="006F3F6F"/>
    <w:rsid w:val="006F4D7C"/>
    <w:rsid w:val="006F5A7B"/>
    <w:rsid w:val="006F6D88"/>
    <w:rsid w:val="006F7891"/>
    <w:rsid w:val="00700DCA"/>
    <w:rsid w:val="007016DC"/>
    <w:rsid w:val="0070298E"/>
    <w:rsid w:val="00703185"/>
    <w:rsid w:val="00703759"/>
    <w:rsid w:val="00711C2E"/>
    <w:rsid w:val="00711EBB"/>
    <w:rsid w:val="007128F0"/>
    <w:rsid w:val="007150B9"/>
    <w:rsid w:val="0071535A"/>
    <w:rsid w:val="0071738D"/>
    <w:rsid w:val="00717766"/>
    <w:rsid w:val="00720A1E"/>
    <w:rsid w:val="0072255F"/>
    <w:rsid w:val="0072702C"/>
    <w:rsid w:val="007275BE"/>
    <w:rsid w:val="00727D7C"/>
    <w:rsid w:val="00730C3F"/>
    <w:rsid w:val="007362A6"/>
    <w:rsid w:val="00736CCE"/>
    <w:rsid w:val="00740843"/>
    <w:rsid w:val="00741D84"/>
    <w:rsid w:val="00742647"/>
    <w:rsid w:val="007476C8"/>
    <w:rsid w:val="007503AA"/>
    <w:rsid w:val="00750622"/>
    <w:rsid w:val="007509CE"/>
    <w:rsid w:val="00750E1F"/>
    <w:rsid w:val="00751738"/>
    <w:rsid w:val="0075451D"/>
    <w:rsid w:val="00756043"/>
    <w:rsid w:val="00756637"/>
    <w:rsid w:val="0075720F"/>
    <w:rsid w:val="007611B3"/>
    <w:rsid w:val="007618C5"/>
    <w:rsid w:val="00762070"/>
    <w:rsid w:val="0076379E"/>
    <w:rsid w:val="007639B9"/>
    <w:rsid w:val="00765B3F"/>
    <w:rsid w:val="00773CB5"/>
    <w:rsid w:val="007765D3"/>
    <w:rsid w:val="007772AA"/>
    <w:rsid w:val="0078034A"/>
    <w:rsid w:val="00781E8D"/>
    <w:rsid w:val="007839CD"/>
    <w:rsid w:val="00786D3B"/>
    <w:rsid w:val="00791286"/>
    <w:rsid w:val="00795B25"/>
    <w:rsid w:val="00797434"/>
    <w:rsid w:val="007A04EC"/>
    <w:rsid w:val="007A0A59"/>
    <w:rsid w:val="007A1886"/>
    <w:rsid w:val="007A3B36"/>
    <w:rsid w:val="007A5A57"/>
    <w:rsid w:val="007A5F24"/>
    <w:rsid w:val="007A6FA9"/>
    <w:rsid w:val="007B0F7F"/>
    <w:rsid w:val="007B5390"/>
    <w:rsid w:val="007B5D73"/>
    <w:rsid w:val="007B621F"/>
    <w:rsid w:val="007C1F4A"/>
    <w:rsid w:val="007C3C2D"/>
    <w:rsid w:val="007C3DDF"/>
    <w:rsid w:val="007C4AC2"/>
    <w:rsid w:val="007D1335"/>
    <w:rsid w:val="007D23F6"/>
    <w:rsid w:val="007D3920"/>
    <w:rsid w:val="007D4395"/>
    <w:rsid w:val="007D4AF1"/>
    <w:rsid w:val="007D5D0B"/>
    <w:rsid w:val="007D63C2"/>
    <w:rsid w:val="007D6531"/>
    <w:rsid w:val="007D6567"/>
    <w:rsid w:val="007D6873"/>
    <w:rsid w:val="007D7773"/>
    <w:rsid w:val="007E069C"/>
    <w:rsid w:val="007E2E1E"/>
    <w:rsid w:val="007E35E9"/>
    <w:rsid w:val="007E422A"/>
    <w:rsid w:val="007E4905"/>
    <w:rsid w:val="007E4B13"/>
    <w:rsid w:val="007E5D0A"/>
    <w:rsid w:val="007E68D4"/>
    <w:rsid w:val="007F173D"/>
    <w:rsid w:val="007F22C8"/>
    <w:rsid w:val="007F375B"/>
    <w:rsid w:val="00800BE4"/>
    <w:rsid w:val="0080338D"/>
    <w:rsid w:val="0080349B"/>
    <w:rsid w:val="0080463C"/>
    <w:rsid w:val="00804875"/>
    <w:rsid w:val="00804CD0"/>
    <w:rsid w:val="00807F71"/>
    <w:rsid w:val="00810A25"/>
    <w:rsid w:val="00812403"/>
    <w:rsid w:val="0081457B"/>
    <w:rsid w:val="00814795"/>
    <w:rsid w:val="00817166"/>
    <w:rsid w:val="00822F5C"/>
    <w:rsid w:val="00823560"/>
    <w:rsid w:val="00823742"/>
    <w:rsid w:val="0082532E"/>
    <w:rsid w:val="0082585F"/>
    <w:rsid w:val="008265BC"/>
    <w:rsid w:val="00827A16"/>
    <w:rsid w:val="00831037"/>
    <w:rsid w:val="0083363E"/>
    <w:rsid w:val="00833688"/>
    <w:rsid w:val="008368BA"/>
    <w:rsid w:val="008406B4"/>
    <w:rsid w:val="008406C5"/>
    <w:rsid w:val="00840B81"/>
    <w:rsid w:val="00840F8C"/>
    <w:rsid w:val="00842882"/>
    <w:rsid w:val="0084669A"/>
    <w:rsid w:val="00846972"/>
    <w:rsid w:val="00847B49"/>
    <w:rsid w:val="00851559"/>
    <w:rsid w:val="00852DB2"/>
    <w:rsid w:val="00852DD6"/>
    <w:rsid w:val="00853953"/>
    <w:rsid w:val="00854E03"/>
    <w:rsid w:val="00855749"/>
    <w:rsid w:val="00860510"/>
    <w:rsid w:val="0086076A"/>
    <w:rsid w:val="008632DE"/>
    <w:rsid w:val="008641FB"/>
    <w:rsid w:val="00865213"/>
    <w:rsid w:val="00867019"/>
    <w:rsid w:val="00867A81"/>
    <w:rsid w:val="008701C3"/>
    <w:rsid w:val="00871C7D"/>
    <w:rsid w:val="008722E6"/>
    <w:rsid w:val="00874753"/>
    <w:rsid w:val="0087496A"/>
    <w:rsid w:val="00875B7A"/>
    <w:rsid w:val="00876750"/>
    <w:rsid w:val="0087725D"/>
    <w:rsid w:val="00880A88"/>
    <w:rsid w:val="008847C4"/>
    <w:rsid w:val="00884A23"/>
    <w:rsid w:val="00887745"/>
    <w:rsid w:val="0089386E"/>
    <w:rsid w:val="00895355"/>
    <w:rsid w:val="0089596B"/>
    <w:rsid w:val="00897468"/>
    <w:rsid w:val="008A0B64"/>
    <w:rsid w:val="008A129E"/>
    <w:rsid w:val="008A38E3"/>
    <w:rsid w:val="008A6480"/>
    <w:rsid w:val="008A6D35"/>
    <w:rsid w:val="008A7141"/>
    <w:rsid w:val="008A7A1D"/>
    <w:rsid w:val="008B091B"/>
    <w:rsid w:val="008B212C"/>
    <w:rsid w:val="008B2420"/>
    <w:rsid w:val="008B7A48"/>
    <w:rsid w:val="008C0B51"/>
    <w:rsid w:val="008C1797"/>
    <w:rsid w:val="008C6960"/>
    <w:rsid w:val="008D2FF1"/>
    <w:rsid w:val="008D4EC9"/>
    <w:rsid w:val="008D51E4"/>
    <w:rsid w:val="008D724C"/>
    <w:rsid w:val="008E0A62"/>
    <w:rsid w:val="008E2D8A"/>
    <w:rsid w:val="008E3A09"/>
    <w:rsid w:val="008E54ED"/>
    <w:rsid w:val="008F07BF"/>
    <w:rsid w:val="008F257F"/>
    <w:rsid w:val="008F3514"/>
    <w:rsid w:val="008F4990"/>
    <w:rsid w:val="008F7FD8"/>
    <w:rsid w:val="00900FFD"/>
    <w:rsid w:val="00901A9C"/>
    <w:rsid w:val="00903EE1"/>
    <w:rsid w:val="009054E0"/>
    <w:rsid w:val="00905970"/>
    <w:rsid w:val="009104A5"/>
    <w:rsid w:val="0091060A"/>
    <w:rsid w:val="0091213A"/>
    <w:rsid w:val="009123E4"/>
    <w:rsid w:val="009144C0"/>
    <w:rsid w:val="00920340"/>
    <w:rsid w:val="00920395"/>
    <w:rsid w:val="00920DE7"/>
    <w:rsid w:val="00921521"/>
    <w:rsid w:val="0092160D"/>
    <w:rsid w:val="00921800"/>
    <w:rsid w:val="009220D5"/>
    <w:rsid w:val="009237BA"/>
    <w:rsid w:val="009249FE"/>
    <w:rsid w:val="00925BA3"/>
    <w:rsid w:val="00925FD3"/>
    <w:rsid w:val="00926182"/>
    <w:rsid w:val="00926579"/>
    <w:rsid w:val="00931E42"/>
    <w:rsid w:val="00933D09"/>
    <w:rsid w:val="00934340"/>
    <w:rsid w:val="00934713"/>
    <w:rsid w:val="00935C15"/>
    <w:rsid w:val="00935C8C"/>
    <w:rsid w:val="009418D3"/>
    <w:rsid w:val="00942C99"/>
    <w:rsid w:val="009452B7"/>
    <w:rsid w:val="0094609D"/>
    <w:rsid w:val="00946E68"/>
    <w:rsid w:val="00946FF3"/>
    <w:rsid w:val="00947D13"/>
    <w:rsid w:val="009573ED"/>
    <w:rsid w:val="00957A5C"/>
    <w:rsid w:val="00957DC5"/>
    <w:rsid w:val="00961D15"/>
    <w:rsid w:val="00964170"/>
    <w:rsid w:val="0096427F"/>
    <w:rsid w:val="009642D7"/>
    <w:rsid w:val="00965434"/>
    <w:rsid w:val="00965DDE"/>
    <w:rsid w:val="00966850"/>
    <w:rsid w:val="009708F0"/>
    <w:rsid w:val="00970C2B"/>
    <w:rsid w:val="009715B5"/>
    <w:rsid w:val="00971680"/>
    <w:rsid w:val="00971990"/>
    <w:rsid w:val="00971DE0"/>
    <w:rsid w:val="0097240F"/>
    <w:rsid w:val="00973DA5"/>
    <w:rsid w:val="009743D3"/>
    <w:rsid w:val="00977280"/>
    <w:rsid w:val="009811E5"/>
    <w:rsid w:val="00982226"/>
    <w:rsid w:val="00983AA4"/>
    <w:rsid w:val="0098494B"/>
    <w:rsid w:val="00985E61"/>
    <w:rsid w:val="00987204"/>
    <w:rsid w:val="00987EB7"/>
    <w:rsid w:val="00992677"/>
    <w:rsid w:val="009A4367"/>
    <w:rsid w:val="009A49A8"/>
    <w:rsid w:val="009A6DE8"/>
    <w:rsid w:val="009A7E6A"/>
    <w:rsid w:val="009B087D"/>
    <w:rsid w:val="009B0F10"/>
    <w:rsid w:val="009B27E4"/>
    <w:rsid w:val="009B4384"/>
    <w:rsid w:val="009C3422"/>
    <w:rsid w:val="009C3E29"/>
    <w:rsid w:val="009D2D9F"/>
    <w:rsid w:val="009D3B4D"/>
    <w:rsid w:val="009D4DB7"/>
    <w:rsid w:val="009D5674"/>
    <w:rsid w:val="009D5936"/>
    <w:rsid w:val="009E3747"/>
    <w:rsid w:val="009E4631"/>
    <w:rsid w:val="009E7269"/>
    <w:rsid w:val="009E7CC5"/>
    <w:rsid w:val="009F1FDE"/>
    <w:rsid w:val="009F27A4"/>
    <w:rsid w:val="009F4059"/>
    <w:rsid w:val="00A00B3A"/>
    <w:rsid w:val="00A00DD2"/>
    <w:rsid w:val="00A01585"/>
    <w:rsid w:val="00A01F09"/>
    <w:rsid w:val="00A03933"/>
    <w:rsid w:val="00A03C6B"/>
    <w:rsid w:val="00A047E1"/>
    <w:rsid w:val="00A050D1"/>
    <w:rsid w:val="00A05E2A"/>
    <w:rsid w:val="00A061B1"/>
    <w:rsid w:val="00A06538"/>
    <w:rsid w:val="00A07F5A"/>
    <w:rsid w:val="00A11914"/>
    <w:rsid w:val="00A155C3"/>
    <w:rsid w:val="00A164FB"/>
    <w:rsid w:val="00A16F44"/>
    <w:rsid w:val="00A17A61"/>
    <w:rsid w:val="00A20335"/>
    <w:rsid w:val="00A208E7"/>
    <w:rsid w:val="00A20E7E"/>
    <w:rsid w:val="00A243B7"/>
    <w:rsid w:val="00A259F8"/>
    <w:rsid w:val="00A31F51"/>
    <w:rsid w:val="00A34FF4"/>
    <w:rsid w:val="00A354F7"/>
    <w:rsid w:val="00A35706"/>
    <w:rsid w:val="00A35B27"/>
    <w:rsid w:val="00A37993"/>
    <w:rsid w:val="00A40E98"/>
    <w:rsid w:val="00A410A3"/>
    <w:rsid w:val="00A41945"/>
    <w:rsid w:val="00A42CD1"/>
    <w:rsid w:val="00A47BEB"/>
    <w:rsid w:val="00A502CB"/>
    <w:rsid w:val="00A51A4E"/>
    <w:rsid w:val="00A52D75"/>
    <w:rsid w:val="00A52DAB"/>
    <w:rsid w:val="00A53D06"/>
    <w:rsid w:val="00A55A82"/>
    <w:rsid w:val="00A56602"/>
    <w:rsid w:val="00A60963"/>
    <w:rsid w:val="00A618F6"/>
    <w:rsid w:val="00A61E99"/>
    <w:rsid w:val="00A62A97"/>
    <w:rsid w:val="00A64369"/>
    <w:rsid w:val="00A64F3F"/>
    <w:rsid w:val="00A64F8C"/>
    <w:rsid w:val="00A6652A"/>
    <w:rsid w:val="00A66EDC"/>
    <w:rsid w:val="00A67891"/>
    <w:rsid w:val="00A703D5"/>
    <w:rsid w:val="00A71A5B"/>
    <w:rsid w:val="00A72279"/>
    <w:rsid w:val="00A73E64"/>
    <w:rsid w:val="00A778B0"/>
    <w:rsid w:val="00A80C23"/>
    <w:rsid w:val="00A80D31"/>
    <w:rsid w:val="00A810A7"/>
    <w:rsid w:val="00A81696"/>
    <w:rsid w:val="00A82694"/>
    <w:rsid w:val="00A82CAE"/>
    <w:rsid w:val="00A8367F"/>
    <w:rsid w:val="00A83FD0"/>
    <w:rsid w:val="00A84056"/>
    <w:rsid w:val="00A846BD"/>
    <w:rsid w:val="00A85768"/>
    <w:rsid w:val="00A8623A"/>
    <w:rsid w:val="00A86C45"/>
    <w:rsid w:val="00A87299"/>
    <w:rsid w:val="00A87F71"/>
    <w:rsid w:val="00A920BF"/>
    <w:rsid w:val="00A932E4"/>
    <w:rsid w:val="00A976FF"/>
    <w:rsid w:val="00AA0154"/>
    <w:rsid w:val="00AA06C2"/>
    <w:rsid w:val="00AA56DB"/>
    <w:rsid w:val="00AB1A78"/>
    <w:rsid w:val="00AB3A09"/>
    <w:rsid w:val="00AB3EAB"/>
    <w:rsid w:val="00AB41A3"/>
    <w:rsid w:val="00AB4C2C"/>
    <w:rsid w:val="00AB6D86"/>
    <w:rsid w:val="00AB799C"/>
    <w:rsid w:val="00AC29C2"/>
    <w:rsid w:val="00AC2D43"/>
    <w:rsid w:val="00AC3322"/>
    <w:rsid w:val="00AC3FA6"/>
    <w:rsid w:val="00AC5EB8"/>
    <w:rsid w:val="00AC6E4A"/>
    <w:rsid w:val="00AD1C52"/>
    <w:rsid w:val="00AD2639"/>
    <w:rsid w:val="00AD2AA0"/>
    <w:rsid w:val="00AD7176"/>
    <w:rsid w:val="00AE48AB"/>
    <w:rsid w:val="00AE4D16"/>
    <w:rsid w:val="00AE5B40"/>
    <w:rsid w:val="00AE6B45"/>
    <w:rsid w:val="00AF2A2C"/>
    <w:rsid w:val="00AF2DA4"/>
    <w:rsid w:val="00AF45E9"/>
    <w:rsid w:val="00AF4C78"/>
    <w:rsid w:val="00AF76FC"/>
    <w:rsid w:val="00AF7878"/>
    <w:rsid w:val="00B0063B"/>
    <w:rsid w:val="00B033CC"/>
    <w:rsid w:val="00B03E27"/>
    <w:rsid w:val="00B052FF"/>
    <w:rsid w:val="00B05F7A"/>
    <w:rsid w:val="00B062A0"/>
    <w:rsid w:val="00B067FF"/>
    <w:rsid w:val="00B07EB7"/>
    <w:rsid w:val="00B10128"/>
    <w:rsid w:val="00B12BDE"/>
    <w:rsid w:val="00B16793"/>
    <w:rsid w:val="00B16E4E"/>
    <w:rsid w:val="00B17544"/>
    <w:rsid w:val="00B17916"/>
    <w:rsid w:val="00B21329"/>
    <w:rsid w:val="00B22B25"/>
    <w:rsid w:val="00B24EE7"/>
    <w:rsid w:val="00B2502A"/>
    <w:rsid w:val="00B26815"/>
    <w:rsid w:val="00B3051C"/>
    <w:rsid w:val="00B30664"/>
    <w:rsid w:val="00B323F6"/>
    <w:rsid w:val="00B33105"/>
    <w:rsid w:val="00B36760"/>
    <w:rsid w:val="00B376CE"/>
    <w:rsid w:val="00B409D1"/>
    <w:rsid w:val="00B46108"/>
    <w:rsid w:val="00B46A8A"/>
    <w:rsid w:val="00B51035"/>
    <w:rsid w:val="00B5155E"/>
    <w:rsid w:val="00B51650"/>
    <w:rsid w:val="00B518AA"/>
    <w:rsid w:val="00B51DCD"/>
    <w:rsid w:val="00B55ABE"/>
    <w:rsid w:val="00B56496"/>
    <w:rsid w:val="00B56A96"/>
    <w:rsid w:val="00B57CBB"/>
    <w:rsid w:val="00B60F84"/>
    <w:rsid w:val="00B63577"/>
    <w:rsid w:val="00B65B82"/>
    <w:rsid w:val="00B66A6A"/>
    <w:rsid w:val="00B67239"/>
    <w:rsid w:val="00B67B34"/>
    <w:rsid w:val="00B71473"/>
    <w:rsid w:val="00B716A5"/>
    <w:rsid w:val="00B81D94"/>
    <w:rsid w:val="00B9010A"/>
    <w:rsid w:val="00B914AF"/>
    <w:rsid w:val="00B91526"/>
    <w:rsid w:val="00B93646"/>
    <w:rsid w:val="00B94472"/>
    <w:rsid w:val="00B94D00"/>
    <w:rsid w:val="00BA1223"/>
    <w:rsid w:val="00BA1B9B"/>
    <w:rsid w:val="00BA2492"/>
    <w:rsid w:val="00BA3B60"/>
    <w:rsid w:val="00BA3FC7"/>
    <w:rsid w:val="00BA61D8"/>
    <w:rsid w:val="00BB0752"/>
    <w:rsid w:val="00BB202E"/>
    <w:rsid w:val="00BB2D37"/>
    <w:rsid w:val="00BB5F23"/>
    <w:rsid w:val="00BC3068"/>
    <w:rsid w:val="00BC3ED5"/>
    <w:rsid w:val="00BC412F"/>
    <w:rsid w:val="00BC5F10"/>
    <w:rsid w:val="00BC6477"/>
    <w:rsid w:val="00BC6C80"/>
    <w:rsid w:val="00BC6CB6"/>
    <w:rsid w:val="00BD202B"/>
    <w:rsid w:val="00BD28A0"/>
    <w:rsid w:val="00BD3972"/>
    <w:rsid w:val="00BD3C8E"/>
    <w:rsid w:val="00BD3E7E"/>
    <w:rsid w:val="00BD5F53"/>
    <w:rsid w:val="00BD7803"/>
    <w:rsid w:val="00BE0910"/>
    <w:rsid w:val="00BE19EC"/>
    <w:rsid w:val="00BE1D5A"/>
    <w:rsid w:val="00BE24F5"/>
    <w:rsid w:val="00BE363C"/>
    <w:rsid w:val="00BE4204"/>
    <w:rsid w:val="00BE4628"/>
    <w:rsid w:val="00BE5579"/>
    <w:rsid w:val="00BE6BF9"/>
    <w:rsid w:val="00BE6CFF"/>
    <w:rsid w:val="00BF1AB6"/>
    <w:rsid w:val="00BF318F"/>
    <w:rsid w:val="00BF34F4"/>
    <w:rsid w:val="00BF3DB1"/>
    <w:rsid w:val="00C003D8"/>
    <w:rsid w:val="00C01301"/>
    <w:rsid w:val="00C03506"/>
    <w:rsid w:val="00C03AEB"/>
    <w:rsid w:val="00C03D57"/>
    <w:rsid w:val="00C03E90"/>
    <w:rsid w:val="00C10F42"/>
    <w:rsid w:val="00C1116C"/>
    <w:rsid w:val="00C12498"/>
    <w:rsid w:val="00C15733"/>
    <w:rsid w:val="00C15F9D"/>
    <w:rsid w:val="00C16A75"/>
    <w:rsid w:val="00C1758D"/>
    <w:rsid w:val="00C2087F"/>
    <w:rsid w:val="00C241BB"/>
    <w:rsid w:val="00C25698"/>
    <w:rsid w:val="00C26D88"/>
    <w:rsid w:val="00C27CBB"/>
    <w:rsid w:val="00C37D65"/>
    <w:rsid w:val="00C417B1"/>
    <w:rsid w:val="00C4201A"/>
    <w:rsid w:val="00C42B78"/>
    <w:rsid w:val="00C453A0"/>
    <w:rsid w:val="00C46100"/>
    <w:rsid w:val="00C54544"/>
    <w:rsid w:val="00C54796"/>
    <w:rsid w:val="00C54824"/>
    <w:rsid w:val="00C565D4"/>
    <w:rsid w:val="00C613E2"/>
    <w:rsid w:val="00C63758"/>
    <w:rsid w:val="00C64F84"/>
    <w:rsid w:val="00C65223"/>
    <w:rsid w:val="00C65EC0"/>
    <w:rsid w:val="00C65FC6"/>
    <w:rsid w:val="00C6664F"/>
    <w:rsid w:val="00C668C1"/>
    <w:rsid w:val="00C675AC"/>
    <w:rsid w:val="00C70B44"/>
    <w:rsid w:val="00C73FFF"/>
    <w:rsid w:val="00C749FF"/>
    <w:rsid w:val="00C77001"/>
    <w:rsid w:val="00C80FA1"/>
    <w:rsid w:val="00C81356"/>
    <w:rsid w:val="00C8605B"/>
    <w:rsid w:val="00C92D05"/>
    <w:rsid w:val="00C94D72"/>
    <w:rsid w:val="00C965F3"/>
    <w:rsid w:val="00C966B8"/>
    <w:rsid w:val="00CA2CE8"/>
    <w:rsid w:val="00CA4AE6"/>
    <w:rsid w:val="00CA5569"/>
    <w:rsid w:val="00CA69A6"/>
    <w:rsid w:val="00CA6FF8"/>
    <w:rsid w:val="00CB0B50"/>
    <w:rsid w:val="00CB210A"/>
    <w:rsid w:val="00CB6E42"/>
    <w:rsid w:val="00CB7F96"/>
    <w:rsid w:val="00CC4106"/>
    <w:rsid w:val="00CC4584"/>
    <w:rsid w:val="00CC6CBD"/>
    <w:rsid w:val="00CD2C2C"/>
    <w:rsid w:val="00CD2CFE"/>
    <w:rsid w:val="00CE295E"/>
    <w:rsid w:val="00CE352A"/>
    <w:rsid w:val="00CE5877"/>
    <w:rsid w:val="00CE7AC2"/>
    <w:rsid w:val="00CF0202"/>
    <w:rsid w:val="00CF167F"/>
    <w:rsid w:val="00CF1A90"/>
    <w:rsid w:val="00CF3F54"/>
    <w:rsid w:val="00D01771"/>
    <w:rsid w:val="00D02932"/>
    <w:rsid w:val="00D05423"/>
    <w:rsid w:val="00D125B4"/>
    <w:rsid w:val="00D12F2B"/>
    <w:rsid w:val="00D16B3A"/>
    <w:rsid w:val="00D16D8F"/>
    <w:rsid w:val="00D17042"/>
    <w:rsid w:val="00D1787B"/>
    <w:rsid w:val="00D20A50"/>
    <w:rsid w:val="00D2263D"/>
    <w:rsid w:val="00D22E44"/>
    <w:rsid w:val="00D25184"/>
    <w:rsid w:val="00D258E5"/>
    <w:rsid w:val="00D2746F"/>
    <w:rsid w:val="00D27EEA"/>
    <w:rsid w:val="00D31FF0"/>
    <w:rsid w:val="00D40B27"/>
    <w:rsid w:val="00D40B45"/>
    <w:rsid w:val="00D40E6D"/>
    <w:rsid w:val="00D4164E"/>
    <w:rsid w:val="00D4264B"/>
    <w:rsid w:val="00D461FD"/>
    <w:rsid w:val="00D46FA4"/>
    <w:rsid w:val="00D4738C"/>
    <w:rsid w:val="00D51D97"/>
    <w:rsid w:val="00D52F8A"/>
    <w:rsid w:val="00D537A1"/>
    <w:rsid w:val="00D61E53"/>
    <w:rsid w:val="00D62393"/>
    <w:rsid w:val="00D6434A"/>
    <w:rsid w:val="00D66681"/>
    <w:rsid w:val="00D66FBE"/>
    <w:rsid w:val="00D732F5"/>
    <w:rsid w:val="00D7392C"/>
    <w:rsid w:val="00D75E00"/>
    <w:rsid w:val="00D77331"/>
    <w:rsid w:val="00D774C0"/>
    <w:rsid w:val="00D80E40"/>
    <w:rsid w:val="00D834A2"/>
    <w:rsid w:val="00D83956"/>
    <w:rsid w:val="00D855EF"/>
    <w:rsid w:val="00D85F6A"/>
    <w:rsid w:val="00D86861"/>
    <w:rsid w:val="00D920CD"/>
    <w:rsid w:val="00D94754"/>
    <w:rsid w:val="00D975EB"/>
    <w:rsid w:val="00DA0280"/>
    <w:rsid w:val="00DA2EAF"/>
    <w:rsid w:val="00DB0F98"/>
    <w:rsid w:val="00DB1DF0"/>
    <w:rsid w:val="00DB21CB"/>
    <w:rsid w:val="00DB3CD2"/>
    <w:rsid w:val="00DB3EE5"/>
    <w:rsid w:val="00DB6AF3"/>
    <w:rsid w:val="00DB7646"/>
    <w:rsid w:val="00DC05D3"/>
    <w:rsid w:val="00DC0CB3"/>
    <w:rsid w:val="00DC11B2"/>
    <w:rsid w:val="00DC29CB"/>
    <w:rsid w:val="00DD0DBC"/>
    <w:rsid w:val="00DD46DD"/>
    <w:rsid w:val="00DD5894"/>
    <w:rsid w:val="00DE369E"/>
    <w:rsid w:val="00DE4474"/>
    <w:rsid w:val="00DE7939"/>
    <w:rsid w:val="00DF1FB1"/>
    <w:rsid w:val="00DF27C0"/>
    <w:rsid w:val="00DF435A"/>
    <w:rsid w:val="00DF5255"/>
    <w:rsid w:val="00DF5893"/>
    <w:rsid w:val="00DF749C"/>
    <w:rsid w:val="00E04073"/>
    <w:rsid w:val="00E05255"/>
    <w:rsid w:val="00E069DB"/>
    <w:rsid w:val="00E07B8D"/>
    <w:rsid w:val="00E11F1F"/>
    <w:rsid w:val="00E13105"/>
    <w:rsid w:val="00E132F1"/>
    <w:rsid w:val="00E1361D"/>
    <w:rsid w:val="00E13CEB"/>
    <w:rsid w:val="00E17357"/>
    <w:rsid w:val="00E22451"/>
    <w:rsid w:val="00E22B29"/>
    <w:rsid w:val="00E22EB4"/>
    <w:rsid w:val="00E22F59"/>
    <w:rsid w:val="00E236A5"/>
    <w:rsid w:val="00E25A78"/>
    <w:rsid w:val="00E263F8"/>
    <w:rsid w:val="00E446D9"/>
    <w:rsid w:val="00E45A78"/>
    <w:rsid w:val="00E45BE0"/>
    <w:rsid w:val="00E53974"/>
    <w:rsid w:val="00E556E3"/>
    <w:rsid w:val="00E56B50"/>
    <w:rsid w:val="00E56BA9"/>
    <w:rsid w:val="00E573F7"/>
    <w:rsid w:val="00E60EDD"/>
    <w:rsid w:val="00E66593"/>
    <w:rsid w:val="00E7060F"/>
    <w:rsid w:val="00E71E69"/>
    <w:rsid w:val="00E735B9"/>
    <w:rsid w:val="00E73E53"/>
    <w:rsid w:val="00E74E1F"/>
    <w:rsid w:val="00E75FB6"/>
    <w:rsid w:val="00E83A34"/>
    <w:rsid w:val="00E8417B"/>
    <w:rsid w:val="00E84919"/>
    <w:rsid w:val="00E85820"/>
    <w:rsid w:val="00E86C06"/>
    <w:rsid w:val="00E878FE"/>
    <w:rsid w:val="00E87F1D"/>
    <w:rsid w:val="00E908CA"/>
    <w:rsid w:val="00E9130D"/>
    <w:rsid w:val="00E9434C"/>
    <w:rsid w:val="00E9492D"/>
    <w:rsid w:val="00E95F7A"/>
    <w:rsid w:val="00EA1B45"/>
    <w:rsid w:val="00EA38EB"/>
    <w:rsid w:val="00EA789F"/>
    <w:rsid w:val="00EB2C84"/>
    <w:rsid w:val="00EB3890"/>
    <w:rsid w:val="00EB4807"/>
    <w:rsid w:val="00EB5EBF"/>
    <w:rsid w:val="00EB7133"/>
    <w:rsid w:val="00EB74F2"/>
    <w:rsid w:val="00EB771F"/>
    <w:rsid w:val="00EC2CC3"/>
    <w:rsid w:val="00EC3E45"/>
    <w:rsid w:val="00EC4EED"/>
    <w:rsid w:val="00EC5314"/>
    <w:rsid w:val="00ED2054"/>
    <w:rsid w:val="00ED24CF"/>
    <w:rsid w:val="00ED3BE2"/>
    <w:rsid w:val="00ED57D2"/>
    <w:rsid w:val="00ED7692"/>
    <w:rsid w:val="00EE1B25"/>
    <w:rsid w:val="00EE30AD"/>
    <w:rsid w:val="00EE3D17"/>
    <w:rsid w:val="00EE5A97"/>
    <w:rsid w:val="00EE6163"/>
    <w:rsid w:val="00EF04DD"/>
    <w:rsid w:val="00EF3DF2"/>
    <w:rsid w:val="00EF3F8D"/>
    <w:rsid w:val="00EF4545"/>
    <w:rsid w:val="00EF49F8"/>
    <w:rsid w:val="00EF583F"/>
    <w:rsid w:val="00EF5A63"/>
    <w:rsid w:val="00EF5B97"/>
    <w:rsid w:val="00F006D5"/>
    <w:rsid w:val="00F0281C"/>
    <w:rsid w:val="00F03440"/>
    <w:rsid w:val="00F035E0"/>
    <w:rsid w:val="00F03AA1"/>
    <w:rsid w:val="00F048A6"/>
    <w:rsid w:val="00F05EB7"/>
    <w:rsid w:val="00F06E10"/>
    <w:rsid w:val="00F07177"/>
    <w:rsid w:val="00F108F2"/>
    <w:rsid w:val="00F132C6"/>
    <w:rsid w:val="00F15D8D"/>
    <w:rsid w:val="00F178BE"/>
    <w:rsid w:val="00F2194A"/>
    <w:rsid w:val="00F22422"/>
    <w:rsid w:val="00F259FF"/>
    <w:rsid w:val="00F26C97"/>
    <w:rsid w:val="00F316FD"/>
    <w:rsid w:val="00F31CE1"/>
    <w:rsid w:val="00F35773"/>
    <w:rsid w:val="00F41689"/>
    <w:rsid w:val="00F439F4"/>
    <w:rsid w:val="00F43D47"/>
    <w:rsid w:val="00F444EF"/>
    <w:rsid w:val="00F44540"/>
    <w:rsid w:val="00F464D6"/>
    <w:rsid w:val="00F47299"/>
    <w:rsid w:val="00F475FA"/>
    <w:rsid w:val="00F50CD3"/>
    <w:rsid w:val="00F5243B"/>
    <w:rsid w:val="00F526F8"/>
    <w:rsid w:val="00F53B6E"/>
    <w:rsid w:val="00F545E0"/>
    <w:rsid w:val="00F55996"/>
    <w:rsid w:val="00F64DF1"/>
    <w:rsid w:val="00F6798A"/>
    <w:rsid w:val="00F73373"/>
    <w:rsid w:val="00F75FD1"/>
    <w:rsid w:val="00F804C7"/>
    <w:rsid w:val="00F811BD"/>
    <w:rsid w:val="00F85B85"/>
    <w:rsid w:val="00F916E5"/>
    <w:rsid w:val="00F9226E"/>
    <w:rsid w:val="00F9393E"/>
    <w:rsid w:val="00FA07E7"/>
    <w:rsid w:val="00FA0C5D"/>
    <w:rsid w:val="00FA0DBA"/>
    <w:rsid w:val="00FA3C49"/>
    <w:rsid w:val="00FB0D19"/>
    <w:rsid w:val="00FB144B"/>
    <w:rsid w:val="00FB16DB"/>
    <w:rsid w:val="00FB5A75"/>
    <w:rsid w:val="00FB5D3F"/>
    <w:rsid w:val="00FB6621"/>
    <w:rsid w:val="00FB7A00"/>
    <w:rsid w:val="00FC295E"/>
    <w:rsid w:val="00FC3DBE"/>
    <w:rsid w:val="00FC4922"/>
    <w:rsid w:val="00FC4BDC"/>
    <w:rsid w:val="00FC5EB4"/>
    <w:rsid w:val="00FC7155"/>
    <w:rsid w:val="00FC72CD"/>
    <w:rsid w:val="00FD396C"/>
    <w:rsid w:val="00FD3C5D"/>
    <w:rsid w:val="00FD49F0"/>
    <w:rsid w:val="00FD7161"/>
    <w:rsid w:val="00FD7F2F"/>
    <w:rsid w:val="00FE10DC"/>
    <w:rsid w:val="00FE2ECA"/>
    <w:rsid w:val="00FF1EB0"/>
    <w:rsid w:val="00FF44BF"/>
    <w:rsid w:val="00FF4947"/>
    <w:rsid w:val="00FF59FF"/>
    <w:rsid w:val="020D5270"/>
    <w:rsid w:val="026A21DA"/>
    <w:rsid w:val="02D5192A"/>
    <w:rsid w:val="02EB3061"/>
    <w:rsid w:val="02FD0CF5"/>
    <w:rsid w:val="032375E3"/>
    <w:rsid w:val="03992C21"/>
    <w:rsid w:val="03A00848"/>
    <w:rsid w:val="03F37CF5"/>
    <w:rsid w:val="041756BC"/>
    <w:rsid w:val="04E57237"/>
    <w:rsid w:val="05290F57"/>
    <w:rsid w:val="05531498"/>
    <w:rsid w:val="055D15F5"/>
    <w:rsid w:val="05AF70C5"/>
    <w:rsid w:val="06A41433"/>
    <w:rsid w:val="07025B2A"/>
    <w:rsid w:val="075C0610"/>
    <w:rsid w:val="07766AC6"/>
    <w:rsid w:val="086A1C95"/>
    <w:rsid w:val="09DA3E4A"/>
    <w:rsid w:val="09E0224B"/>
    <w:rsid w:val="0A436DDA"/>
    <w:rsid w:val="0A4D1BF2"/>
    <w:rsid w:val="0AE16970"/>
    <w:rsid w:val="0BFE69CE"/>
    <w:rsid w:val="0C5A70C0"/>
    <w:rsid w:val="0C9C701C"/>
    <w:rsid w:val="0D152A12"/>
    <w:rsid w:val="0DF108FB"/>
    <w:rsid w:val="0E8642F0"/>
    <w:rsid w:val="0EAD22C2"/>
    <w:rsid w:val="0EDC4D67"/>
    <w:rsid w:val="0EE158E7"/>
    <w:rsid w:val="0EF372DD"/>
    <w:rsid w:val="0F5F09DE"/>
    <w:rsid w:val="0FA4133B"/>
    <w:rsid w:val="0FC7608B"/>
    <w:rsid w:val="101623EA"/>
    <w:rsid w:val="103267BD"/>
    <w:rsid w:val="104B4192"/>
    <w:rsid w:val="11263D1B"/>
    <w:rsid w:val="112A119F"/>
    <w:rsid w:val="11C079EE"/>
    <w:rsid w:val="11CC3789"/>
    <w:rsid w:val="120932BF"/>
    <w:rsid w:val="12397B0B"/>
    <w:rsid w:val="126D1D03"/>
    <w:rsid w:val="127114BC"/>
    <w:rsid w:val="12824F07"/>
    <w:rsid w:val="12D23269"/>
    <w:rsid w:val="1344287B"/>
    <w:rsid w:val="14702AE6"/>
    <w:rsid w:val="14B82969"/>
    <w:rsid w:val="14BE4F79"/>
    <w:rsid w:val="14C3381C"/>
    <w:rsid w:val="151C2B42"/>
    <w:rsid w:val="155B5906"/>
    <w:rsid w:val="15943A6A"/>
    <w:rsid w:val="15B4772F"/>
    <w:rsid w:val="15F108F5"/>
    <w:rsid w:val="166575FF"/>
    <w:rsid w:val="168B4B98"/>
    <w:rsid w:val="169420AA"/>
    <w:rsid w:val="16997217"/>
    <w:rsid w:val="16DB6A28"/>
    <w:rsid w:val="16DD1574"/>
    <w:rsid w:val="16E37CDF"/>
    <w:rsid w:val="16EB5363"/>
    <w:rsid w:val="16F60328"/>
    <w:rsid w:val="17005425"/>
    <w:rsid w:val="17935AD6"/>
    <w:rsid w:val="17A7685E"/>
    <w:rsid w:val="17C722F9"/>
    <w:rsid w:val="183D7AEE"/>
    <w:rsid w:val="18DF2D62"/>
    <w:rsid w:val="198669E7"/>
    <w:rsid w:val="19B6063F"/>
    <w:rsid w:val="1A6E2F04"/>
    <w:rsid w:val="1A706B52"/>
    <w:rsid w:val="1AE83436"/>
    <w:rsid w:val="1AEE184A"/>
    <w:rsid w:val="1B614776"/>
    <w:rsid w:val="1B9969DF"/>
    <w:rsid w:val="1C3A55A5"/>
    <w:rsid w:val="1CD270E3"/>
    <w:rsid w:val="1CE6758E"/>
    <w:rsid w:val="1D055EB2"/>
    <w:rsid w:val="1D3319E7"/>
    <w:rsid w:val="1D861681"/>
    <w:rsid w:val="1DC30185"/>
    <w:rsid w:val="1DD00FBF"/>
    <w:rsid w:val="1DFB7710"/>
    <w:rsid w:val="1E710879"/>
    <w:rsid w:val="1EAB4203"/>
    <w:rsid w:val="1F227938"/>
    <w:rsid w:val="1F815D39"/>
    <w:rsid w:val="1FF964EA"/>
    <w:rsid w:val="200962C6"/>
    <w:rsid w:val="202E712B"/>
    <w:rsid w:val="204325AE"/>
    <w:rsid w:val="20D04BE6"/>
    <w:rsid w:val="20E5400B"/>
    <w:rsid w:val="21F9253F"/>
    <w:rsid w:val="221C4992"/>
    <w:rsid w:val="22555B0E"/>
    <w:rsid w:val="22D50DA9"/>
    <w:rsid w:val="230D0C24"/>
    <w:rsid w:val="23267A16"/>
    <w:rsid w:val="232C3CA8"/>
    <w:rsid w:val="237E7713"/>
    <w:rsid w:val="23926117"/>
    <w:rsid w:val="23C211DA"/>
    <w:rsid w:val="23DA4C5F"/>
    <w:rsid w:val="240B7CC1"/>
    <w:rsid w:val="246D3766"/>
    <w:rsid w:val="248A0400"/>
    <w:rsid w:val="24976248"/>
    <w:rsid w:val="24AE4E23"/>
    <w:rsid w:val="25032F2D"/>
    <w:rsid w:val="25246D11"/>
    <w:rsid w:val="25323138"/>
    <w:rsid w:val="25482505"/>
    <w:rsid w:val="25906768"/>
    <w:rsid w:val="25BF71C7"/>
    <w:rsid w:val="25F57E8D"/>
    <w:rsid w:val="25FE63D4"/>
    <w:rsid w:val="260F48EE"/>
    <w:rsid w:val="26241D8A"/>
    <w:rsid w:val="262C7D7F"/>
    <w:rsid w:val="2664250D"/>
    <w:rsid w:val="266B61E0"/>
    <w:rsid w:val="26EA4EF1"/>
    <w:rsid w:val="270B3858"/>
    <w:rsid w:val="272A3B32"/>
    <w:rsid w:val="27C110E5"/>
    <w:rsid w:val="27D4378F"/>
    <w:rsid w:val="28A20FD5"/>
    <w:rsid w:val="28B20B7F"/>
    <w:rsid w:val="28DA0372"/>
    <w:rsid w:val="28F44FFB"/>
    <w:rsid w:val="294110B8"/>
    <w:rsid w:val="295722A6"/>
    <w:rsid w:val="29872D1F"/>
    <w:rsid w:val="2A2B6AC1"/>
    <w:rsid w:val="2A2D1253"/>
    <w:rsid w:val="2A2F5331"/>
    <w:rsid w:val="2A5B3545"/>
    <w:rsid w:val="2A987252"/>
    <w:rsid w:val="2AD90325"/>
    <w:rsid w:val="2B0D631C"/>
    <w:rsid w:val="2B2F5A2C"/>
    <w:rsid w:val="2B5140F7"/>
    <w:rsid w:val="2B522937"/>
    <w:rsid w:val="2B6B0208"/>
    <w:rsid w:val="2C0554B5"/>
    <w:rsid w:val="2C0B7E24"/>
    <w:rsid w:val="2C876DB0"/>
    <w:rsid w:val="2CEF3C18"/>
    <w:rsid w:val="2D144622"/>
    <w:rsid w:val="2D2F1973"/>
    <w:rsid w:val="2D411ADD"/>
    <w:rsid w:val="2E031F95"/>
    <w:rsid w:val="2E7B1F9C"/>
    <w:rsid w:val="2EA033C6"/>
    <w:rsid w:val="2EA22C07"/>
    <w:rsid w:val="2FEE0DD0"/>
    <w:rsid w:val="303239C9"/>
    <w:rsid w:val="31320C54"/>
    <w:rsid w:val="31FA4714"/>
    <w:rsid w:val="321D4301"/>
    <w:rsid w:val="323D2728"/>
    <w:rsid w:val="32583B18"/>
    <w:rsid w:val="32C50F2A"/>
    <w:rsid w:val="32D73679"/>
    <w:rsid w:val="33034489"/>
    <w:rsid w:val="33083F69"/>
    <w:rsid w:val="335A4C28"/>
    <w:rsid w:val="33834D88"/>
    <w:rsid w:val="34CA0853"/>
    <w:rsid w:val="34CA49C6"/>
    <w:rsid w:val="34D158C3"/>
    <w:rsid w:val="34E44283"/>
    <w:rsid w:val="34F505FF"/>
    <w:rsid w:val="352F46F4"/>
    <w:rsid w:val="35E415B3"/>
    <w:rsid w:val="375A3BE6"/>
    <w:rsid w:val="379D5978"/>
    <w:rsid w:val="38D53FC1"/>
    <w:rsid w:val="39437CD7"/>
    <w:rsid w:val="39B04314"/>
    <w:rsid w:val="39D427EA"/>
    <w:rsid w:val="3A1C053C"/>
    <w:rsid w:val="3A1E0B4A"/>
    <w:rsid w:val="3AE8071D"/>
    <w:rsid w:val="3B25030C"/>
    <w:rsid w:val="3BA262E8"/>
    <w:rsid w:val="3BB67C99"/>
    <w:rsid w:val="3BD90798"/>
    <w:rsid w:val="3C53718A"/>
    <w:rsid w:val="3C9D3976"/>
    <w:rsid w:val="3D236CCB"/>
    <w:rsid w:val="3DC802A6"/>
    <w:rsid w:val="3DF93C71"/>
    <w:rsid w:val="3EB74B33"/>
    <w:rsid w:val="3EDF30A5"/>
    <w:rsid w:val="3F186003"/>
    <w:rsid w:val="3FC00A06"/>
    <w:rsid w:val="3FC41926"/>
    <w:rsid w:val="3FF50D4F"/>
    <w:rsid w:val="4001073D"/>
    <w:rsid w:val="40ED3F02"/>
    <w:rsid w:val="41304CAF"/>
    <w:rsid w:val="414859A9"/>
    <w:rsid w:val="414C6392"/>
    <w:rsid w:val="41CA5002"/>
    <w:rsid w:val="41F24227"/>
    <w:rsid w:val="4206285A"/>
    <w:rsid w:val="42305C86"/>
    <w:rsid w:val="425C4280"/>
    <w:rsid w:val="42941BB6"/>
    <w:rsid w:val="42AC4005"/>
    <w:rsid w:val="434E5B9E"/>
    <w:rsid w:val="437E56B3"/>
    <w:rsid w:val="43991419"/>
    <w:rsid w:val="44120C42"/>
    <w:rsid w:val="447C06F3"/>
    <w:rsid w:val="44DD0AF0"/>
    <w:rsid w:val="44E14758"/>
    <w:rsid w:val="452B6409"/>
    <w:rsid w:val="453B5EA6"/>
    <w:rsid w:val="456C51D3"/>
    <w:rsid w:val="45E433D6"/>
    <w:rsid w:val="45FB4900"/>
    <w:rsid w:val="46302926"/>
    <w:rsid w:val="464E2CD0"/>
    <w:rsid w:val="474216FE"/>
    <w:rsid w:val="47435943"/>
    <w:rsid w:val="476D78DD"/>
    <w:rsid w:val="47880A5C"/>
    <w:rsid w:val="47C40989"/>
    <w:rsid w:val="47EF1529"/>
    <w:rsid w:val="49014EE6"/>
    <w:rsid w:val="49124732"/>
    <w:rsid w:val="49C32C37"/>
    <w:rsid w:val="49DA478C"/>
    <w:rsid w:val="49EF1403"/>
    <w:rsid w:val="49FD68EE"/>
    <w:rsid w:val="4A1D44E6"/>
    <w:rsid w:val="4A4241C5"/>
    <w:rsid w:val="4B6D6116"/>
    <w:rsid w:val="4BDE315C"/>
    <w:rsid w:val="4C06547C"/>
    <w:rsid w:val="4C70589C"/>
    <w:rsid w:val="4C736834"/>
    <w:rsid w:val="4C850CE1"/>
    <w:rsid w:val="4C9F3FAD"/>
    <w:rsid w:val="4CD3132C"/>
    <w:rsid w:val="4CF42852"/>
    <w:rsid w:val="4D0647CF"/>
    <w:rsid w:val="4D2571C1"/>
    <w:rsid w:val="4D766488"/>
    <w:rsid w:val="4DC135C2"/>
    <w:rsid w:val="4E6C2E38"/>
    <w:rsid w:val="4EDC3E46"/>
    <w:rsid w:val="500B5F49"/>
    <w:rsid w:val="5094101B"/>
    <w:rsid w:val="50C21C2D"/>
    <w:rsid w:val="511C12EF"/>
    <w:rsid w:val="518D12A5"/>
    <w:rsid w:val="520D51E4"/>
    <w:rsid w:val="521B1B54"/>
    <w:rsid w:val="526A5C5F"/>
    <w:rsid w:val="52E52849"/>
    <w:rsid w:val="539F4E99"/>
    <w:rsid w:val="53C92D96"/>
    <w:rsid w:val="53CB18D3"/>
    <w:rsid w:val="54407CEC"/>
    <w:rsid w:val="54DE40F4"/>
    <w:rsid w:val="553359A3"/>
    <w:rsid w:val="55713426"/>
    <w:rsid w:val="55A14849"/>
    <w:rsid w:val="55A42F4F"/>
    <w:rsid w:val="56613E04"/>
    <w:rsid w:val="56C169E5"/>
    <w:rsid w:val="56C26974"/>
    <w:rsid w:val="57290E15"/>
    <w:rsid w:val="574E6FA2"/>
    <w:rsid w:val="58ED24FF"/>
    <w:rsid w:val="595D7C0A"/>
    <w:rsid w:val="59825534"/>
    <w:rsid w:val="59843B51"/>
    <w:rsid w:val="59890EA5"/>
    <w:rsid w:val="59A03276"/>
    <w:rsid w:val="59D10880"/>
    <w:rsid w:val="5AFB75D5"/>
    <w:rsid w:val="5B4B4302"/>
    <w:rsid w:val="5BCC7323"/>
    <w:rsid w:val="5C265262"/>
    <w:rsid w:val="5C455DD2"/>
    <w:rsid w:val="5C6C378D"/>
    <w:rsid w:val="5C791167"/>
    <w:rsid w:val="5CA37D7B"/>
    <w:rsid w:val="5CEB7113"/>
    <w:rsid w:val="5D0C3ADE"/>
    <w:rsid w:val="5D906F9C"/>
    <w:rsid w:val="5D957C98"/>
    <w:rsid w:val="5DA70482"/>
    <w:rsid w:val="5E105BA6"/>
    <w:rsid w:val="5E5B4833"/>
    <w:rsid w:val="5E8C565B"/>
    <w:rsid w:val="5EE31586"/>
    <w:rsid w:val="5EF605DA"/>
    <w:rsid w:val="5F8C620F"/>
    <w:rsid w:val="5FF868CD"/>
    <w:rsid w:val="60B1359D"/>
    <w:rsid w:val="618D2EFB"/>
    <w:rsid w:val="61BC7DE8"/>
    <w:rsid w:val="627246DF"/>
    <w:rsid w:val="62875026"/>
    <w:rsid w:val="62D3528A"/>
    <w:rsid w:val="6356066A"/>
    <w:rsid w:val="639F6123"/>
    <w:rsid w:val="63B51D42"/>
    <w:rsid w:val="63D55B25"/>
    <w:rsid w:val="63E351CE"/>
    <w:rsid w:val="642020C6"/>
    <w:rsid w:val="64E53405"/>
    <w:rsid w:val="64E738E4"/>
    <w:rsid w:val="652B760D"/>
    <w:rsid w:val="654D5D64"/>
    <w:rsid w:val="659A154A"/>
    <w:rsid w:val="65A07901"/>
    <w:rsid w:val="65C069B4"/>
    <w:rsid w:val="65F80903"/>
    <w:rsid w:val="65F97234"/>
    <w:rsid w:val="662F3F16"/>
    <w:rsid w:val="66350C66"/>
    <w:rsid w:val="66503769"/>
    <w:rsid w:val="66580154"/>
    <w:rsid w:val="66673CEE"/>
    <w:rsid w:val="66782168"/>
    <w:rsid w:val="66921D05"/>
    <w:rsid w:val="66BD45DB"/>
    <w:rsid w:val="66CE62CE"/>
    <w:rsid w:val="67F77C4F"/>
    <w:rsid w:val="68D679B2"/>
    <w:rsid w:val="693C7CEF"/>
    <w:rsid w:val="69C36655"/>
    <w:rsid w:val="69DB2374"/>
    <w:rsid w:val="6A333E89"/>
    <w:rsid w:val="6AC955FF"/>
    <w:rsid w:val="6AFA6002"/>
    <w:rsid w:val="6B221764"/>
    <w:rsid w:val="6B310F98"/>
    <w:rsid w:val="6C3E5AC2"/>
    <w:rsid w:val="6CC06D5D"/>
    <w:rsid w:val="6D5464F7"/>
    <w:rsid w:val="6D620C9E"/>
    <w:rsid w:val="6DD53D89"/>
    <w:rsid w:val="6EB44628"/>
    <w:rsid w:val="6EC52E29"/>
    <w:rsid w:val="6ED63890"/>
    <w:rsid w:val="6EE670B1"/>
    <w:rsid w:val="6EF13819"/>
    <w:rsid w:val="6F417D93"/>
    <w:rsid w:val="6F6674F3"/>
    <w:rsid w:val="6FAA58FA"/>
    <w:rsid w:val="6FC52089"/>
    <w:rsid w:val="6FCD623D"/>
    <w:rsid w:val="701C786B"/>
    <w:rsid w:val="70AE6A96"/>
    <w:rsid w:val="713A1C60"/>
    <w:rsid w:val="714A2231"/>
    <w:rsid w:val="719E535B"/>
    <w:rsid w:val="71D20380"/>
    <w:rsid w:val="72621B19"/>
    <w:rsid w:val="735A3107"/>
    <w:rsid w:val="73A14728"/>
    <w:rsid w:val="740C304E"/>
    <w:rsid w:val="74664187"/>
    <w:rsid w:val="74674E31"/>
    <w:rsid w:val="749D2206"/>
    <w:rsid w:val="74A4476D"/>
    <w:rsid w:val="761403CF"/>
    <w:rsid w:val="762E6506"/>
    <w:rsid w:val="763110AB"/>
    <w:rsid w:val="763E5C3A"/>
    <w:rsid w:val="76605F34"/>
    <w:rsid w:val="77AF6FE0"/>
    <w:rsid w:val="77EA4356"/>
    <w:rsid w:val="782A1878"/>
    <w:rsid w:val="786E02B8"/>
    <w:rsid w:val="78755643"/>
    <w:rsid w:val="78CC6440"/>
    <w:rsid w:val="794507C9"/>
    <w:rsid w:val="7A392B15"/>
    <w:rsid w:val="7A6C45B2"/>
    <w:rsid w:val="7A6F776C"/>
    <w:rsid w:val="7A736818"/>
    <w:rsid w:val="7AC5490C"/>
    <w:rsid w:val="7AF52BD7"/>
    <w:rsid w:val="7B1D0668"/>
    <w:rsid w:val="7B1F74AE"/>
    <w:rsid w:val="7B2C7248"/>
    <w:rsid w:val="7B3E3170"/>
    <w:rsid w:val="7B5A69E8"/>
    <w:rsid w:val="7B7E1ED5"/>
    <w:rsid w:val="7C754B52"/>
    <w:rsid w:val="7C797630"/>
    <w:rsid w:val="7C8E6EAA"/>
    <w:rsid w:val="7CE1176F"/>
    <w:rsid w:val="7CF816FB"/>
    <w:rsid w:val="7D2259C2"/>
    <w:rsid w:val="7D296158"/>
    <w:rsid w:val="7DC02767"/>
    <w:rsid w:val="7DC05127"/>
    <w:rsid w:val="7E593054"/>
    <w:rsid w:val="7E6931D7"/>
    <w:rsid w:val="7E9633BF"/>
    <w:rsid w:val="7F070D7C"/>
    <w:rsid w:val="7F1929FA"/>
    <w:rsid w:val="7F5E46FC"/>
    <w:rsid w:val="7FCE3C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uiPriority="39" w:name="toc 5"/>
    <w:lsdException w:uiPriority="39" w:name="toc 6"/>
    <w:lsdException w:uiPriority="39" w:name="toc 7"/>
    <w:lsdException w:qFormat="1" w:unhideWhenUsed="0" w:uiPriority="0" w:semiHidden="0"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ind w:firstLine="1400" w:firstLineChars="500"/>
      <w:outlineLvl w:val="0"/>
    </w:pPr>
    <w:rPr>
      <w:rFonts w:ascii="黑体"/>
      <w:sz w:val="28"/>
    </w:rPr>
  </w:style>
  <w:style w:type="paragraph" w:styleId="3">
    <w:name w:val="heading 2"/>
    <w:basedOn w:val="1"/>
    <w:next w:val="1"/>
    <w:link w:val="38"/>
    <w:qFormat/>
    <w:uiPriority w:val="0"/>
    <w:pPr>
      <w:keepNext/>
      <w:ind w:firstLine="1120" w:firstLineChars="400"/>
      <w:outlineLvl w:val="1"/>
    </w:pPr>
    <w:rPr>
      <w:rFonts w:ascii="黑体"/>
      <w:color w:val="FF0000"/>
      <w:sz w:val="28"/>
    </w:rPr>
  </w:style>
  <w:style w:type="paragraph" w:styleId="4">
    <w:name w:val="heading 3"/>
    <w:basedOn w:val="1"/>
    <w:next w:val="1"/>
    <w:link w:val="39"/>
    <w:qFormat/>
    <w:uiPriority w:val="99"/>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tabs>
        <w:tab w:val="left" w:pos="851"/>
      </w:tabs>
      <w:spacing w:before="280" w:after="290" w:line="376" w:lineRule="auto"/>
      <w:jc w:val="left"/>
      <w:outlineLvl w:val="3"/>
    </w:pPr>
    <w:rPr>
      <w:rFonts w:ascii="Arial" w:hAnsi="Arial" w:eastAsia="黑体"/>
      <w:bCs/>
      <w:sz w:val="24"/>
      <w:szCs w:val="28"/>
    </w:rPr>
  </w:style>
  <w:style w:type="paragraph" w:styleId="6">
    <w:name w:val="heading 8"/>
    <w:basedOn w:val="1"/>
    <w:next w:val="1"/>
    <w:link w:val="41"/>
    <w:qFormat/>
    <w:uiPriority w:val="0"/>
    <w:pPr>
      <w:keepNext/>
      <w:keepLines/>
      <w:spacing w:before="240" w:after="64" w:line="320" w:lineRule="auto"/>
      <w:outlineLvl w:val="7"/>
    </w:pPr>
    <w:rPr>
      <w:rFonts w:ascii="Arial" w:hAnsi="Arial" w:eastAsia="黑体"/>
      <w:sz w:val="28"/>
    </w:rPr>
  </w:style>
  <w:style w:type="paragraph" w:styleId="7">
    <w:name w:val="heading 9"/>
    <w:basedOn w:val="1"/>
    <w:next w:val="1"/>
    <w:link w:val="42"/>
    <w:qFormat/>
    <w:uiPriority w:val="0"/>
    <w:pPr>
      <w:keepNext/>
      <w:keepLines/>
      <w:spacing w:before="240" w:after="64" w:line="320" w:lineRule="auto"/>
      <w:outlineLvl w:val="8"/>
    </w:pPr>
    <w:rPr>
      <w:rFonts w:ascii="Arial" w:hAnsi="Arial" w:eastAsia="黑体"/>
      <w:szCs w:val="21"/>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ind w:firstLine="420" w:firstLineChars="200"/>
    </w:pPr>
  </w:style>
  <w:style w:type="paragraph" w:styleId="9">
    <w:name w:val="Document Map"/>
    <w:basedOn w:val="1"/>
    <w:link w:val="49"/>
    <w:qFormat/>
    <w:uiPriority w:val="0"/>
    <w:pPr>
      <w:shd w:val="clear" w:color="auto" w:fill="000080"/>
    </w:pPr>
  </w:style>
  <w:style w:type="paragraph" w:styleId="10">
    <w:name w:val="annotation text"/>
    <w:basedOn w:val="1"/>
    <w:link w:val="64"/>
    <w:qFormat/>
    <w:uiPriority w:val="0"/>
    <w:pPr>
      <w:jc w:val="left"/>
    </w:pPr>
  </w:style>
  <w:style w:type="paragraph" w:styleId="11">
    <w:name w:val="Body Text"/>
    <w:basedOn w:val="1"/>
    <w:link w:val="72"/>
    <w:qFormat/>
    <w:uiPriority w:val="0"/>
    <w:pPr>
      <w:spacing w:after="120"/>
    </w:pPr>
    <w:rPr>
      <w:rFonts w:asciiTheme="minorHAnsi" w:hAnsiTheme="minorHAnsi" w:eastAsiaTheme="minorEastAsia" w:cstheme="minorBidi"/>
      <w:szCs w:val="22"/>
    </w:rPr>
  </w:style>
  <w:style w:type="paragraph" w:styleId="12">
    <w:name w:val="Body Text Indent"/>
    <w:basedOn w:val="1"/>
    <w:link w:val="45"/>
    <w:qFormat/>
    <w:uiPriority w:val="0"/>
    <w:pPr>
      <w:ind w:firstLine="535" w:firstLineChars="191"/>
    </w:pPr>
    <w:rPr>
      <w:sz w:val="28"/>
    </w:rPr>
  </w:style>
  <w:style w:type="paragraph" w:styleId="13">
    <w:name w:val="toc 3"/>
    <w:basedOn w:val="1"/>
    <w:next w:val="1"/>
    <w:qFormat/>
    <w:uiPriority w:val="39"/>
    <w:pPr>
      <w:ind w:left="840" w:leftChars="400"/>
    </w:pPr>
    <w:rPr>
      <w:szCs w:val="20"/>
    </w:rPr>
  </w:style>
  <w:style w:type="paragraph" w:styleId="14">
    <w:name w:val="Plain Text"/>
    <w:basedOn w:val="1"/>
    <w:link w:val="67"/>
    <w:qFormat/>
    <w:uiPriority w:val="0"/>
    <w:rPr>
      <w:rFonts w:ascii="宋体" w:hAnsi="Courier New"/>
      <w:szCs w:val="20"/>
    </w:rPr>
  </w:style>
  <w:style w:type="paragraph" w:styleId="15">
    <w:name w:val="toc 8"/>
    <w:basedOn w:val="1"/>
    <w:next w:val="1"/>
    <w:qFormat/>
    <w:uiPriority w:val="0"/>
    <w:pPr>
      <w:tabs>
        <w:tab w:val="right" w:leader="dot" w:pos="8302"/>
      </w:tabs>
    </w:pPr>
    <w:rPr>
      <w:szCs w:val="20"/>
    </w:rPr>
  </w:style>
  <w:style w:type="paragraph" w:styleId="16">
    <w:name w:val="Date"/>
    <w:basedOn w:val="1"/>
    <w:next w:val="1"/>
    <w:link w:val="48"/>
    <w:qFormat/>
    <w:uiPriority w:val="0"/>
    <w:pPr>
      <w:ind w:left="100" w:leftChars="2500"/>
    </w:pPr>
  </w:style>
  <w:style w:type="paragraph" w:styleId="17">
    <w:name w:val="Body Text Indent 2"/>
    <w:basedOn w:val="1"/>
    <w:link w:val="46"/>
    <w:qFormat/>
    <w:uiPriority w:val="0"/>
    <w:pPr>
      <w:ind w:firstLine="566" w:firstLineChars="202"/>
    </w:pPr>
    <w:rPr>
      <w:sz w:val="28"/>
    </w:rPr>
  </w:style>
  <w:style w:type="paragraph" w:styleId="18">
    <w:name w:val="Balloon Text"/>
    <w:basedOn w:val="1"/>
    <w:link w:val="50"/>
    <w:qFormat/>
    <w:uiPriority w:val="0"/>
    <w:rPr>
      <w:sz w:val="18"/>
      <w:szCs w:val="18"/>
    </w:rPr>
  </w:style>
  <w:style w:type="paragraph" w:styleId="19">
    <w:name w:val="footer"/>
    <w:basedOn w:val="1"/>
    <w:link w:val="44"/>
    <w:unhideWhenUsed/>
    <w:qFormat/>
    <w:uiPriority w:val="99"/>
    <w:pPr>
      <w:tabs>
        <w:tab w:val="center" w:pos="4153"/>
        <w:tab w:val="right" w:pos="8306"/>
      </w:tabs>
      <w:snapToGrid w:val="0"/>
      <w:jc w:val="left"/>
    </w:pPr>
    <w:rPr>
      <w:sz w:val="18"/>
      <w:szCs w:val="18"/>
    </w:rPr>
  </w:style>
  <w:style w:type="paragraph" w:styleId="20">
    <w:name w:val="header"/>
    <w:basedOn w:val="1"/>
    <w:link w:val="43"/>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pPr>
      <w:tabs>
        <w:tab w:val="left" w:pos="210"/>
        <w:tab w:val="right" w:leader="dot" w:pos="8302"/>
      </w:tabs>
      <w:jc w:val="left"/>
    </w:pPr>
    <w:rPr>
      <w:szCs w:val="20"/>
    </w:rPr>
  </w:style>
  <w:style w:type="paragraph" w:styleId="22">
    <w:name w:val="toc 4"/>
    <w:basedOn w:val="1"/>
    <w:next w:val="1"/>
    <w:qFormat/>
    <w:uiPriority w:val="0"/>
    <w:pPr>
      <w:ind w:left="1260" w:leftChars="600"/>
    </w:pPr>
    <w:rPr>
      <w:szCs w:val="20"/>
    </w:rPr>
  </w:style>
  <w:style w:type="paragraph" w:styleId="23">
    <w:name w:val="Body Text Indent 3"/>
    <w:basedOn w:val="1"/>
    <w:link w:val="54"/>
    <w:qFormat/>
    <w:uiPriority w:val="0"/>
    <w:pPr>
      <w:spacing w:line="360" w:lineRule="auto"/>
      <w:ind w:firstLine="420" w:firstLineChars="200"/>
    </w:pPr>
  </w:style>
  <w:style w:type="paragraph" w:styleId="24">
    <w:name w:val="toc 2"/>
    <w:basedOn w:val="1"/>
    <w:next w:val="1"/>
    <w:qFormat/>
    <w:uiPriority w:val="39"/>
    <w:pPr>
      <w:tabs>
        <w:tab w:val="left" w:pos="510"/>
        <w:tab w:val="right" w:leader="dot" w:pos="8302"/>
      </w:tabs>
    </w:pPr>
    <w:rPr>
      <w:szCs w:val="20"/>
    </w:rPr>
  </w:style>
  <w:style w:type="paragraph" w:styleId="25">
    <w:name w:val="Body Text 2"/>
    <w:basedOn w:val="1"/>
    <w:link w:val="47"/>
    <w:qFormat/>
    <w:uiPriority w:val="0"/>
    <w:pPr>
      <w:spacing w:after="120" w:line="480" w:lineRule="auto"/>
    </w:pPr>
  </w:style>
  <w:style w:type="paragraph" w:styleId="26">
    <w:name w:val="HTML Preformatted"/>
    <w:basedOn w:val="1"/>
    <w:link w:val="6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27">
    <w:name w:val="Normal (Web)"/>
    <w:basedOn w:val="1"/>
    <w:qFormat/>
    <w:uiPriority w:val="0"/>
    <w:pPr>
      <w:widowControl/>
      <w:jc w:val="left"/>
    </w:pPr>
    <w:rPr>
      <w:rFonts w:ascii="宋体" w:hAnsi="宋体" w:cs="宋体"/>
      <w:kern w:val="0"/>
      <w:sz w:val="24"/>
    </w:rPr>
  </w:style>
  <w:style w:type="paragraph" w:styleId="28">
    <w:name w:val="Title"/>
    <w:basedOn w:val="1"/>
    <w:next w:val="1"/>
    <w:link w:val="203"/>
    <w:qFormat/>
    <w:uiPriority w:val="0"/>
    <w:pPr>
      <w:spacing w:before="240" w:after="60"/>
      <w:jc w:val="center"/>
      <w:outlineLvl w:val="0"/>
    </w:pPr>
    <w:rPr>
      <w:rFonts w:ascii="Cambria" w:hAnsi="Cambria"/>
      <w:b/>
      <w:bCs/>
      <w:sz w:val="32"/>
      <w:szCs w:val="32"/>
    </w:rPr>
  </w:style>
  <w:style w:type="paragraph" w:styleId="29">
    <w:name w:val="annotation subject"/>
    <w:basedOn w:val="10"/>
    <w:next w:val="10"/>
    <w:link w:val="65"/>
    <w:qFormat/>
    <w:uiPriority w:val="0"/>
    <w:rPr>
      <w:b/>
      <w:bCs/>
    </w:r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0"/>
    <w:rPr>
      <w:b/>
      <w:bCs/>
    </w:rPr>
  </w:style>
  <w:style w:type="character" w:styleId="34">
    <w:name w:val="page number"/>
    <w:basedOn w:val="32"/>
    <w:qFormat/>
    <w:uiPriority w:val="0"/>
  </w:style>
  <w:style w:type="character" w:styleId="35">
    <w:name w:val="Hyperlink"/>
    <w:qFormat/>
    <w:uiPriority w:val="99"/>
    <w:rPr>
      <w:color w:val="136EC2"/>
      <w:u w:val="single"/>
    </w:rPr>
  </w:style>
  <w:style w:type="character" w:styleId="36">
    <w:name w:val="annotation reference"/>
    <w:qFormat/>
    <w:uiPriority w:val="0"/>
    <w:rPr>
      <w:sz w:val="21"/>
      <w:szCs w:val="21"/>
    </w:rPr>
  </w:style>
  <w:style w:type="character" w:customStyle="1" w:styleId="37">
    <w:name w:val="标题 1 Char"/>
    <w:basedOn w:val="32"/>
    <w:link w:val="2"/>
    <w:qFormat/>
    <w:uiPriority w:val="0"/>
    <w:rPr>
      <w:rFonts w:ascii="黑体" w:hAnsi="Times New Roman" w:eastAsia="宋体" w:cs="Times New Roman"/>
      <w:sz w:val="28"/>
      <w:szCs w:val="24"/>
    </w:rPr>
  </w:style>
  <w:style w:type="character" w:customStyle="1" w:styleId="38">
    <w:name w:val="标题 2 Char"/>
    <w:basedOn w:val="32"/>
    <w:link w:val="3"/>
    <w:qFormat/>
    <w:uiPriority w:val="0"/>
    <w:rPr>
      <w:rFonts w:ascii="黑体" w:hAnsi="Times New Roman" w:eastAsia="宋体" w:cs="Times New Roman"/>
      <w:color w:val="FF0000"/>
      <w:sz w:val="28"/>
      <w:szCs w:val="24"/>
    </w:rPr>
  </w:style>
  <w:style w:type="character" w:customStyle="1" w:styleId="39">
    <w:name w:val="标题 3 Char"/>
    <w:basedOn w:val="32"/>
    <w:link w:val="4"/>
    <w:qFormat/>
    <w:uiPriority w:val="99"/>
    <w:rPr>
      <w:rFonts w:ascii="Times New Roman" w:hAnsi="Times New Roman" w:eastAsia="宋体" w:cs="Times New Roman"/>
      <w:b/>
      <w:bCs/>
      <w:sz w:val="32"/>
      <w:szCs w:val="32"/>
    </w:rPr>
  </w:style>
  <w:style w:type="character" w:customStyle="1" w:styleId="40">
    <w:name w:val="标题 4 Char"/>
    <w:basedOn w:val="32"/>
    <w:link w:val="5"/>
    <w:qFormat/>
    <w:uiPriority w:val="0"/>
    <w:rPr>
      <w:rFonts w:ascii="Arial" w:hAnsi="Arial" w:eastAsia="黑体" w:cs="Times New Roman"/>
      <w:bCs/>
      <w:sz w:val="24"/>
      <w:szCs w:val="28"/>
    </w:rPr>
  </w:style>
  <w:style w:type="character" w:customStyle="1" w:styleId="41">
    <w:name w:val="标题 8 Char"/>
    <w:basedOn w:val="32"/>
    <w:link w:val="6"/>
    <w:qFormat/>
    <w:uiPriority w:val="0"/>
    <w:rPr>
      <w:rFonts w:ascii="Arial" w:hAnsi="Arial" w:eastAsia="黑体" w:cs="Times New Roman"/>
      <w:sz w:val="28"/>
      <w:szCs w:val="24"/>
    </w:rPr>
  </w:style>
  <w:style w:type="character" w:customStyle="1" w:styleId="42">
    <w:name w:val="标题 9 Char"/>
    <w:basedOn w:val="32"/>
    <w:link w:val="7"/>
    <w:qFormat/>
    <w:uiPriority w:val="0"/>
    <w:rPr>
      <w:rFonts w:ascii="Arial" w:hAnsi="Arial" w:eastAsia="黑体" w:cs="Times New Roman"/>
      <w:szCs w:val="21"/>
    </w:rPr>
  </w:style>
  <w:style w:type="character" w:customStyle="1" w:styleId="43">
    <w:name w:val="页眉 Char"/>
    <w:basedOn w:val="32"/>
    <w:link w:val="20"/>
    <w:qFormat/>
    <w:uiPriority w:val="99"/>
    <w:rPr>
      <w:sz w:val="18"/>
      <w:szCs w:val="18"/>
    </w:rPr>
  </w:style>
  <w:style w:type="character" w:customStyle="1" w:styleId="44">
    <w:name w:val="页脚 Char"/>
    <w:basedOn w:val="32"/>
    <w:link w:val="19"/>
    <w:qFormat/>
    <w:uiPriority w:val="99"/>
    <w:rPr>
      <w:sz w:val="18"/>
      <w:szCs w:val="18"/>
    </w:rPr>
  </w:style>
  <w:style w:type="character" w:customStyle="1" w:styleId="45">
    <w:name w:val="正文文本缩进 Char"/>
    <w:basedOn w:val="32"/>
    <w:link w:val="12"/>
    <w:qFormat/>
    <w:uiPriority w:val="0"/>
    <w:rPr>
      <w:rFonts w:ascii="Times New Roman" w:hAnsi="Times New Roman" w:eastAsia="宋体" w:cs="Times New Roman"/>
      <w:sz w:val="28"/>
      <w:szCs w:val="24"/>
    </w:rPr>
  </w:style>
  <w:style w:type="character" w:customStyle="1" w:styleId="46">
    <w:name w:val="正文文本缩进 2 Char"/>
    <w:basedOn w:val="32"/>
    <w:link w:val="17"/>
    <w:qFormat/>
    <w:uiPriority w:val="0"/>
    <w:rPr>
      <w:rFonts w:ascii="Times New Roman" w:hAnsi="Times New Roman" w:eastAsia="宋体" w:cs="Times New Roman"/>
      <w:sz w:val="28"/>
      <w:szCs w:val="24"/>
    </w:rPr>
  </w:style>
  <w:style w:type="character" w:customStyle="1" w:styleId="47">
    <w:name w:val="正文文本 2 Char"/>
    <w:basedOn w:val="32"/>
    <w:link w:val="25"/>
    <w:qFormat/>
    <w:uiPriority w:val="0"/>
    <w:rPr>
      <w:rFonts w:ascii="Times New Roman" w:hAnsi="Times New Roman" w:eastAsia="宋体" w:cs="Times New Roman"/>
      <w:szCs w:val="24"/>
    </w:rPr>
  </w:style>
  <w:style w:type="character" w:customStyle="1" w:styleId="48">
    <w:name w:val="日期 Char"/>
    <w:basedOn w:val="32"/>
    <w:link w:val="16"/>
    <w:qFormat/>
    <w:uiPriority w:val="0"/>
    <w:rPr>
      <w:rFonts w:ascii="Times New Roman" w:hAnsi="Times New Roman" w:eastAsia="宋体" w:cs="Times New Roman"/>
      <w:szCs w:val="24"/>
    </w:rPr>
  </w:style>
  <w:style w:type="character" w:customStyle="1" w:styleId="49">
    <w:name w:val="文档结构图 Char"/>
    <w:basedOn w:val="32"/>
    <w:link w:val="9"/>
    <w:qFormat/>
    <w:uiPriority w:val="0"/>
    <w:rPr>
      <w:rFonts w:ascii="Times New Roman" w:hAnsi="Times New Roman" w:eastAsia="宋体" w:cs="Times New Roman"/>
      <w:szCs w:val="24"/>
      <w:shd w:val="clear" w:color="auto" w:fill="000080"/>
    </w:rPr>
  </w:style>
  <w:style w:type="character" w:customStyle="1" w:styleId="50">
    <w:name w:val="批注框文本 Char"/>
    <w:basedOn w:val="32"/>
    <w:link w:val="18"/>
    <w:qFormat/>
    <w:uiPriority w:val="0"/>
    <w:rPr>
      <w:rFonts w:ascii="Times New Roman" w:hAnsi="Times New Roman" w:eastAsia="宋体" w:cs="Times New Roman"/>
      <w:sz w:val="18"/>
      <w:szCs w:val="18"/>
    </w:rPr>
  </w:style>
  <w:style w:type="paragraph" w:customStyle="1" w:styleId="5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2">
    <w:name w:val="Char Char Char Char Char Char Char"/>
    <w:basedOn w:val="1"/>
    <w:qFormat/>
    <w:uiPriority w:val="0"/>
    <w:pPr>
      <w:framePr w:hSpace="180" w:wrap="around" w:vAnchor="text" w:hAnchor="text" w:x="109" w:y="121"/>
      <w:tabs>
        <w:tab w:val="left" w:pos="4500"/>
      </w:tabs>
      <w:spacing w:line="360" w:lineRule="auto"/>
    </w:pPr>
    <w:rPr>
      <w:rFonts w:ascii="宋体" w:hAnsi="宋体"/>
      <w:szCs w:val="21"/>
    </w:rPr>
  </w:style>
  <w:style w:type="paragraph" w:customStyle="1" w:styleId="5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character" w:customStyle="1" w:styleId="54">
    <w:name w:val="正文文本缩进 3 Char"/>
    <w:basedOn w:val="32"/>
    <w:link w:val="23"/>
    <w:qFormat/>
    <w:uiPriority w:val="0"/>
    <w:rPr>
      <w:rFonts w:ascii="Times New Roman" w:hAnsi="Times New Roman" w:eastAsia="宋体" w:cs="Times New Roman"/>
      <w:szCs w:val="24"/>
    </w:rPr>
  </w:style>
  <w:style w:type="paragraph" w:customStyle="1" w:styleId="55">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章标题"/>
    <w:next w:val="56"/>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58">
    <w:name w:val="一级条标题"/>
    <w:basedOn w:val="57"/>
    <w:next w:val="56"/>
    <w:qFormat/>
    <w:uiPriority w:val="0"/>
    <w:pPr>
      <w:numPr>
        <w:ilvl w:val="2"/>
      </w:numPr>
      <w:spacing w:beforeLines="0" w:afterLines="0"/>
      <w:outlineLvl w:val="2"/>
    </w:pPr>
  </w:style>
  <w:style w:type="paragraph" w:customStyle="1" w:styleId="59">
    <w:name w:val="二级条标题"/>
    <w:basedOn w:val="58"/>
    <w:next w:val="56"/>
    <w:qFormat/>
    <w:uiPriority w:val="0"/>
    <w:pPr>
      <w:numPr>
        <w:ilvl w:val="3"/>
      </w:numPr>
      <w:outlineLvl w:val="3"/>
    </w:pPr>
  </w:style>
  <w:style w:type="paragraph" w:customStyle="1" w:styleId="60">
    <w:name w:val="三级条标题"/>
    <w:basedOn w:val="59"/>
    <w:next w:val="56"/>
    <w:qFormat/>
    <w:uiPriority w:val="0"/>
    <w:pPr>
      <w:numPr>
        <w:ilvl w:val="4"/>
      </w:numPr>
      <w:outlineLvl w:val="4"/>
    </w:pPr>
  </w:style>
  <w:style w:type="paragraph" w:customStyle="1" w:styleId="61">
    <w:name w:val="四级条标题"/>
    <w:basedOn w:val="60"/>
    <w:next w:val="56"/>
    <w:qFormat/>
    <w:uiPriority w:val="0"/>
    <w:pPr>
      <w:numPr>
        <w:ilvl w:val="5"/>
      </w:numPr>
      <w:outlineLvl w:val="5"/>
    </w:pPr>
  </w:style>
  <w:style w:type="paragraph" w:customStyle="1" w:styleId="62">
    <w:name w:val="五级条标题"/>
    <w:basedOn w:val="61"/>
    <w:next w:val="56"/>
    <w:qFormat/>
    <w:uiPriority w:val="0"/>
    <w:pPr>
      <w:numPr>
        <w:ilvl w:val="6"/>
      </w:numPr>
      <w:outlineLvl w:val="6"/>
    </w:pPr>
  </w:style>
  <w:style w:type="character" w:customStyle="1" w:styleId="63">
    <w:name w:val="段 Char"/>
    <w:qFormat/>
    <w:uiPriority w:val="0"/>
    <w:rPr>
      <w:rFonts w:ascii="宋体" w:eastAsia="宋体"/>
      <w:sz w:val="21"/>
      <w:lang w:val="en-US" w:eastAsia="zh-CN" w:bidi="ar-SA"/>
    </w:rPr>
  </w:style>
  <w:style w:type="character" w:customStyle="1" w:styleId="64">
    <w:name w:val="批注文字 Char"/>
    <w:basedOn w:val="32"/>
    <w:link w:val="10"/>
    <w:qFormat/>
    <w:uiPriority w:val="0"/>
    <w:rPr>
      <w:rFonts w:ascii="Times New Roman" w:hAnsi="Times New Roman" w:eastAsia="宋体" w:cs="Times New Roman"/>
      <w:szCs w:val="24"/>
    </w:rPr>
  </w:style>
  <w:style w:type="character" w:customStyle="1" w:styleId="65">
    <w:name w:val="批注主题 Char"/>
    <w:basedOn w:val="64"/>
    <w:link w:val="29"/>
    <w:qFormat/>
    <w:uiPriority w:val="0"/>
    <w:rPr>
      <w:rFonts w:ascii="Times New Roman" w:hAnsi="Times New Roman" w:eastAsia="宋体" w:cs="Times New Roman"/>
      <w:b/>
      <w:bCs/>
      <w:szCs w:val="24"/>
    </w:rPr>
  </w:style>
  <w:style w:type="character" w:customStyle="1" w:styleId="66">
    <w:name w:val="HTML 预设格式 Char"/>
    <w:basedOn w:val="32"/>
    <w:link w:val="26"/>
    <w:qFormat/>
    <w:uiPriority w:val="0"/>
    <w:rPr>
      <w:rFonts w:ascii="Arial" w:hAnsi="Arial" w:eastAsia="宋体" w:cs="Arial"/>
      <w:kern w:val="0"/>
      <w:szCs w:val="21"/>
    </w:rPr>
  </w:style>
  <w:style w:type="character" w:customStyle="1" w:styleId="67">
    <w:name w:val="纯文本 Char"/>
    <w:basedOn w:val="32"/>
    <w:link w:val="14"/>
    <w:qFormat/>
    <w:uiPriority w:val="0"/>
    <w:rPr>
      <w:rFonts w:ascii="宋体" w:hAnsi="Courier New" w:eastAsia="宋体" w:cs="Times New Roman"/>
      <w:szCs w:val="20"/>
    </w:rPr>
  </w:style>
  <w:style w:type="character" w:customStyle="1" w:styleId="68">
    <w:name w:val="Char Char"/>
    <w:qFormat/>
    <w:uiPriority w:val="0"/>
    <w:rPr>
      <w:rFonts w:eastAsia="宋体"/>
      <w:kern w:val="2"/>
      <w:sz w:val="21"/>
      <w:lang w:val="en-US" w:eastAsia="zh-CN" w:bidi="ar-SA"/>
    </w:rPr>
  </w:style>
  <w:style w:type="character" w:customStyle="1" w:styleId="69">
    <w:name w:val="标题 1 Char Char"/>
    <w:link w:val="70"/>
    <w:qFormat/>
    <w:uiPriority w:val="0"/>
    <w:rPr>
      <w:rFonts w:ascii="黑体" w:eastAsia="黑体"/>
      <w:color w:val="000000"/>
      <w:sz w:val="24"/>
      <w:szCs w:val="24"/>
    </w:rPr>
  </w:style>
  <w:style w:type="paragraph" w:customStyle="1" w:styleId="70">
    <w:name w:val="标题 1 New New New New New New New New New New New New New New New New New New New New New New New New New New New New New New New New New New New New New New New New New New New New New New New New New New New New New New New New New New New New New New"/>
    <w:basedOn w:val="1"/>
    <w:next w:val="1"/>
    <w:link w:val="69"/>
    <w:qFormat/>
    <w:uiPriority w:val="0"/>
    <w:pPr>
      <w:keepNext/>
      <w:tabs>
        <w:tab w:val="left" w:pos="425"/>
      </w:tabs>
      <w:snapToGrid w:val="0"/>
      <w:spacing w:beforeLines="50" w:afterLines="50" w:line="360" w:lineRule="auto"/>
      <w:jc w:val="left"/>
      <w:outlineLvl w:val="0"/>
    </w:pPr>
    <w:rPr>
      <w:rFonts w:ascii="黑体" w:eastAsia="黑体" w:hAnsiTheme="minorHAnsi" w:cstheme="minorBidi"/>
      <w:color w:val="000000"/>
      <w:sz w:val="24"/>
    </w:rPr>
  </w:style>
  <w:style w:type="character" w:customStyle="1" w:styleId="71">
    <w:name w:val="Char"/>
    <w:qFormat/>
    <w:uiPriority w:val="0"/>
    <w:rPr>
      <w:rFonts w:eastAsia="宋体"/>
      <w:kern w:val="2"/>
      <w:sz w:val="21"/>
      <w:lang w:val="en-US" w:eastAsia="zh-CN" w:bidi="ar-SA"/>
    </w:rPr>
  </w:style>
  <w:style w:type="character" w:customStyle="1" w:styleId="72">
    <w:name w:val="正文文本 Char"/>
    <w:link w:val="11"/>
    <w:qFormat/>
    <w:uiPriority w:val="0"/>
  </w:style>
  <w:style w:type="character" w:customStyle="1" w:styleId="73">
    <w:name w:val="标题 1 Char New New New New New New New New New New New New New New New New New New New New New New New New New New New New New New New New New New New New New New New New New New New New New New New New New New New New New New New New New New New New New"/>
    <w:qFormat/>
    <w:uiPriority w:val="0"/>
    <w:rPr>
      <w:rFonts w:ascii="黑体" w:eastAsia="黑体"/>
      <w:color w:val="000000"/>
      <w:sz w:val="24"/>
      <w:szCs w:val="24"/>
    </w:rPr>
  </w:style>
  <w:style w:type="paragraph" w:customStyle="1" w:styleId="74">
    <w:name w:val="标题 2 New New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75">
    <w:name w:val="标题 1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character" w:customStyle="1" w:styleId="76">
    <w:name w:val="正文文本 Char1"/>
    <w:basedOn w:val="32"/>
    <w:qFormat/>
    <w:uiPriority w:val="0"/>
    <w:rPr>
      <w:rFonts w:ascii="Times New Roman" w:hAnsi="Times New Roman" w:eastAsia="宋体" w:cs="Times New Roman"/>
      <w:szCs w:val="24"/>
    </w:rPr>
  </w:style>
  <w:style w:type="paragraph" w:customStyle="1" w:styleId="77">
    <w:name w:val="标题 1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78">
    <w:name w:val="标题 2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79">
    <w:name w:val="标题 1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80">
    <w:name w:val="样式A.1.1"/>
    <w:basedOn w:val="81"/>
    <w:qFormat/>
    <w:uiPriority w:val="0"/>
    <w:pPr>
      <w:tabs>
        <w:tab w:val="left" w:pos="360"/>
        <w:tab w:val="left" w:pos="420"/>
        <w:tab w:val="left" w:pos="709"/>
      </w:tabs>
      <w:spacing w:before="0" w:after="0" w:line="300" w:lineRule="auto"/>
      <w:ind w:left="360" w:hanging="360"/>
    </w:pPr>
    <w:rPr>
      <w:rFonts w:ascii="Arial" w:hAnsi="Arial" w:eastAsia="宋体" w:cs="Times New Roman"/>
      <w:bCs/>
      <w:kern w:val="2"/>
      <w:szCs w:val="24"/>
    </w:rPr>
  </w:style>
  <w:style w:type="paragraph" w:customStyle="1" w:styleId="81">
    <w:name w:val="样式 标题 3 + 左侧:  0 厘米 段前: 5 磅 段后: 5 磅 行距: 单倍行距"/>
    <w:basedOn w:val="4"/>
    <w:qFormat/>
    <w:uiPriority w:val="0"/>
    <w:pPr>
      <w:tabs>
        <w:tab w:val="left" w:pos="709"/>
      </w:tabs>
      <w:spacing w:before="100" w:after="100" w:line="240" w:lineRule="auto"/>
      <w:ind w:left="735"/>
      <w:jc w:val="left"/>
    </w:pPr>
    <w:rPr>
      <w:rFonts w:eastAsia="黑体" w:cs="宋体"/>
      <w:b w:val="0"/>
      <w:bCs w:val="0"/>
      <w:kern w:val="0"/>
      <w:sz w:val="24"/>
      <w:szCs w:val="20"/>
    </w:rPr>
  </w:style>
  <w:style w:type="paragraph" w:customStyle="1" w:styleId="82">
    <w:name w:val="标题 1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83">
    <w:name w:val="标题 2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84">
    <w:name w:val="标题 1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85">
    <w:name w:val="样式A1"/>
    <w:basedOn w:val="1"/>
    <w:qFormat/>
    <w:uiPriority w:val="0"/>
    <w:pPr>
      <w:tabs>
        <w:tab w:val="left" w:pos="420"/>
        <w:tab w:val="left" w:pos="450"/>
      </w:tabs>
      <w:ind w:left="450" w:hanging="450"/>
    </w:pPr>
    <w:rPr>
      <w:sz w:val="24"/>
      <w:szCs w:val="20"/>
    </w:rPr>
  </w:style>
  <w:style w:type="paragraph" w:customStyle="1" w:styleId="86">
    <w:name w:val="标题 2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87">
    <w:name w:val="标题 2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88">
    <w:name w:val="标题 2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89">
    <w:name w:val="标题 2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90">
    <w:name w:val="标题 1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91">
    <w:name w:val="标题 1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92">
    <w:name w:val="标题 2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93">
    <w:name w:val="标题 2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94">
    <w:name w:val="标题 2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95">
    <w:name w:val="标题 2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96">
    <w:name w:val="标题 2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97">
    <w:name w:val="标题 2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98">
    <w:name w:val="标题 1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99">
    <w:name w:val="标题 2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00">
    <w:name w:val="标题 2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01">
    <w:name w:val="标题 1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02">
    <w:name w:val="标题 2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03">
    <w:name w:val="标题 1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04">
    <w:name w:val="标题 2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05">
    <w:name w:val="标题 2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06">
    <w:name w:val="标题 2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07">
    <w:name w:val="标题 1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08">
    <w:name w:val="标题 1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09">
    <w:name w:val="标题 2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10">
    <w:name w:val="标题 1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11">
    <w:name w:val="标题 1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12">
    <w:name w:val="标题 1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13">
    <w:name w:val="标题 1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14">
    <w:name w:val="标题 2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15">
    <w:name w:val="Char Char1"/>
    <w:basedOn w:val="1"/>
    <w:qFormat/>
    <w:uiPriority w:val="0"/>
    <w:rPr>
      <w:rFonts w:ascii="Tahoma" w:hAnsi="Tahoma"/>
      <w:sz w:val="24"/>
      <w:szCs w:val="20"/>
    </w:rPr>
  </w:style>
  <w:style w:type="paragraph" w:customStyle="1" w:styleId="116">
    <w:name w:val="标题 1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17">
    <w:name w:val="标题 2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18">
    <w:name w:val="标题 1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19">
    <w:name w:val="标题 1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20">
    <w:name w:val="标题 1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21">
    <w:name w:val="标题 1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22">
    <w:name w:val="标题 1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23">
    <w:name w:val="标题 2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24">
    <w:name w:val="标题 1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25">
    <w:name w:val="标题 1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26">
    <w:name w:val="标题 1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27">
    <w:name w:val="标题 1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28">
    <w:name w:val="标题 2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29">
    <w:name w:val="标题 1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30">
    <w:name w:val="标题 1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31">
    <w:name w:val="标题 1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32">
    <w:name w:val="标题 2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33">
    <w:name w:val="标题 2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34">
    <w:name w:val="标题 2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35">
    <w:name w:val="标题 2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36">
    <w:name w:val="标题 1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37">
    <w:name w:val="标题 1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38">
    <w:name w:val="标题 2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39">
    <w:name w:val="标题 2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40">
    <w:name w:val="标题 1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41">
    <w:name w:val="标题 2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42">
    <w:name w:val="标题 1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43">
    <w:name w:val="标题 1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44">
    <w:name w:val="标题 2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45">
    <w:name w:val="标题 1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46">
    <w:name w:val="标题 1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47">
    <w:name w:val="标题 1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48">
    <w:name w:val="标题 1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49">
    <w:name w:val="标题 1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50">
    <w:name w:val="标题 1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51">
    <w:name w:val="标题 1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52">
    <w:name w:val="标题 2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53">
    <w:name w:val="标题 1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54">
    <w:name w:val="标题 2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55">
    <w:name w:val="标题 1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56">
    <w:name w:val="标题 2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57">
    <w:name w:val="标题 1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58">
    <w:name w:val="标题 2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59">
    <w:name w:val="标题 1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60">
    <w:name w:val="标题 2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61">
    <w:name w:val="标题 1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62">
    <w:name w:val="标题 1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63">
    <w:name w:val="标题 2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64">
    <w:name w:val="标题 2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65">
    <w:name w:val="标题 2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66">
    <w:name w:val="标题 2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67">
    <w:name w:val="标题 2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68">
    <w:name w:val="标题 1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69">
    <w:name w:val="标题 2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70">
    <w:name w:val="标题 1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71">
    <w:name w:val="标题 2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72">
    <w:name w:val="标题 2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73">
    <w:name w:val="标题 1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74">
    <w:name w:val="标题 1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75">
    <w:name w:val="标题 1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76">
    <w:name w:val="标题 1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77">
    <w:name w:val="标题 1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78">
    <w:name w:val="标题 1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79">
    <w:name w:val="标题 1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80">
    <w:name w:val="标题 1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81">
    <w:name w:val="标题 1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82">
    <w:name w:val="标题 2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83">
    <w:name w:val="标题 2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84">
    <w:name w:val="标题 2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85">
    <w:name w:val="标题 1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86">
    <w:name w:val="标题 2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87">
    <w:name w:val="标题 1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88">
    <w:name w:val="标题 2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89">
    <w:name w:val="标题 1 New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tabs>
        <w:tab w:val="left" w:pos="425"/>
      </w:tabs>
      <w:snapToGrid w:val="0"/>
      <w:spacing w:beforeLines="50" w:afterLines="50" w:line="360" w:lineRule="auto"/>
      <w:jc w:val="left"/>
      <w:outlineLvl w:val="0"/>
    </w:pPr>
    <w:rPr>
      <w:rFonts w:ascii="黑体" w:eastAsia="黑体"/>
      <w:color w:val="000000"/>
      <w:sz w:val="24"/>
    </w:rPr>
  </w:style>
  <w:style w:type="paragraph" w:customStyle="1" w:styleId="190">
    <w:name w:val="标题 2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1">
    <w:name w:val="标题 2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2">
    <w:name w:val="标题 2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3">
    <w:name w:val="标题 2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4">
    <w:name w:val="标题 2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5">
    <w:name w:val="标题 2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6">
    <w:name w:val="标题 2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7">
    <w:name w:val="标题 2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8">
    <w:name w:val="标题 2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199">
    <w:name w:val="标题 2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200">
    <w:name w:val="标题 2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201">
    <w:name w:val="标题 2 New New New New New New New New New New New New New New New New New New New New New New New New New New New New New New New New New New New New New New New New New New New New New New New New New New New New New New New New New New New New New"/>
    <w:basedOn w:val="1"/>
    <w:next w:val="1"/>
    <w:qFormat/>
    <w:uiPriority w:val="0"/>
    <w:pPr>
      <w:keepNext/>
      <w:keepLines/>
      <w:tabs>
        <w:tab w:val="left" w:pos="567"/>
      </w:tabs>
      <w:snapToGrid w:val="0"/>
      <w:spacing w:beforeLines="50" w:line="360" w:lineRule="auto"/>
      <w:jc w:val="left"/>
      <w:outlineLvl w:val="1"/>
    </w:pPr>
    <w:rPr>
      <w:rFonts w:ascii="宋体" w:hAnsi="宋体"/>
      <w:bCs/>
      <w:kern w:val="0"/>
      <w:sz w:val="24"/>
    </w:rPr>
  </w:style>
  <w:style w:type="paragraph" w:customStyle="1" w:styleId="202">
    <w:name w:val="无间隔1"/>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203">
    <w:name w:val="标题 Char"/>
    <w:basedOn w:val="32"/>
    <w:link w:val="28"/>
    <w:qFormat/>
    <w:uiPriority w:val="0"/>
    <w:rPr>
      <w:rFonts w:ascii="Cambria" w:hAnsi="Cambria" w:eastAsia="宋体" w:cs="Times New Roman"/>
      <w:b/>
      <w:bCs/>
      <w:sz w:val="32"/>
      <w:szCs w:val="32"/>
    </w:rPr>
  </w:style>
  <w:style w:type="paragraph" w:customStyle="1" w:styleId="204">
    <w:name w:val="TOC 标题1"/>
    <w:basedOn w:val="2"/>
    <w:next w:val="1"/>
    <w:qFormat/>
    <w:uiPriority w:val="39"/>
    <w:pPr>
      <w:keepLines/>
      <w:widowControl/>
      <w:spacing w:before="480" w:line="276" w:lineRule="auto"/>
      <w:ind w:firstLine="0" w:firstLineChars="0"/>
      <w:jc w:val="left"/>
      <w:outlineLvl w:val="9"/>
    </w:pPr>
    <w:rPr>
      <w:rFonts w:ascii="Cambria" w:hAnsi="Cambria"/>
      <w:b/>
      <w:bCs/>
      <w:color w:val="365F91"/>
      <w:kern w:val="0"/>
      <w:szCs w:val="28"/>
    </w:rPr>
  </w:style>
  <w:style w:type="paragraph" w:customStyle="1" w:styleId="205">
    <w:name w:val="列出段落1"/>
    <w:basedOn w:val="1"/>
    <w:qFormat/>
    <w:uiPriority w:val="99"/>
    <w:pPr>
      <w:ind w:firstLine="420" w:firstLineChars="200"/>
    </w:pPr>
  </w:style>
  <w:style w:type="paragraph" w:customStyle="1" w:styleId="206">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207">
    <w:name w:val="占位符文本1"/>
    <w:basedOn w:val="32"/>
    <w:semiHidden/>
    <w:qFormat/>
    <w:uiPriority w:val="99"/>
    <w:rPr>
      <w:color w:val="808080"/>
    </w:rPr>
  </w:style>
  <w:style w:type="paragraph" w:customStyle="1" w:styleId="208">
    <w:name w:val="Char Char Char Char Char Char1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09">
    <w:name w:val="Char Char Char Char Char Char1 Char Char Char Char1"/>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10">
    <w:name w:val="Char Char Char Char Char Char1 Char Char Char Char2"/>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11">
    <w:name w:val="Char Char Char Char Char Char1 Char Char Char Char3"/>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12">
    <w:name w:val="Char Char Char Char Char Char1 Char Char Char Char4"/>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13">
    <w:name w:val="Char Char Char Char Char Char1 Char Char Char Char5"/>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14">
    <w:name w:val="Char Char Char Char Char Char1 Char Char Char Char6"/>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15">
    <w:name w:val="Char Char Char Char Char Char1 Char Char Char Char7"/>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16">
    <w:name w:val="Char Char Char Char Char Char1 Char Char Char Char8"/>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17">
    <w:name w:val="正文表标题"/>
    <w:next w:val="56"/>
    <w:qFormat/>
    <w:uiPriority w:val="0"/>
    <w:pPr>
      <w:jc w:val="center"/>
    </w:pPr>
    <w:rPr>
      <w:rFonts w:ascii="黑体" w:hAnsi="Times New Roman" w:eastAsia="黑体" w:cs="Times New Roman"/>
      <w:sz w:val="21"/>
      <w:lang w:val="en-US" w:eastAsia="zh-CN" w:bidi="ar-SA"/>
    </w:rPr>
  </w:style>
  <w:style w:type="table" w:customStyle="1" w:styleId="218">
    <w:name w:val="Table Normal"/>
    <w:unhideWhenUsed/>
    <w:qFormat/>
    <w:uiPriority w:val="0"/>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219">
    <w:name w:val="Table Paragraph"/>
    <w:basedOn w:val="1"/>
    <w:qFormat/>
    <w:uiPriority w:val="1"/>
    <w:pPr>
      <w:autoSpaceDE w:val="0"/>
      <w:autoSpaceDN w:val="0"/>
      <w:jc w:val="left"/>
    </w:pPr>
    <w:rPr>
      <w:rFonts w:ascii="宋体" w:hAnsi="宋体" w:cs="宋体"/>
      <w:kern w:val="0"/>
      <w:sz w:val="22"/>
      <w:szCs w:val="22"/>
      <w:lang w:eastAsia="en-US"/>
    </w:rPr>
  </w:style>
  <w:style w:type="paragraph" w:styleId="220">
    <w:name w:val="List Paragraph"/>
    <w:basedOn w:val="1"/>
    <w:qFormat/>
    <w:uiPriority w:val="34"/>
    <w:pPr>
      <w:ind w:firstLine="420" w:firstLineChars="200"/>
    </w:pPr>
  </w:style>
  <w:style w:type="character" w:styleId="221">
    <w:name w:val="Placeholder Text"/>
    <w:basedOn w:val="32"/>
    <w:unhideWhenUsed/>
    <w:qFormat/>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37.wmf"/><Relationship Id="rId97" Type="http://schemas.openxmlformats.org/officeDocument/2006/relationships/oleObject" Target="embeddings/oleObject43.bin"/><Relationship Id="rId96" Type="http://schemas.openxmlformats.org/officeDocument/2006/relationships/image" Target="media/image36.wmf"/><Relationship Id="rId95" Type="http://schemas.openxmlformats.org/officeDocument/2006/relationships/oleObject" Target="embeddings/oleObject42.bin"/><Relationship Id="rId94" Type="http://schemas.openxmlformats.org/officeDocument/2006/relationships/oleObject" Target="embeddings/oleObject41.bin"/><Relationship Id="rId93" Type="http://schemas.openxmlformats.org/officeDocument/2006/relationships/image" Target="media/image35.wmf"/><Relationship Id="rId92" Type="http://schemas.openxmlformats.org/officeDocument/2006/relationships/oleObject" Target="embeddings/oleObject40.bin"/><Relationship Id="rId91" Type="http://schemas.openxmlformats.org/officeDocument/2006/relationships/image" Target="media/image34.wmf"/><Relationship Id="rId90" Type="http://schemas.openxmlformats.org/officeDocument/2006/relationships/oleObject" Target="embeddings/oleObject39.bin"/><Relationship Id="rId9" Type="http://schemas.openxmlformats.org/officeDocument/2006/relationships/header" Target="header3.xml"/><Relationship Id="rId89" Type="http://schemas.openxmlformats.org/officeDocument/2006/relationships/image" Target="media/image33.wmf"/><Relationship Id="rId88" Type="http://schemas.openxmlformats.org/officeDocument/2006/relationships/oleObject" Target="embeddings/oleObject38.bin"/><Relationship Id="rId87" Type="http://schemas.openxmlformats.org/officeDocument/2006/relationships/image" Target="media/image32.wmf"/><Relationship Id="rId86" Type="http://schemas.openxmlformats.org/officeDocument/2006/relationships/oleObject" Target="embeddings/oleObject37.bin"/><Relationship Id="rId85" Type="http://schemas.openxmlformats.org/officeDocument/2006/relationships/image" Target="media/image31.wmf"/><Relationship Id="rId84" Type="http://schemas.openxmlformats.org/officeDocument/2006/relationships/oleObject" Target="embeddings/oleObject36.bin"/><Relationship Id="rId83" Type="http://schemas.openxmlformats.org/officeDocument/2006/relationships/image" Target="media/image30.wmf"/><Relationship Id="rId82" Type="http://schemas.openxmlformats.org/officeDocument/2006/relationships/oleObject" Target="embeddings/oleObject35.bin"/><Relationship Id="rId81" Type="http://schemas.openxmlformats.org/officeDocument/2006/relationships/image" Target="media/image29.wmf"/><Relationship Id="rId80" Type="http://schemas.openxmlformats.org/officeDocument/2006/relationships/oleObject" Target="embeddings/oleObject34.bin"/><Relationship Id="rId8" Type="http://schemas.openxmlformats.org/officeDocument/2006/relationships/header" Target="header2.xml"/><Relationship Id="rId79" Type="http://schemas.openxmlformats.org/officeDocument/2006/relationships/oleObject" Target="embeddings/oleObject33.bin"/><Relationship Id="rId78" Type="http://schemas.openxmlformats.org/officeDocument/2006/relationships/image" Target="media/image28.wmf"/><Relationship Id="rId77" Type="http://schemas.openxmlformats.org/officeDocument/2006/relationships/oleObject" Target="embeddings/oleObject32.bin"/><Relationship Id="rId76" Type="http://schemas.openxmlformats.org/officeDocument/2006/relationships/oleObject" Target="embeddings/oleObject31.bin"/><Relationship Id="rId75" Type="http://schemas.openxmlformats.org/officeDocument/2006/relationships/oleObject" Target="embeddings/oleObject30.bin"/><Relationship Id="rId74" Type="http://schemas.openxmlformats.org/officeDocument/2006/relationships/image" Target="media/image27.wmf"/><Relationship Id="rId73" Type="http://schemas.openxmlformats.org/officeDocument/2006/relationships/oleObject" Target="embeddings/oleObject29.bin"/><Relationship Id="rId72" Type="http://schemas.openxmlformats.org/officeDocument/2006/relationships/image" Target="media/image26.wmf"/><Relationship Id="rId71" Type="http://schemas.openxmlformats.org/officeDocument/2006/relationships/oleObject" Target="embeddings/oleObject28.bin"/><Relationship Id="rId70" Type="http://schemas.openxmlformats.org/officeDocument/2006/relationships/image" Target="media/image25.wmf"/><Relationship Id="rId7" Type="http://schemas.openxmlformats.org/officeDocument/2006/relationships/footer" Target="footer4.xml"/><Relationship Id="rId69" Type="http://schemas.openxmlformats.org/officeDocument/2006/relationships/oleObject" Target="embeddings/oleObject27.bin"/><Relationship Id="rId68" Type="http://schemas.openxmlformats.org/officeDocument/2006/relationships/image" Target="media/image24.wmf"/><Relationship Id="rId67" Type="http://schemas.openxmlformats.org/officeDocument/2006/relationships/oleObject" Target="embeddings/oleObject26.bin"/><Relationship Id="rId66" Type="http://schemas.openxmlformats.org/officeDocument/2006/relationships/image" Target="media/image23.wmf"/><Relationship Id="rId65" Type="http://schemas.openxmlformats.org/officeDocument/2006/relationships/oleObject" Target="embeddings/oleObject25.bin"/><Relationship Id="rId64" Type="http://schemas.openxmlformats.org/officeDocument/2006/relationships/image" Target="media/image22.wmf"/><Relationship Id="rId63" Type="http://schemas.openxmlformats.org/officeDocument/2006/relationships/oleObject" Target="embeddings/oleObject24.bin"/><Relationship Id="rId62" Type="http://schemas.openxmlformats.org/officeDocument/2006/relationships/image" Target="media/image21.wmf"/><Relationship Id="rId61" Type="http://schemas.openxmlformats.org/officeDocument/2006/relationships/oleObject" Target="embeddings/oleObject23.bin"/><Relationship Id="rId60" Type="http://schemas.openxmlformats.org/officeDocument/2006/relationships/image" Target="media/image20.wmf"/><Relationship Id="rId6" Type="http://schemas.openxmlformats.org/officeDocument/2006/relationships/footer" Target="footer3.xml"/><Relationship Id="rId59" Type="http://schemas.openxmlformats.org/officeDocument/2006/relationships/oleObject" Target="embeddings/oleObject22.bin"/><Relationship Id="rId58" Type="http://schemas.openxmlformats.org/officeDocument/2006/relationships/image" Target="media/image19.wmf"/><Relationship Id="rId57" Type="http://schemas.openxmlformats.org/officeDocument/2006/relationships/oleObject" Target="embeddings/oleObject21.bin"/><Relationship Id="rId56" Type="http://schemas.openxmlformats.org/officeDocument/2006/relationships/oleObject" Target="embeddings/oleObject20.bin"/><Relationship Id="rId55" Type="http://schemas.openxmlformats.org/officeDocument/2006/relationships/image" Target="media/image18.wmf"/><Relationship Id="rId54" Type="http://schemas.openxmlformats.org/officeDocument/2006/relationships/oleObject" Target="embeddings/oleObject19.bin"/><Relationship Id="rId53" Type="http://schemas.openxmlformats.org/officeDocument/2006/relationships/image" Target="media/image17.wmf"/><Relationship Id="rId52" Type="http://schemas.openxmlformats.org/officeDocument/2006/relationships/oleObject" Target="embeddings/oleObject18.bin"/><Relationship Id="rId51" Type="http://schemas.openxmlformats.org/officeDocument/2006/relationships/image" Target="media/image16.wmf"/><Relationship Id="rId50" Type="http://schemas.openxmlformats.org/officeDocument/2006/relationships/oleObject" Target="embeddings/oleObject17.bin"/><Relationship Id="rId5" Type="http://schemas.openxmlformats.org/officeDocument/2006/relationships/footer" Target="footer2.xml"/><Relationship Id="rId49" Type="http://schemas.openxmlformats.org/officeDocument/2006/relationships/image" Target="media/image15.wmf"/><Relationship Id="rId48" Type="http://schemas.openxmlformats.org/officeDocument/2006/relationships/oleObject" Target="embeddings/oleObject16.bin"/><Relationship Id="rId47" Type="http://schemas.openxmlformats.org/officeDocument/2006/relationships/image" Target="media/image14.wmf"/><Relationship Id="rId46" Type="http://schemas.openxmlformats.org/officeDocument/2006/relationships/oleObject" Target="embeddings/oleObject15.bin"/><Relationship Id="rId45" Type="http://schemas.openxmlformats.org/officeDocument/2006/relationships/image" Target="media/image13.wmf"/><Relationship Id="rId44" Type="http://schemas.openxmlformats.org/officeDocument/2006/relationships/oleObject" Target="embeddings/oleObject14.bin"/><Relationship Id="rId43" Type="http://schemas.openxmlformats.org/officeDocument/2006/relationships/image" Target="media/image12.wmf"/><Relationship Id="rId42" Type="http://schemas.openxmlformats.org/officeDocument/2006/relationships/oleObject" Target="embeddings/oleObject13.bin"/><Relationship Id="rId41" Type="http://schemas.openxmlformats.org/officeDocument/2006/relationships/image" Target="media/image11.wmf"/><Relationship Id="rId40" Type="http://schemas.openxmlformats.org/officeDocument/2006/relationships/oleObject" Target="embeddings/oleObject12.bin"/><Relationship Id="rId4" Type="http://schemas.openxmlformats.org/officeDocument/2006/relationships/footer" Target="footer1.xml"/><Relationship Id="rId39" Type="http://schemas.openxmlformats.org/officeDocument/2006/relationships/image" Target="media/image10.wmf"/><Relationship Id="rId38" Type="http://schemas.openxmlformats.org/officeDocument/2006/relationships/oleObject" Target="embeddings/oleObject11.bin"/><Relationship Id="rId37" Type="http://schemas.openxmlformats.org/officeDocument/2006/relationships/image" Target="media/image9.wmf"/><Relationship Id="rId36" Type="http://schemas.openxmlformats.org/officeDocument/2006/relationships/oleObject" Target="embeddings/oleObject10.bin"/><Relationship Id="rId35" Type="http://schemas.openxmlformats.org/officeDocument/2006/relationships/image" Target="media/image8.wmf"/><Relationship Id="rId34" Type="http://schemas.openxmlformats.org/officeDocument/2006/relationships/oleObject" Target="embeddings/oleObject9.bin"/><Relationship Id="rId33" Type="http://schemas.openxmlformats.org/officeDocument/2006/relationships/image" Target="media/image7.wmf"/><Relationship Id="rId32" Type="http://schemas.openxmlformats.org/officeDocument/2006/relationships/oleObject" Target="embeddings/oleObject8.bin"/><Relationship Id="rId31" Type="http://schemas.openxmlformats.org/officeDocument/2006/relationships/image" Target="media/image6.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5.wmf"/><Relationship Id="rId27" Type="http://schemas.openxmlformats.org/officeDocument/2006/relationships/oleObject" Target="embeddings/oleObject5.bin"/><Relationship Id="rId26" Type="http://schemas.openxmlformats.org/officeDocument/2006/relationships/image" Target="media/image4.wmf"/><Relationship Id="rId25" Type="http://schemas.openxmlformats.org/officeDocument/2006/relationships/oleObject" Target="embeddings/oleObject4.bin"/><Relationship Id="rId24" Type="http://schemas.openxmlformats.org/officeDocument/2006/relationships/image" Target="media/image3.wmf"/><Relationship Id="rId23" Type="http://schemas.openxmlformats.org/officeDocument/2006/relationships/oleObject" Target="embeddings/oleObject3.bin"/><Relationship Id="rId22" Type="http://schemas.openxmlformats.org/officeDocument/2006/relationships/image" Target="media/image2.wmf"/><Relationship Id="rId21" Type="http://schemas.openxmlformats.org/officeDocument/2006/relationships/oleObject" Target="embeddings/oleObject2.bin"/><Relationship Id="rId20" Type="http://schemas.openxmlformats.org/officeDocument/2006/relationships/image" Target="media/image1.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theme" Target="theme/theme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6" Type="http://schemas.openxmlformats.org/officeDocument/2006/relationships/fontTable" Target="fontTable.xml"/><Relationship Id="rId105" Type="http://schemas.openxmlformats.org/officeDocument/2006/relationships/customXml" Target="../customXml/item2.xml"/><Relationship Id="rId104" Type="http://schemas.openxmlformats.org/officeDocument/2006/relationships/numbering" Target="numbering.xml"/><Relationship Id="rId103" Type="http://schemas.openxmlformats.org/officeDocument/2006/relationships/customXml" Target="../customXml/item1.xml"/><Relationship Id="rId102" Type="http://schemas.openxmlformats.org/officeDocument/2006/relationships/image" Target="media/image39.wmf"/><Relationship Id="rId101" Type="http://schemas.openxmlformats.org/officeDocument/2006/relationships/oleObject" Target="embeddings/oleObject45.bin"/><Relationship Id="rId100" Type="http://schemas.openxmlformats.org/officeDocument/2006/relationships/image" Target="media/image38.wmf"/><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DCB13D-ABBC-4E76-AC34-A28CFE70066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4310</Words>
  <Characters>5099</Characters>
  <Lines>91</Lines>
  <Paragraphs>25</Paragraphs>
  <TotalTime>3</TotalTime>
  <ScaleCrop>false</ScaleCrop>
  <LinksUpToDate>false</LinksUpToDate>
  <CharactersWithSpaces>5366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2024-04-27T03:05:00Z</dcterms:created>
  <dc:creator>Lenovo</dc:creator>
  <cp:lastModifiedBy>WPS_1499004857</cp:lastModifiedBy>
  <cp:lastPrinted>2021-09-17T00:44:00Z</cp:lastPrinted>
  <dcterms:modified xsi:type="dcterms:W3CDTF">2024-10-28T09:41:05Z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2052-12.1.0.18608</vt:lpwstr>
  </property>
  <property fmtid="{D5CDD505-2E9C-101B-9397-08002B2CF9AE}" pid="4" name="ICV">
    <vt:lpwstr>93F96EA12D03452CB720B1428D89FD19_13</vt:lpwstr>
  </property>
</Properties>
</file>