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360" w:lineRule="auto"/>
        <w:jc w:val="center"/>
        <w:rPr>
          <w:rFonts w:hint="default" w:ascii="Times New Roman" w:hAnsi="Times New Roman" w:eastAsia="宋体" w:cs="Times New Roman"/>
          <w:b/>
          <w:bCs/>
          <w:color w:val="000000"/>
          <w:kern w:val="0"/>
          <w:sz w:val="43"/>
          <w:szCs w:val="43"/>
          <w:lang w:val="en-US" w:eastAsia="zh-CN" w:bidi="ar"/>
        </w:rPr>
      </w:pPr>
    </w:p>
    <w:p>
      <w:pPr>
        <w:keepNext w:val="0"/>
        <w:keepLines w:val="0"/>
        <w:widowControl/>
        <w:suppressLineNumbers w:val="0"/>
        <w:spacing w:line="360" w:lineRule="auto"/>
        <w:jc w:val="center"/>
        <w:rPr>
          <w:rFonts w:hint="default" w:ascii="Times New Roman" w:hAnsi="Times New Roman" w:eastAsia="宋体" w:cs="Times New Roman"/>
          <w:b/>
          <w:bCs/>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000000"/>
          <w:kern w:val="0"/>
          <w:sz w:val="43"/>
          <w:szCs w:val="43"/>
          <w:lang w:val="en-US" w:eastAsia="zh-CN" w:bidi="ar"/>
        </w:rPr>
      </w:pPr>
      <w:r>
        <w:rPr>
          <w:rFonts w:hint="eastAsia" w:ascii="宋体" w:hAnsi="宋体" w:eastAsia="宋体" w:cs="宋体"/>
          <w:b/>
          <w:bCs/>
          <w:color w:val="000000"/>
          <w:kern w:val="0"/>
          <w:sz w:val="43"/>
          <w:szCs w:val="43"/>
          <w:lang w:val="en-US" w:eastAsia="zh-CN" w:bidi="ar"/>
        </w:rPr>
        <w:t>《</w:t>
      </w:r>
      <w:r>
        <w:rPr>
          <w:rFonts w:hint="eastAsia" w:ascii="宋体" w:hAnsi="宋体" w:cs="宋体"/>
          <w:b/>
          <w:bCs/>
          <w:color w:val="000000"/>
          <w:kern w:val="0"/>
          <w:sz w:val="43"/>
          <w:szCs w:val="43"/>
          <w:lang w:val="en-US" w:eastAsia="zh-CN" w:bidi="ar"/>
        </w:rPr>
        <w:t>环境空气二氧化碳在线监测仪</w:t>
      </w:r>
    </w:p>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360" w:lineRule="auto"/>
        <w:jc w:val="center"/>
        <w:textAlignment w:val="auto"/>
        <w:rPr>
          <w:b/>
          <w:bCs/>
        </w:rPr>
      </w:pPr>
      <w:r>
        <w:rPr>
          <w:rFonts w:hint="eastAsia" w:ascii="宋体" w:hAnsi="宋体" w:eastAsia="宋体" w:cs="宋体"/>
          <w:b/>
          <w:bCs/>
          <w:color w:val="000000"/>
          <w:kern w:val="0"/>
          <w:sz w:val="43"/>
          <w:szCs w:val="43"/>
          <w:lang w:val="en-US" w:eastAsia="zh-CN" w:bidi="ar"/>
        </w:rPr>
        <w:t>计量技术规范》</w:t>
      </w: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编</w:t>
      </w:r>
    </w:p>
    <w:p>
      <w:pPr>
        <w:keepNext w:val="0"/>
        <w:keepLines w:val="0"/>
        <w:widowControl/>
        <w:suppressLineNumbers w:val="0"/>
        <w:spacing w:line="360" w:lineRule="auto"/>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制</w:t>
      </w:r>
    </w:p>
    <w:p>
      <w:pPr>
        <w:keepNext w:val="0"/>
        <w:keepLines w:val="0"/>
        <w:widowControl/>
        <w:suppressLineNumbers w:val="0"/>
        <w:spacing w:line="360" w:lineRule="auto"/>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说</w:t>
      </w:r>
    </w:p>
    <w:p>
      <w:pPr>
        <w:keepNext w:val="0"/>
        <w:keepLines w:val="0"/>
        <w:widowControl/>
        <w:suppressLineNumbers w:val="0"/>
        <w:spacing w:line="360" w:lineRule="auto"/>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明</w:t>
      </w: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pPr>
      <w:r>
        <w:rPr>
          <w:rFonts w:hint="eastAsia" w:ascii="宋体" w:hAnsi="宋体" w:eastAsia="宋体" w:cs="宋体"/>
          <w:b/>
          <w:bCs/>
          <w:color w:val="000000"/>
          <w:kern w:val="0"/>
          <w:sz w:val="31"/>
          <w:szCs w:val="31"/>
          <w:lang w:val="en-US" w:eastAsia="zh-CN" w:bidi="ar"/>
        </w:rPr>
        <w:t>规范起草组</w:t>
      </w:r>
    </w:p>
    <w:p>
      <w:pPr>
        <w:keepNext w:val="0"/>
        <w:keepLines w:val="0"/>
        <w:widowControl/>
        <w:suppressLineNumbers w:val="0"/>
        <w:spacing w:line="360" w:lineRule="auto"/>
        <w:jc w:val="center"/>
      </w:pPr>
      <w:r>
        <w:rPr>
          <w:rFonts w:hint="default" w:ascii="Times New Roman" w:hAnsi="Times New Roman" w:eastAsia="宋体" w:cs="Times New Roman"/>
          <w:b/>
          <w:bCs/>
          <w:color w:val="000000"/>
          <w:kern w:val="0"/>
          <w:sz w:val="31"/>
          <w:szCs w:val="31"/>
          <w:lang w:val="en-US" w:eastAsia="zh-CN" w:bidi="ar"/>
        </w:rPr>
        <w:t>202</w:t>
      </w:r>
      <w:r>
        <w:rPr>
          <w:rFonts w:hint="default" w:ascii="Times New Roman" w:hAnsi="Times New Roman" w:cs="Times New Roman"/>
          <w:b/>
          <w:bCs/>
          <w:color w:val="000000"/>
          <w:kern w:val="0"/>
          <w:sz w:val="31"/>
          <w:szCs w:val="31"/>
          <w:lang w:val="en-US" w:eastAsia="zh-CN" w:bidi="ar"/>
        </w:rPr>
        <w:t>4</w:t>
      </w:r>
      <w:r>
        <w:rPr>
          <w:rFonts w:hint="default" w:ascii="Times New Roman" w:hAnsi="Times New Roman" w:eastAsia="宋体" w:cs="Times New Roman"/>
          <w:b/>
          <w:bCs/>
          <w:color w:val="000000"/>
          <w:kern w:val="0"/>
          <w:sz w:val="31"/>
          <w:szCs w:val="31"/>
          <w:lang w:val="en-US" w:eastAsia="zh-CN" w:bidi="ar"/>
        </w:rPr>
        <w:t xml:space="preserve"> 年</w:t>
      </w:r>
      <w:r>
        <w:rPr>
          <w:rFonts w:hint="eastAsia" w:cs="Times New Roman"/>
          <w:b/>
          <w:bCs/>
          <w:color w:val="000000"/>
          <w:kern w:val="0"/>
          <w:sz w:val="31"/>
          <w:szCs w:val="31"/>
          <w:lang w:val="en-US" w:eastAsia="zh-CN" w:bidi="ar"/>
        </w:rPr>
        <w:t>10</w:t>
      </w:r>
      <w:r>
        <w:rPr>
          <w:rFonts w:hint="default" w:ascii="Times New Roman" w:hAnsi="Times New Roman" w:eastAsia="宋体" w:cs="Times New Roman"/>
          <w:b/>
          <w:bCs/>
          <w:color w:val="000000"/>
          <w:kern w:val="0"/>
          <w:sz w:val="31"/>
          <w:szCs w:val="31"/>
          <w:lang w:val="en-US" w:eastAsia="zh-CN" w:bidi="ar"/>
        </w:rPr>
        <w:t>月</w:t>
      </w:r>
    </w:p>
    <w:p>
      <w:pPr>
        <w:jc w:val="both"/>
        <w:rPr>
          <w:rFonts w:hint="eastAsia" w:ascii="仿宋_GB2312" w:eastAsia="仿宋_GB2312"/>
          <w:b/>
          <w:bCs/>
          <w:sz w:val="44"/>
          <w:szCs w:val="44"/>
        </w:rPr>
      </w:pPr>
    </w:p>
    <w:p>
      <w:pPr>
        <w:jc w:val="both"/>
        <w:rPr>
          <w:rFonts w:hint="eastAsia" w:ascii="仿宋_GB2312" w:eastAsia="仿宋_GB2312"/>
          <w:b/>
          <w:bCs/>
          <w:sz w:val="44"/>
          <w:szCs w:val="44"/>
        </w:rPr>
        <w:sectPr>
          <w:pgSz w:w="11906" w:h="16838"/>
          <w:pgMar w:top="1440" w:right="1800" w:bottom="1440" w:left="1800" w:header="851" w:footer="992" w:gutter="0"/>
          <w:pgNumType w:fmt="decimal"/>
          <w:cols w:space="425" w:num="1"/>
          <w:docGrid w:type="lines" w:linePitch="312" w:charSpace="0"/>
        </w:sectPr>
      </w:pPr>
    </w:p>
    <w:p>
      <w:pPr>
        <w:keepNext w:val="0"/>
        <w:keepLines w:val="0"/>
        <w:widowControl/>
        <w:suppressLineNumbers w:val="0"/>
        <w:spacing w:line="360" w:lineRule="auto"/>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w:t>
      </w:r>
      <w:r>
        <w:rPr>
          <w:rFonts w:hint="eastAsia" w:ascii="宋体" w:hAnsi="宋体" w:cs="宋体"/>
          <w:b/>
          <w:bCs/>
          <w:color w:val="000000"/>
          <w:kern w:val="0"/>
          <w:sz w:val="32"/>
          <w:szCs w:val="32"/>
          <w:lang w:val="en-US" w:eastAsia="zh-CN" w:bidi="ar"/>
        </w:rPr>
        <w:t>环境空气二氧化碳在线监测仪</w:t>
      </w:r>
      <w:r>
        <w:rPr>
          <w:rFonts w:hint="eastAsia" w:ascii="宋体" w:hAnsi="宋体" w:eastAsia="宋体" w:cs="宋体"/>
          <w:b/>
          <w:bCs/>
          <w:color w:val="000000"/>
          <w:kern w:val="0"/>
          <w:sz w:val="32"/>
          <w:szCs w:val="32"/>
          <w:lang w:val="en-US" w:eastAsia="zh-CN" w:bidi="ar"/>
        </w:rPr>
        <w:t>计量技术规范》</w:t>
      </w:r>
    </w:p>
    <w:p>
      <w:pPr>
        <w:keepNext w:val="0"/>
        <w:keepLines w:val="0"/>
        <w:widowControl/>
        <w:suppressLineNumbers w:val="0"/>
        <w:spacing w:line="360" w:lineRule="auto"/>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编制说明</w:t>
      </w:r>
    </w:p>
    <w:p>
      <w:pPr>
        <w:keepNext w:val="0"/>
        <w:keepLines w:val="0"/>
        <w:pageBreakBefore w:val="0"/>
        <w:widowControl w:val="0"/>
        <w:kinsoku/>
        <w:wordWrap/>
        <w:overflowPunct/>
        <w:topLinePunct w:val="0"/>
        <w:autoSpaceDE/>
        <w:autoSpaceDN/>
        <w:bidi w:val="0"/>
        <w:adjustRightInd/>
        <w:snapToGrid/>
        <w:spacing w:beforeLines="50" w:after="157" w:afterLines="50" w:line="360" w:lineRule="auto"/>
        <w:ind w:firstLine="562" w:firstLineChars="200"/>
        <w:textAlignment w:val="auto"/>
        <w:rPr>
          <w:rFonts w:hint="default" w:ascii="Times New Roman" w:hAnsi="Times New Roman" w:eastAsia="仿宋_GB2312" w:cs="Times New Roman"/>
          <w:b/>
          <w:color w:val="000000"/>
          <w:kern w:val="0"/>
          <w:sz w:val="28"/>
          <w:szCs w:val="28"/>
        </w:rPr>
      </w:pPr>
      <w:r>
        <w:rPr>
          <w:rFonts w:hint="default" w:ascii="Times New Roman" w:hAnsi="Times New Roman" w:eastAsia="仿宋_GB2312" w:cs="Times New Roman"/>
          <w:b/>
          <w:color w:val="000000"/>
          <w:kern w:val="0"/>
          <w:sz w:val="28"/>
          <w:szCs w:val="28"/>
        </w:rPr>
        <w:t>一、任务来源</w:t>
      </w:r>
    </w:p>
    <w:p>
      <w:pPr>
        <w:pStyle w:val="18"/>
        <w:keepNext w:val="0"/>
        <w:keepLines w:val="0"/>
        <w:pageBreakBefore w:val="0"/>
        <w:widowControl w:val="0"/>
        <w:kinsoku/>
        <w:wordWrap/>
        <w:overflowPunct/>
        <w:topLinePunct w:val="0"/>
        <w:bidi w:val="0"/>
        <w:adjustRightInd w:val="0"/>
        <w:spacing w:line="360" w:lineRule="auto"/>
        <w:ind w:firstLine="560" w:firstLineChars="200"/>
        <w:textAlignment w:val="auto"/>
        <w:rPr>
          <w:rFonts w:hint="default" w:ascii="Times New Roman" w:hAnsi="Times New Roman" w:eastAsia="仿宋_GB2312" w:cs="Times New Roman"/>
          <w:sz w:val="28"/>
          <w:szCs w:val="28"/>
        </w:rPr>
      </w:pPr>
      <w:r>
        <w:rPr>
          <w:rFonts w:hint="eastAsia" w:ascii="仿宋_GB2312" w:hAnsi="仿宋_GB2312" w:eastAsia="仿宋_GB2312" w:cs="仿宋_GB2312"/>
          <w:sz w:val="28"/>
          <w:szCs w:val="28"/>
        </w:rPr>
        <w:t>2024年6月，广东省市场监督管理局印发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广东省市场监督管理局关于下达2024年广东省地方计量技术规范制修订计划项目的通知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粤</w:t>
      </w:r>
      <w:r>
        <w:rPr>
          <w:rFonts w:hint="eastAsia" w:ascii="仿宋_GB2312" w:hAnsi="仿宋_GB2312" w:eastAsia="仿宋_GB2312" w:cs="仿宋_GB2312"/>
          <w:sz w:val="28"/>
          <w:szCs w:val="28"/>
        </w:rPr>
        <w:t>市监量〔202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300</w:t>
      </w:r>
      <w:r>
        <w:rPr>
          <w:rFonts w:hint="eastAsia" w:ascii="仿宋_GB2312" w:hAnsi="仿宋_GB2312" w:eastAsia="仿宋_GB2312" w:cs="仿宋_GB2312"/>
          <w:sz w:val="28"/>
          <w:szCs w:val="28"/>
        </w:rPr>
        <w:t>号），</w:t>
      </w:r>
      <w:r>
        <w:rPr>
          <w:rFonts w:hint="default" w:ascii="Times New Roman" w:hAnsi="Times New Roman" w:eastAsia="仿宋_GB2312" w:cs="Times New Roman"/>
          <w:sz w:val="28"/>
          <w:szCs w:val="28"/>
        </w:rPr>
        <w:t>对主要起草单位广东省计量科学研究院下达了起草任务，《</w:t>
      </w:r>
      <w:r>
        <w:rPr>
          <w:rFonts w:hint="eastAsia" w:ascii="Times New Roman" w:eastAsia="仿宋_GB2312" w:cs="Times New Roman"/>
          <w:sz w:val="28"/>
          <w:szCs w:val="28"/>
          <w:lang w:eastAsia="zh-CN"/>
        </w:rPr>
        <w:t>环境空气二氧化碳在线监测仪</w:t>
      </w:r>
      <w:r>
        <w:rPr>
          <w:rFonts w:hint="default" w:ascii="Times New Roman" w:hAnsi="Times New Roman" w:eastAsia="仿宋_GB2312" w:cs="Times New Roman"/>
          <w:sz w:val="28"/>
          <w:szCs w:val="28"/>
        </w:rPr>
        <w:t>计量技术规范》正式批准立项</w:t>
      </w:r>
      <w:r>
        <w:rPr>
          <w:rFonts w:hint="eastAsia" w:ascii="Times New Roman" w:eastAsia="仿宋_GB2312" w:cs="Times New Roman"/>
          <w:sz w:val="28"/>
          <w:szCs w:val="28"/>
          <w:lang w:eastAsia="zh-CN"/>
        </w:rPr>
        <w:t>，</w:t>
      </w:r>
      <w:r>
        <w:rPr>
          <w:rFonts w:hint="default" w:ascii="Times New Roman" w:hAnsi="Times New Roman" w:eastAsia="仿宋_GB2312" w:cs="Times New Roman"/>
          <w:sz w:val="28"/>
          <w:szCs w:val="28"/>
        </w:rPr>
        <w:t>任务归口广东省碳达峰碳中和计量技术委员会管理。</w:t>
      </w:r>
    </w:p>
    <w:p>
      <w:pPr>
        <w:keepNext w:val="0"/>
        <w:keepLines w:val="0"/>
        <w:pageBreakBefore w:val="0"/>
        <w:widowControl w:val="0"/>
        <w:kinsoku/>
        <w:wordWrap/>
        <w:overflowPunct/>
        <w:topLinePunct w:val="0"/>
        <w:autoSpaceDE/>
        <w:autoSpaceDN/>
        <w:bidi w:val="0"/>
        <w:adjustRightInd/>
        <w:snapToGrid/>
        <w:spacing w:beforeLines="50" w:after="157" w:afterLines="50" w:line="360" w:lineRule="auto"/>
        <w:ind w:firstLine="562" w:firstLineChars="200"/>
        <w:textAlignment w:val="auto"/>
        <w:rPr>
          <w:rFonts w:hint="default" w:ascii="Times New Roman" w:hAnsi="Times New Roman" w:eastAsia="仿宋_GB2312" w:cs="Times New Roman"/>
          <w:b/>
          <w:color w:val="000000"/>
          <w:kern w:val="0"/>
          <w:sz w:val="28"/>
          <w:szCs w:val="28"/>
        </w:rPr>
      </w:pPr>
      <w:r>
        <w:rPr>
          <w:rFonts w:hint="default" w:ascii="Times New Roman" w:hAnsi="Times New Roman" w:eastAsia="仿宋_GB2312" w:cs="Times New Roman"/>
          <w:b/>
          <w:color w:val="000000"/>
          <w:kern w:val="0"/>
          <w:sz w:val="28"/>
          <w:szCs w:val="28"/>
        </w:rPr>
        <w:t>二、</w:t>
      </w:r>
      <w:r>
        <w:rPr>
          <w:rFonts w:hint="default" w:ascii="Times New Roman" w:hAnsi="Times New Roman" w:eastAsia="仿宋_GB2312" w:cs="Times New Roman"/>
          <w:b/>
          <w:color w:val="000000"/>
          <w:kern w:val="0"/>
          <w:sz w:val="28"/>
          <w:szCs w:val="28"/>
          <w:lang w:val="en-US" w:eastAsia="zh-CN"/>
        </w:rPr>
        <w:t>编制</w:t>
      </w:r>
      <w:r>
        <w:rPr>
          <w:rFonts w:hint="default" w:ascii="Times New Roman" w:hAnsi="Times New Roman" w:eastAsia="仿宋_GB2312" w:cs="Times New Roman"/>
          <w:b/>
          <w:color w:val="000000"/>
          <w:kern w:val="0"/>
          <w:sz w:val="28"/>
          <w:szCs w:val="28"/>
        </w:rPr>
        <w:t>背景</w:t>
      </w:r>
    </w:p>
    <w:p>
      <w:pPr>
        <w:spacing w:before="50" w:line="360" w:lineRule="auto"/>
        <w:ind w:firstLine="573"/>
        <w:rPr>
          <w:rFonts w:hint="default" w:ascii="Times New Roman" w:hAnsi="Times New Roman" w:eastAsia="仿宋_GB2312" w:cs="Times New Roman"/>
          <w:i w:val="0"/>
          <w:iCs w:val="0"/>
          <w:caps w:val="0"/>
          <w:color w:val="000000"/>
          <w:spacing w:val="0"/>
          <w:kern w:val="0"/>
          <w:sz w:val="28"/>
          <w:szCs w:val="28"/>
          <w:shd w:val="clear"/>
        </w:rPr>
      </w:pPr>
      <w:r>
        <w:rPr>
          <w:rFonts w:hint="default" w:ascii="Times New Roman" w:hAnsi="Times New Roman" w:eastAsia="仿宋_GB2312" w:cs="Times New Roman"/>
          <w:i w:val="0"/>
          <w:iCs w:val="0"/>
          <w:caps w:val="0"/>
          <w:color w:val="000000"/>
          <w:spacing w:val="0"/>
          <w:kern w:val="0"/>
          <w:sz w:val="28"/>
          <w:szCs w:val="28"/>
          <w:shd w:val="clear"/>
        </w:rPr>
        <w:t>实现碳达峰、碳中和，是党中央统筹国内国际两个大局作出的重大战略决策。2022年10月18日，市场监管总局等九部门联合印发《建立健全碳达峰碳中和标准计量体系实施方案》，方案中明确提到，要开展系统碳排放计量测试方法研究和碳排放连续在线监测计量技术研究，提升碳排放和碳监测数据准确性和一致性。2023年4月22日，国家标准委、国家发展改革委、工业和信息化部等11个部门发布《碳达峰碳中和标准体系建设指南》，其中，“碳监测核算核查标准规范”提出“重点制修订二氧化碳、甲烷等温室气体监测方法、监测设备、在线监测系统和碳管控平台建设等标准”。</w:t>
      </w:r>
    </w:p>
    <w:p>
      <w:pPr>
        <w:spacing w:before="50" w:line="360" w:lineRule="auto"/>
        <w:ind w:firstLine="573"/>
        <w:rPr>
          <w:rFonts w:hint="default" w:ascii="Times New Roman" w:hAnsi="Times New Roman" w:eastAsia="仿宋_GB2312" w:cs="Times New Roman"/>
          <w:i w:val="0"/>
          <w:iCs w:val="0"/>
          <w:caps w:val="0"/>
          <w:color w:val="000000"/>
          <w:spacing w:val="0"/>
          <w:kern w:val="0"/>
          <w:sz w:val="28"/>
          <w:szCs w:val="28"/>
          <w:shd w:val="clear"/>
        </w:rPr>
      </w:pPr>
      <w:r>
        <w:rPr>
          <w:rFonts w:hint="eastAsia" w:ascii="仿宋_GB2312" w:hAnsi="楷体" w:eastAsia="仿宋_GB2312"/>
          <w:sz w:val="28"/>
          <w:szCs w:val="36"/>
        </w:rPr>
        <w:t>自国家生态环境部下发《碳监测评估试点工作方案》及《深化碳监测评估试点工作方案》以来，我国已经在多地区广泛开展温室气体监测工作，重点行业包括火电行业、钢铁行业等，主要监测对象为《京都议定书》和《多哈修正案》中规定控制的7种人为活动温室气体，包括二氧化碳（CO</w:t>
      </w:r>
      <w:r>
        <w:rPr>
          <w:rFonts w:hint="eastAsia" w:ascii="仿宋_GB2312" w:hAnsi="楷体" w:eastAsia="仿宋_GB2312"/>
          <w:sz w:val="28"/>
          <w:szCs w:val="36"/>
          <w:vertAlign w:val="subscript"/>
        </w:rPr>
        <w:t>2</w:t>
      </w:r>
      <w:r>
        <w:rPr>
          <w:rFonts w:hint="eastAsia" w:ascii="仿宋_GB2312" w:hAnsi="楷体" w:eastAsia="仿宋_GB2312"/>
          <w:sz w:val="28"/>
          <w:szCs w:val="36"/>
        </w:rPr>
        <w:t>）、甲烷（CH</w:t>
      </w:r>
      <w:r>
        <w:rPr>
          <w:rFonts w:hint="eastAsia" w:ascii="仿宋_GB2312" w:hAnsi="楷体" w:eastAsia="仿宋_GB2312"/>
          <w:sz w:val="28"/>
          <w:szCs w:val="36"/>
          <w:vertAlign w:val="subscript"/>
        </w:rPr>
        <w:t>4</w:t>
      </w:r>
      <w:r>
        <w:rPr>
          <w:rFonts w:hint="eastAsia" w:ascii="仿宋_GB2312" w:hAnsi="楷体" w:eastAsia="仿宋_GB2312"/>
          <w:sz w:val="28"/>
          <w:szCs w:val="36"/>
        </w:rPr>
        <w:t>）、氧化亚氮（N</w:t>
      </w:r>
      <w:r>
        <w:rPr>
          <w:rFonts w:hint="eastAsia" w:ascii="仿宋_GB2312" w:hAnsi="楷体" w:eastAsia="仿宋_GB2312"/>
          <w:sz w:val="28"/>
          <w:szCs w:val="36"/>
          <w:vertAlign w:val="subscript"/>
        </w:rPr>
        <w:t>2</w:t>
      </w:r>
      <w:r>
        <w:rPr>
          <w:rFonts w:hint="eastAsia" w:ascii="仿宋_GB2312" w:hAnsi="楷体" w:eastAsia="仿宋_GB2312"/>
          <w:sz w:val="28"/>
          <w:szCs w:val="36"/>
        </w:rPr>
        <w:t>O）、氢氟碳化物（HFCs）、全氟碳化物（PFCs)、六氟化硫（SF</w:t>
      </w:r>
      <w:r>
        <w:rPr>
          <w:rFonts w:hint="eastAsia" w:ascii="仿宋_GB2312" w:hAnsi="楷体" w:eastAsia="仿宋_GB2312"/>
          <w:sz w:val="28"/>
          <w:szCs w:val="36"/>
          <w:vertAlign w:val="subscript"/>
        </w:rPr>
        <w:t>6</w:t>
      </w:r>
      <w:r>
        <w:rPr>
          <w:rFonts w:hint="eastAsia" w:ascii="仿宋_GB2312" w:hAnsi="楷体" w:eastAsia="仿宋_GB2312"/>
          <w:sz w:val="28"/>
          <w:szCs w:val="36"/>
        </w:rPr>
        <w:t>）和三氟化碳（NF</w:t>
      </w:r>
      <w:r>
        <w:rPr>
          <w:rFonts w:hint="eastAsia" w:ascii="仿宋_GB2312" w:hAnsi="楷体" w:eastAsia="仿宋_GB2312"/>
          <w:sz w:val="28"/>
          <w:szCs w:val="36"/>
          <w:vertAlign w:val="subscript"/>
        </w:rPr>
        <w:t>3</w:t>
      </w:r>
      <w:r>
        <w:rPr>
          <w:rFonts w:hint="eastAsia" w:ascii="仿宋_GB2312" w:hAnsi="楷体" w:eastAsia="仿宋_GB2312"/>
          <w:sz w:val="28"/>
          <w:szCs w:val="36"/>
        </w:rPr>
        <w:t>）</w:t>
      </w:r>
      <w:r>
        <w:rPr>
          <w:rFonts w:hint="eastAsia" w:ascii="仿宋_GB2312" w:hAnsi="楷体" w:eastAsia="仿宋_GB2312"/>
          <w:sz w:val="28"/>
          <w:szCs w:val="36"/>
          <w:lang w:eastAsia="zh-CN"/>
        </w:rPr>
        <w:t>，其中二氧化碳对温室效应的贡献最大，因而是目前最重要的监测对象</w:t>
      </w:r>
      <w:r>
        <w:rPr>
          <w:rFonts w:hint="eastAsia" w:ascii="仿宋_GB2312" w:hAnsi="楷体" w:eastAsia="仿宋_GB2312"/>
          <w:sz w:val="28"/>
          <w:szCs w:val="36"/>
        </w:rPr>
        <w:t>。</w:t>
      </w:r>
      <w:r>
        <w:rPr>
          <w:rFonts w:hint="eastAsia" w:ascii="仿宋_GB2312" w:hAnsi="楷体" w:eastAsia="仿宋_GB2312"/>
          <w:sz w:val="28"/>
          <w:szCs w:val="36"/>
          <w:lang w:eastAsia="zh-CN"/>
        </w:rPr>
        <w:t>目前环境空气中的二氧化碳主要是通过</w:t>
      </w:r>
      <w:r>
        <w:rPr>
          <w:rFonts w:hint="eastAsia" w:ascii="仿宋_GB2312" w:hAnsi="楷体" w:eastAsia="仿宋_GB2312"/>
          <w:sz w:val="28"/>
          <w:szCs w:val="36"/>
        </w:rPr>
        <w:t>在线监测仪</w:t>
      </w:r>
      <w:r>
        <w:rPr>
          <w:rFonts w:hint="eastAsia" w:ascii="仿宋_GB2312" w:hAnsi="楷体" w:eastAsia="仿宋_GB2312"/>
          <w:sz w:val="28"/>
          <w:szCs w:val="36"/>
          <w:lang w:eastAsia="zh-CN"/>
        </w:rPr>
        <w:t>来进行监测，其</w:t>
      </w:r>
      <w:r>
        <w:rPr>
          <w:rFonts w:hint="eastAsia" w:ascii="仿宋_GB2312" w:hAnsi="楷体" w:eastAsia="仿宋_GB2312"/>
          <w:sz w:val="28"/>
          <w:szCs w:val="36"/>
        </w:rPr>
        <w:t>通常采用光学原理进行测量，常见的包括非色散红外（NDIR）、傅</w:t>
      </w:r>
      <w:r>
        <w:rPr>
          <w:rFonts w:hint="eastAsia" w:ascii="仿宋_GB2312" w:hAnsi="楷体" w:eastAsia="仿宋_GB2312"/>
          <w:sz w:val="28"/>
          <w:szCs w:val="36"/>
          <w:lang w:eastAsia="zh-CN"/>
        </w:rPr>
        <w:t>立</w:t>
      </w:r>
      <w:r>
        <w:rPr>
          <w:rFonts w:hint="eastAsia" w:ascii="仿宋_GB2312" w:hAnsi="楷体" w:eastAsia="仿宋_GB2312"/>
          <w:sz w:val="28"/>
          <w:szCs w:val="36"/>
        </w:rPr>
        <w:t>叶变换红外（FTIR）、可调谐半导体激光吸收光谱</w:t>
      </w:r>
      <w:r>
        <w:rPr>
          <w:rFonts w:hint="eastAsia" w:ascii="仿宋_GB2312" w:hAnsi="楷体" w:eastAsia="仿宋_GB2312"/>
          <w:sz w:val="28"/>
          <w:szCs w:val="36"/>
          <w:lang w:eastAsia="zh-CN"/>
        </w:rPr>
        <w:t>（</w:t>
      </w:r>
      <w:r>
        <w:rPr>
          <w:rFonts w:hint="eastAsia" w:ascii="仿宋_GB2312" w:hAnsi="楷体" w:eastAsia="仿宋_GB2312"/>
          <w:sz w:val="28"/>
          <w:szCs w:val="36"/>
          <w:lang w:val="en-US" w:eastAsia="zh-CN"/>
        </w:rPr>
        <w:t>TDLAS</w:t>
      </w:r>
      <w:r>
        <w:rPr>
          <w:rFonts w:hint="eastAsia" w:ascii="仿宋_GB2312" w:hAnsi="楷体" w:eastAsia="仿宋_GB2312"/>
          <w:sz w:val="28"/>
          <w:szCs w:val="36"/>
          <w:lang w:eastAsia="zh-CN"/>
        </w:rPr>
        <w:t>）</w:t>
      </w:r>
      <w:r>
        <w:rPr>
          <w:rFonts w:hint="eastAsia" w:ascii="仿宋_GB2312" w:hAnsi="楷体" w:eastAsia="仿宋_GB2312"/>
          <w:sz w:val="28"/>
          <w:szCs w:val="36"/>
        </w:rPr>
        <w:t>等，此外也有部分采用电化学等非光学测量原理的仪器。</w:t>
      </w:r>
    </w:p>
    <w:p>
      <w:pPr>
        <w:keepNext w:val="0"/>
        <w:keepLines w:val="0"/>
        <w:pageBreakBefore w:val="0"/>
        <w:widowControl w:val="0"/>
        <w:kinsoku/>
        <w:wordWrap/>
        <w:overflowPunct/>
        <w:topLinePunct w:val="0"/>
        <w:autoSpaceDE/>
        <w:autoSpaceDN/>
        <w:bidi w:val="0"/>
        <w:adjustRightInd/>
        <w:snapToGrid/>
        <w:spacing w:beforeLines="50" w:after="157" w:afterLines="50" w:line="360" w:lineRule="auto"/>
        <w:ind w:firstLine="562" w:firstLineChars="200"/>
        <w:textAlignment w:val="auto"/>
        <w:rPr>
          <w:rFonts w:hint="default" w:ascii="Times New Roman" w:hAnsi="Times New Roman" w:eastAsia="仿宋_GB2312" w:cs="Times New Roman"/>
          <w:b/>
          <w:color w:val="000000"/>
          <w:kern w:val="0"/>
          <w:sz w:val="28"/>
          <w:szCs w:val="28"/>
          <w:lang w:val="en-US" w:eastAsia="zh-CN"/>
        </w:rPr>
      </w:pPr>
      <w:r>
        <w:rPr>
          <w:rFonts w:hint="default" w:ascii="Times New Roman" w:hAnsi="Times New Roman" w:eastAsia="仿宋_GB2312" w:cs="Times New Roman"/>
          <w:b/>
          <w:color w:val="000000"/>
          <w:kern w:val="0"/>
          <w:sz w:val="28"/>
          <w:szCs w:val="28"/>
        </w:rPr>
        <w:t>三、编制</w:t>
      </w:r>
      <w:r>
        <w:rPr>
          <w:rFonts w:hint="default" w:ascii="Times New Roman" w:hAnsi="Times New Roman" w:eastAsia="仿宋_GB2312" w:cs="Times New Roman"/>
          <w:b/>
          <w:color w:val="000000"/>
          <w:kern w:val="0"/>
          <w:sz w:val="28"/>
          <w:szCs w:val="28"/>
          <w:lang w:val="en-US" w:eastAsia="zh-CN"/>
        </w:rPr>
        <w:t>意义</w:t>
      </w:r>
    </w:p>
    <w:p>
      <w:pPr>
        <w:spacing w:line="360" w:lineRule="auto"/>
        <w:ind w:firstLine="480"/>
        <w:rPr>
          <w:rFonts w:hint="default" w:ascii="仿宋_GB2312" w:hAnsi="楷体" w:eastAsia="仿宋_GB2312"/>
          <w:sz w:val="28"/>
          <w:szCs w:val="28"/>
          <w:lang w:val="en-US" w:eastAsia="zh-CN"/>
        </w:rPr>
      </w:pPr>
      <w:r>
        <w:rPr>
          <w:rFonts w:hint="eastAsia" w:ascii="仿宋_GB2312" w:hAnsi="楷体" w:eastAsia="仿宋_GB2312"/>
          <w:sz w:val="28"/>
          <w:szCs w:val="28"/>
          <w:lang w:val="en-US" w:eastAsia="zh-CN"/>
        </w:rPr>
        <w:t>二氧化碳是目前人为因素导致的温室效应的最主要来源，也是环境空气温室气体监测中最重要的目标气体。通过使用</w:t>
      </w:r>
      <w:r>
        <w:rPr>
          <w:rFonts w:hint="eastAsia" w:ascii="仿宋_GB2312" w:hAnsi="楷体" w:eastAsia="仿宋_GB2312"/>
          <w:sz w:val="28"/>
          <w:szCs w:val="28"/>
        </w:rPr>
        <w:t>在线监测仪</w:t>
      </w:r>
      <w:r>
        <w:rPr>
          <w:rFonts w:hint="eastAsia" w:ascii="仿宋_GB2312" w:hAnsi="楷体" w:eastAsia="仿宋_GB2312"/>
          <w:sz w:val="28"/>
          <w:szCs w:val="28"/>
          <w:lang w:val="en-US" w:eastAsia="zh-CN"/>
        </w:rPr>
        <w:t>对一定范围环境空气中的二氧化碳气体浓度进行连续监测，可以及时了解区域内二氧化碳的排放情况，并通过监测数据进行反演计算，构建区域碳排放的预测模型，为生态环境监管部门提供可靠的数据支撑。因此，保证环境空气二氧化碳在线监测仪测量结果的准确性与溯源性具有重要意义。</w:t>
      </w:r>
    </w:p>
    <w:p>
      <w:pPr>
        <w:spacing w:line="360" w:lineRule="auto"/>
        <w:ind w:firstLine="480"/>
        <w:rPr>
          <w:rFonts w:hint="default" w:ascii="Times New Roman" w:hAnsi="Times New Roman" w:eastAsia="仿宋_GB2312" w:cs="Times New Roman"/>
          <w:color w:val="000000"/>
          <w:kern w:val="0"/>
          <w:sz w:val="28"/>
          <w:szCs w:val="28"/>
          <w:lang w:eastAsia="zh-CN"/>
        </w:rPr>
      </w:pPr>
      <w:r>
        <w:rPr>
          <w:rFonts w:hint="eastAsia" w:ascii="仿宋_GB2312" w:hAnsi="楷体" w:eastAsia="仿宋_GB2312"/>
          <w:sz w:val="28"/>
          <w:szCs w:val="28"/>
        </w:rPr>
        <w:t>目前国内还没有针对</w:t>
      </w:r>
      <w:r>
        <w:rPr>
          <w:rFonts w:hint="eastAsia" w:ascii="仿宋_GB2312" w:hAnsi="楷体" w:eastAsia="仿宋_GB2312"/>
          <w:sz w:val="28"/>
          <w:szCs w:val="28"/>
          <w:lang w:eastAsia="zh-CN"/>
        </w:rPr>
        <w:t>环境空气二氧化碳</w:t>
      </w:r>
      <w:r>
        <w:rPr>
          <w:rFonts w:hint="eastAsia" w:ascii="仿宋_GB2312" w:hAnsi="楷体" w:eastAsia="仿宋_GB2312"/>
          <w:sz w:val="28"/>
          <w:szCs w:val="28"/>
        </w:rPr>
        <w:t>在线监测仪的</w:t>
      </w:r>
      <w:r>
        <w:rPr>
          <w:rFonts w:hint="eastAsia" w:ascii="仿宋_GB2312" w:hAnsi="楷体" w:eastAsia="仿宋_GB2312"/>
          <w:sz w:val="28"/>
          <w:szCs w:val="28"/>
          <w:lang w:val="en-US" w:eastAsia="zh-CN"/>
        </w:rPr>
        <w:t>计量技术规范</w:t>
      </w:r>
      <w:r>
        <w:rPr>
          <w:rFonts w:hint="eastAsia" w:ascii="仿宋_GB2312" w:hAnsi="楷体" w:eastAsia="仿宋_GB2312"/>
          <w:sz w:val="28"/>
          <w:szCs w:val="28"/>
        </w:rPr>
        <w:t>，</w:t>
      </w:r>
      <w:r>
        <w:rPr>
          <w:rFonts w:hint="eastAsia" w:ascii="仿宋_GB2312" w:hAnsi="楷体" w:eastAsia="仿宋_GB2312"/>
          <w:sz w:val="28"/>
          <w:szCs w:val="28"/>
          <w:lang w:val="en-US" w:eastAsia="zh-CN"/>
        </w:rPr>
        <w:t>与之相关的</w:t>
      </w:r>
      <w:r>
        <w:rPr>
          <w:rFonts w:hint="eastAsia" w:ascii="仿宋_GB2312" w:hAnsi="楷体" w:eastAsia="仿宋_GB2312" w:cs="Times New Roman"/>
          <w:sz w:val="28"/>
          <w:szCs w:val="28"/>
          <w:lang w:val="en-US" w:eastAsia="zh-CN"/>
        </w:rPr>
        <w:t>有JJG635《一氧化碳、二氧化碳红外气体分析器》检定规程、JJF 1907《环境空气在线监测气体分析仪校准规范》等，</w:t>
      </w:r>
      <w:r>
        <w:rPr>
          <w:rFonts w:hint="eastAsia" w:ascii="仿宋_GB2312" w:hAnsi="楷体" w:eastAsia="仿宋_GB2312"/>
          <w:sz w:val="28"/>
          <w:szCs w:val="28"/>
        </w:rPr>
        <w:t>在实际监测过程中存在缺乏相关校准技术、量值溯源困难等问题，因此健全符合现实需求的计量技术体系和计量管理体系迫在眉睫。为确保量值传递和量值溯源过程准确可靠，完善校准方法及起草制订相关校准规范将具有重要的社会效益和经济效益，能够满足我国各级计量技术机构对环境空气环境温室气体监测仪的计量需求以及气象、环监部门对该类仪器的管理和监督需要。</w:t>
      </w:r>
    </w:p>
    <w:p>
      <w:pPr>
        <w:keepNext w:val="0"/>
        <w:keepLines w:val="0"/>
        <w:pageBreakBefore w:val="0"/>
        <w:widowControl w:val="0"/>
        <w:kinsoku/>
        <w:wordWrap/>
        <w:overflowPunct/>
        <w:topLinePunct w:val="0"/>
        <w:autoSpaceDE/>
        <w:autoSpaceDN/>
        <w:bidi w:val="0"/>
        <w:adjustRightInd/>
        <w:snapToGrid/>
        <w:spacing w:beforeLines="50" w:after="157" w:afterLines="50" w:line="360" w:lineRule="auto"/>
        <w:ind w:firstLine="562" w:firstLineChars="200"/>
        <w:textAlignment w:val="auto"/>
        <w:rPr>
          <w:rFonts w:hint="eastAsia" w:ascii="Times New Roman" w:hAnsi="Times New Roman" w:eastAsia="仿宋_GB2312" w:cs="Times New Roman"/>
          <w:b/>
          <w:color w:val="000000"/>
          <w:kern w:val="0"/>
          <w:sz w:val="28"/>
          <w:szCs w:val="28"/>
          <w:lang w:val="en-US" w:eastAsia="zh-CN"/>
        </w:rPr>
      </w:pPr>
      <w:r>
        <w:rPr>
          <w:rFonts w:hint="eastAsia" w:eastAsia="仿宋_GB2312" w:cs="Times New Roman"/>
          <w:b/>
          <w:color w:val="000000"/>
          <w:kern w:val="0"/>
          <w:sz w:val="28"/>
          <w:szCs w:val="28"/>
          <w:lang w:eastAsia="zh-CN"/>
        </w:rPr>
        <w:t>四</w:t>
      </w:r>
      <w:r>
        <w:rPr>
          <w:rFonts w:hint="default" w:ascii="Times New Roman" w:hAnsi="Times New Roman" w:eastAsia="仿宋_GB2312" w:cs="Times New Roman"/>
          <w:b/>
          <w:color w:val="000000"/>
          <w:kern w:val="0"/>
          <w:sz w:val="28"/>
          <w:szCs w:val="28"/>
        </w:rPr>
        <w:t>、</w:t>
      </w:r>
      <w:r>
        <w:rPr>
          <w:rFonts w:hint="eastAsia" w:eastAsia="仿宋_GB2312" w:cs="Times New Roman"/>
          <w:b/>
          <w:color w:val="000000"/>
          <w:kern w:val="0"/>
          <w:sz w:val="28"/>
          <w:szCs w:val="28"/>
          <w:lang w:val="en-US" w:eastAsia="zh-CN"/>
        </w:rPr>
        <w:t>编制依据</w:t>
      </w:r>
    </w:p>
    <w:p>
      <w:pPr>
        <w:pStyle w:val="22"/>
        <w:bidi w:val="0"/>
        <w:rPr>
          <w:rFonts w:hint="eastAsia"/>
        </w:rPr>
      </w:pPr>
      <w:r>
        <w:rPr>
          <w:rFonts w:hint="eastAsia"/>
        </w:rPr>
        <w:t>JJF 1071-2010《国家计量</w:t>
      </w:r>
      <w:r>
        <w:rPr>
          <w:rFonts w:hint="eastAsia" w:eastAsia="仿宋_GB2312" w:cs="Times New Roman"/>
          <w:kern w:val="2"/>
          <w:sz w:val="32"/>
          <w:szCs w:val="32"/>
          <w:lang w:val="en-US" w:eastAsia="zh-CN" w:bidi="ar-SA"/>
        </w:rPr>
        <w:t>校准</w:t>
      </w:r>
      <w:r>
        <w:rPr>
          <w:rFonts w:hint="eastAsia"/>
        </w:rPr>
        <w:t>规范编写规则》、JJF 1001-2011《通用计量术语及定义》、JJF 1005-2016《标准物质通用术语和定义》、JJF 1059.1-2012《测量不确定度评定与表示》、JJF 1094-2002《测量仪器特性评定》，共同构成支撑本规范制订工作的基础性系列规范。</w:t>
      </w:r>
    </w:p>
    <w:p>
      <w:pPr>
        <w:pStyle w:val="22"/>
        <w:bidi w:val="0"/>
        <w:rPr>
          <w:rFonts w:hint="default"/>
        </w:rPr>
      </w:pPr>
      <w:r>
        <w:rPr>
          <w:rFonts w:hint="eastAsia"/>
        </w:rPr>
        <w:t>本文件在编制中充分考虑了JJG 635-2011《一氧化碳、二氧化碳红外气体分析器》</w:t>
      </w:r>
      <w:r>
        <w:rPr>
          <w:rFonts w:hint="eastAsia"/>
          <w:lang w:eastAsia="zh-CN"/>
        </w:rPr>
        <w:t>测量</w:t>
      </w:r>
      <w:r>
        <w:rPr>
          <w:rFonts w:hint="eastAsia"/>
        </w:rPr>
        <w:t>规程、JJF1907-2021《环境空气在线监测气体分析仪</w:t>
      </w:r>
      <w:r>
        <w:rPr>
          <w:rFonts w:hint="eastAsia"/>
          <w:lang w:val="en-US" w:eastAsia="zh-CN"/>
        </w:rPr>
        <w:t>校准</w:t>
      </w:r>
      <w:r>
        <w:rPr>
          <w:rFonts w:hint="eastAsia"/>
        </w:rPr>
        <w:t>规范》的部分技术指标。</w:t>
      </w:r>
    </w:p>
    <w:p>
      <w:pPr>
        <w:pStyle w:val="22"/>
        <w:bidi w:val="0"/>
      </w:pPr>
      <w:r>
        <w:rPr>
          <w:rFonts w:hint="eastAsia"/>
          <w:lang w:val="en-US" w:eastAsia="zh-CN"/>
        </w:rPr>
        <w:t>此外，</w:t>
      </w:r>
      <w:r>
        <w:t>规范编制过程中</w:t>
      </w:r>
      <w:r>
        <w:rPr>
          <w:rFonts w:hint="eastAsia"/>
          <w:lang w:val="en-US" w:eastAsia="zh-CN"/>
        </w:rPr>
        <w:t>还</w:t>
      </w:r>
      <w:r>
        <w:t>重点参考了以下规范、规程、标准：</w:t>
      </w:r>
    </w:p>
    <w:p>
      <w:pPr>
        <w:pStyle w:val="22"/>
        <w:bidi w:val="0"/>
        <w:rPr>
          <w:rFonts w:hint="eastAsia"/>
          <w:sz w:val="28"/>
          <w:szCs w:val="28"/>
          <w:lang w:val="en-US" w:eastAsia="zh-CN"/>
        </w:rPr>
      </w:pPr>
      <w:r>
        <w:rPr>
          <w:rFonts w:hint="eastAsia"/>
          <w:sz w:val="28"/>
          <w:szCs w:val="28"/>
          <w:lang w:val="en-US" w:eastAsia="zh-CN"/>
        </w:rPr>
        <w:t>HJ 654-2013 环境空气气态污染物（SO</w:t>
      </w:r>
      <w:r>
        <w:rPr>
          <w:rFonts w:hint="eastAsia"/>
          <w:sz w:val="28"/>
          <w:szCs w:val="28"/>
          <w:vertAlign w:val="subscript"/>
          <w:lang w:val="en-US" w:eastAsia="zh-CN"/>
        </w:rPr>
        <w:t>2</w:t>
      </w:r>
      <w:r>
        <w:rPr>
          <w:rFonts w:hint="eastAsia"/>
          <w:sz w:val="28"/>
          <w:szCs w:val="28"/>
          <w:lang w:val="en-US" w:eastAsia="zh-CN"/>
        </w:rPr>
        <w:t>、NO</w:t>
      </w:r>
      <w:r>
        <w:rPr>
          <w:rFonts w:hint="eastAsia"/>
          <w:sz w:val="28"/>
          <w:szCs w:val="28"/>
          <w:vertAlign w:val="subscript"/>
          <w:lang w:val="en-US" w:eastAsia="zh-CN"/>
        </w:rPr>
        <w:t>2</w:t>
      </w:r>
      <w:r>
        <w:rPr>
          <w:rFonts w:hint="eastAsia"/>
          <w:sz w:val="28"/>
          <w:szCs w:val="28"/>
          <w:lang w:val="en-US" w:eastAsia="zh-CN"/>
        </w:rPr>
        <w:t>、O</w:t>
      </w:r>
      <w:r>
        <w:rPr>
          <w:rFonts w:hint="eastAsia"/>
          <w:sz w:val="28"/>
          <w:szCs w:val="28"/>
          <w:vertAlign w:val="subscript"/>
          <w:lang w:val="en-US" w:eastAsia="zh-CN"/>
        </w:rPr>
        <w:t>3</w:t>
      </w:r>
      <w:r>
        <w:rPr>
          <w:rFonts w:hint="eastAsia"/>
          <w:sz w:val="28"/>
          <w:szCs w:val="28"/>
          <w:lang w:val="en-US" w:eastAsia="zh-CN"/>
        </w:rPr>
        <w:t>、CO）连续自动监测系统技术要求及检测方法</w:t>
      </w:r>
    </w:p>
    <w:p>
      <w:pPr>
        <w:pStyle w:val="22"/>
        <w:bidi w:val="0"/>
        <w:rPr>
          <w:rFonts w:hint="eastAsia"/>
        </w:rPr>
      </w:pPr>
      <w:r>
        <w:rPr>
          <w:rFonts w:hint="eastAsia"/>
          <w:lang w:val="en-US" w:eastAsia="zh-CN"/>
        </w:rPr>
        <w:t xml:space="preserve">HJ 818-2018 </w:t>
      </w:r>
      <w:r>
        <w:t>环境空气气态污染物（SO</w:t>
      </w:r>
      <w:r>
        <w:rPr>
          <w:rFonts w:hint="eastAsia"/>
          <w:vertAlign w:val="subscript"/>
        </w:rPr>
        <w:t>2</w:t>
      </w:r>
      <w:r>
        <w:rPr>
          <w:rFonts w:hint="eastAsia"/>
        </w:rPr>
        <w:t>、NO</w:t>
      </w:r>
      <w:r>
        <w:rPr>
          <w:rFonts w:hint="eastAsia"/>
          <w:vertAlign w:val="subscript"/>
        </w:rPr>
        <w:t>2</w:t>
      </w:r>
      <w:r>
        <w:rPr>
          <w:rFonts w:hint="eastAsia"/>
        </w:rPr>
        <w:t>、O</w:t>
      </w:r>
      <w:r>
        <w:rPr>
          <w:rFonts w:hint="eastAsia"/>
          <w:vertAlign w:val="subscript"/>
        </w:rPr>
        <w:t>3</w:t>
      </w:r>
      <w:r>
        <w:rPr>
          <w:rFonts w:hint="eastAsia"/>
        </w:rPr>
        <w:t>、CO）连续自动监测系统运行和质控技术规范</w:t>
      </w:r>
    </w:p>
    <w:p>
      <w:pPr>
        <w:pStyle w:val="22"/>
        <w:bidi w:val="0"/>
        <w:rPr>
          <w:rFonts w:hint="eastAsia"/>
          <w:lang w:val="en-US" w:eastAsia="zh-CN"/>
        </w:rPr>
      </w:pPr>
      <w:r>
        <w:rPr>
          <w:rFonts w:hint="eastAsia"/>
          <w:lang w:val="en-US" w:eastAsia="zh-CN"/>
        </w:rPr>
        <w:t>HJ 965-2018 环境空气 一氧化碳的自动测定 非分散红外法</w:t>
      </w:r>
    </w:p>
    <w:p>
      <w:pPr>
        <w:keepNext w:val="0"/>
        <w:keepLines w:val="0"/>
        <w:pageBreakBefore w:val="0"/>
        <w:widowControl w:val="0"/>
        <w:kinsoku/>
        <w:wordWrap/>
        <w:overflowPunct/>
        <w:topLinePunct w:val="0"/>
        <w:autoSpaceDE/>
        <w:autoSpaceDN/>
        <w:bidi w:val="0"/>
        <w:adjustRightInd/>
        <w:snapToGrid/>
        <w:spacing w:beforeLines="50" w:after="157" w:afterLines="50" w:line="360" w:lineRule="auto"/>
        <w:ind w:firstLine="562" w:firstLineChars="200"/>
        <w:textAlignment w:val="auto"/>
        <w:rPr>
          <w:rFonts w:hint="default" w:ascii="Times New Roman" w:hAnsi="Times New Roman" w:eastAsia="仿宋_GB2312" w:cs="Times New Roman"/>
          <w:b/>
          <w:color w:val="000000"/>
          <w:kern w:val="0"/>
          <w:sz w:val="28"/>
          <w:szCs w:val="28"/>
        </w:rPr>
      </w:pPr>
      <w:r>
        <w:rPr>
          <w:rFonts w:hint="eastAsia" w:eastAsia="仿宋_GB2312" w:cs="Times New Roman"/>
          <w:b/>
          <w:color w:val="000000"/>
          <w:kern w:val="0"/>
          <w:sz w:val="28"/>
          <w:szCs w:val="28"/>
          <w:lang w:val="en-US" w:eastAsia="zh-CN"/>
        </w:rPr>
        <w:t>五</w:t>
      </w:r>
      <w:r>
        <w:rPr>
          <w:rFonts w:hint="default" w:ascii="Times New Roman" w:hAnsi="Times New Roman" w:eastAsia="仿宋_GB2312" w:cs="Times New Roman"/>
          <w:b/>
          <w:color w:val="000000"/>
          <w:kern w:val="0"/>
          <w:sz w:val="28"/>
          <w:szCs w:val="28"/>
        </w:rPr>
        <w:t>、规范主要内容</w:t>
      </w:r>
    </w:p>
    <w:p>
      <w:pPr>
        <w:keepNext w:val="0"/>
        <w:keepLines w:val="0"/>
        <w:pageBreakBefore w:val="0"/>
        <w:widowControl w:val="0"/>
        <w:kinsoku/>
        <w:wordWrap/>
        <w:overflowPunct/>
        <w:topLinePunct w:val="0"/>
        <w:autoSpaceDE/>
        <w:autoSpaceDN/>
        <w:bidi w:val="0"/>
        <w:adjustRightInd/>
        <w:snapToGrid/>
        <w:spacing w:beforeLines="50" w:line="360" w:lineRule="auto"/>
        <w:ind w:firstLine="560" w:firstLineChars="200"/>
        <w:textAlignment w:val="auto"/>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本</w:t>
      </w:r>
      <w:r>
        <w:rPr>
          <w:rFonts w:hint="eastAsia" w:eastAsia="仿宋_GB2312" w:cs="Times New Roman"/>
          <w:color w:val="000000"/>
          <w:kern w:val="0"/>
          <w:sz w:val="28"/>
          <w:szCs w:val="28"/>
          <w:highlight w:val="none"/>
          <w:lang w:val="en-US" w:eastAsia="zh-CN"/>
        </w:rPr>
        <w:t>规范</w:t>
      </w:r>
      <w:r>
        <w:rPr>
          <w:rFonts w:hint="default" w:ascii="Times New Roman" w:hAnsi="Times New Roman" w:eastAsia="仿宋_GB2312" w:cs="Times New Roman"/>
          <w:color w:val="000000"/>
          <w:kern w:val="0"/>
          <w:sz w:val="28"/>
          <w:szCs w:val="28"/>
        </w:rPr>
        <w:t>为首次制定，内容编制将遵循技术法规的科学性、先进性和可操作性原则。主要内容如下：</w:t>
      </w:r>
    </w:p>
    <w:p>
      <w:pPr>
        <w:pStyle w:val="21"/>
        <w:numPr>
          <w:ilvl w:val="0"/>
          <w:numId w:val="0"/>
        </w:numPr>
        <w:bidi w:val="0"/>
        <w:ind w:leftChars="0" w:firstLine="560" w:firstLineChars="200"/>
        <w:rPr>
          <w:rFonts w:hint="default"/>
          <w:sz w:val="28"/>
          <w:szCs w:val="28"/>
        </w:rPr>
      </w:pPr>
      <w:r>
        <w:rPr>
          <w:rFonts w:hint="eastAsia"/>
          <w:sz w:val="28"/>
          <w:szCs w:val="28"/>
          <w:lang w:val="en-US" w:eastAsia="zh-CN"/>
        </w:rPr>
        <w:t>5.1</w:t>
      </w:r>
      <w:r>
        <w:rPr>
          <w:rFonts w:hint="default"/>
          <w:sz w:val="28"/>
          <w:szCs w:val="28"/>
        </w:rPr>
        <w:t>引言</w:t>
      </w:r>
      <w:bookmarkStart w:id="0" w:name="_GoBack"/>
      <w:bookmarkEnd w:id="0"/>
    </w:p>
    <w:p>
      <w:pPr>
        <w:pStyle w:val="22"/>
        <w:bidi w:val="0"/>
        <w:rPr>
          <w:rFonts w:hint="default"/>
          <w:sz w:val="28"/>
          <w:szCs w:val="28"/>
        </w:rPr>
      </w:pPr>
      <w:r>
        <w:rPr>
          <w:rFonts w:hint="eastAsia"/>
          <w:sz w:val="28"/>
          <w:szCs w:val="28"/>
          <w:lang w:val="en-US" w:eastAsia="zh-CN"/>
        </w:rPr>
        <w:t>介绍了规范的编制依据及标准参考情况</w:t>
      </w:r>
      <w:r>
        <w:rPr>
          <w:rFonts w:hint="default"/>
          <w:sz w:val="28"/>
          <w:szCs w:val="28"/>
          <w:lang w:val="en-US" w:eastAsia="zh-CN"/>
        </w:rPr>
        <w:t>。</w:t>
      </w:r>
    </w:p>
    <w:p>
      <w:pPr>
        <w:pStyle w:val="21"/>
        <w:numPr>
          <w:ilvl w:val="0"/>
          <w:numId w:val="0"/>
        </w:numPr>
        <w:bidi w:val="0"/>
        <w:ind w:leftChars="0" w:firstLine="560" w:firstLineChars="200"/>
        <w:rPr>
          <w:rFonts w:hint="default"/>
          <w:lang w:val="en-US" w:eastAsia="zh-CN"/>
        </w:rPr>
      </w:pPr>
      <w:r>
        <w:rPr>
          <w:rFonts w:hint="eastAsia"/>
          <w:lang w:val="en-US" w:eastAsia="zh-CN"/>
        </w:rPr>
        <w:t>5.2</w:t>
      </w:r>
      <w:r>
        <w:rPr>
          <w:rFonts w:hint="default"/>
          <w:lang w:val="en-US" w:eastAsia="zh-CN"/>
        </w:rPr>
        <w:t>范围</w:t>
      </w:r>
    </w:p>
    <w:p>
      <w:pPr>
        <w:pStyle w:val="22"/>
        <w:bidi w:val="0"/>
        <w:rPr>
          <w:rFonts w:hint="default"/>
          <w:sz w:val="28"/>
          <w:szCs w:val="28"/>
          <w:lang w:val="zh-CN" w:eastAsia="zh-CN"/>
        </w:rPr>
      </w:pPr>
      <w:r>
        <w:rPr>
          <w:rFonts w:hint="default"/>
          <w:sz w:val="28"/>
          <w:szCs w:val="28"/>
          <w:lang w:val="en-US" w:eastAsia="zh-CN"/>
        </w:rPr>
        <w:t>本规范适用于</w:t>
      </w:r>
      <w:r>
        <w:rPr>
          <w:rFonts w:hint="eastAsia"/>
          <w:sz w:val="28"/>
          <w:szCs w:val="28"/>
          <w:lang w:val="en-US" w:eastAsia="zh-CN"/>
        </w:rPr>
        <w:t>环境空气二氧化碳在线监测仪</w:t>
      </w:r>
      <w:r>
        <w:rPr>
          <w:rFonts w:hint="default"/>
          <w:sz w:val="28"/>
          <w:szCs w:val="28"/>
          <w:lang w:val="en-US" w:eastAsia="zh-CN"/>
        </w:rPr>
        <w:t>的校准</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Cs w:val="24"/>
        </w:rPr>
        <w:t>所适用的测量范围为：</w:t>
      </w:r>
      <w:r>
        <w:rPr>
          <w:rFonts w:hint="default" w:ascii="Times New Roman" w:hAnsi="Times New Roman" w:eastAsia="仿宋_GB2312" w:cs="Times New Roman"/>
          <w:szCs w:val="24"/>
        </w:rPr>
        <w:t>CO</w:t>
      </w:r>
      <w:r>
        <w:rPr>
          <w:rFonts w:hint="default" w:ascii="Times New Roman" w:hAnsi="Times New Roman" w:eastAsia="仿宋_GB2312" w:cs="Times New Roman"/>
          <w:szCs w:val="24"/>
          <w:vertAlign w:val="subscript"/>
        </w:rPr>
        <w:t>2</w:t>
      </w:r>
      <w:r>
        <w:rPr>
          <w:rFonts w:hint="default" w:ascii="Times New Roman" w:hAnsi="Times New Roman" w:eastAsia="仿宋_GB2312" w:cs="Times New Roman"/>
          <w:szCs w:val="24"/>
        </w:rPr>
        <w:t>（0~</w:t>
      </w:r>
      <w:r>
        <w:rPr>
          <w:rFonts w:hint="default" w:ascii="Times New Roman" w:hAnsi="Times New Roman" w:eastAsia="仿宋_GB2312" w:cs="Times New Roman"/>
          <w:szCs w:val="24"/>
          <w:lang w:val="en-US"/>
        </w:rPr>
        <w:t>2</w:t>
      </w:r>
      <w:r>
        <w:rPr>
          <w:rFonts w:hint="default" w:ascii="Times New Roman" w:hAnsi="Times New Roman" w:eastAsia="仿宋_GB2312" w:cs="Times New Roman"/>
          <w:szCs w:val="24"/>
        </w:rPr>
        <w:t>000）μmol/mol</w:t>
      </w:r>
      <w:r>
        <w:rPr>
          <w:rFonts w:hint="eastAsia" w:ascii="仿宋_GB2312" w:hAnsi="仿宋_GB2312" w:eastAsia="仿宋_GB2312" w:cs="仿宋_GB2312"/>
          <w:sz w:val="28"/>
          <w:szCs w:val="28"/>
          <w:lang w:val="zh-CN" w:eastAsia="zh-CN"/>
        </w:rPr>
        <w:t>。</w:t>
      </w:r>
    </w:p>
    <w:p>
      <w:pPr>
        <w:pStyle w:val="21"/>
        <w:numPr>
          <w:ilvl w:val="0"/>
          <w:numId w:val="0"/>
        </w:numPr>
        <w:bidi w:val="0"/>
        <w:ind w:leftChars="0" w:firstLine="560" w:firstLineChars="200"/>
        <w:rPr>
          <w:rFonts w:hint="default"/>
          <w:sz w:val="28"/>
          <w:szCs w:val="28"/>
          <w:lang w:val="en-US" w:eastAsia="zh-CN"/>
        </w:rPr>
      </w:pPr>
      <w:r>
        <w:rPr>
          <w:rFonts w:hint="eastAsia"/>
          <w:sz w:val="28"/>
          <w:szCs w:val="28"/>
          <w:lang w:val="en-US" w:eastAsia="zh-CN"/>
        </w:rPr>
        <w:t>5.3概述</w:t>
      </w:r>
    </w:p>
    <w:p>
      <w:pPr>
        <w:pStyle w:val="22"/>
        <w:bidi w:val="0"/>
        <w:rPr>
          <w:rFonts w:hint="default"/>
          <w:sz w:val="28"/>
          <w:szCs w:val="28"/>
          <w:lang w:val="en-US" w:eastAsia="zh-CN"/>
        </w:rPr>
      </w:pPr>
      <w:r>
        <w:rPr>
          <w:rFonts w:hint="eastAsia"/>
          <w:sz w:val="28"/>
          <w:szCs w:val="28"/>
          <w:lang w:val="en-US" w:eastAsia="zh-CN"/>
        </w:rPr>
        <w:t>介绍了环境空气二氧化碳在线监测仪的用途、组成及原理等相关情况。</w:t>
      </w:r>
    </w:p>
    <w:p>
      <w:pPr>
        <w:pStyle w:val="21"/>
        <w:numPr>
          <w:ilvl w:val="0"/>
          <w:numId w:val="0"/>
        </w:numPr>
        <w:bidi w:val="0"/>
        <w:ind w:leftChars="0" w:firstLine="560" w:firstLineChars="200"/>
        <w:rPr>
          <w:rFonts w:hint="default"/>
          <w:sz w:val="28"/>
          <w:szCs w:val="28"/>
          <w:lang w:val="en-US" w:eastAsia="zh-CN"/>
        </w:rPr>
      </w:pPr>
      <w:r>
        <w:rPr>
          <w:rFonts w:hint="eastAsia"/>
          <w:sz w:val="28"/>
          <w:szCs w:val="28"/>
          <w:lang w:val="en-US" w:eastAsia="zh-CN"/>
        </w:rPr>
        <w:t>5.4计量特性</w:t>
      </w:r>
    </w:p>
    <w:p>
      <w:pPr>
        <w:pStyle w:val="22"/>
        <w:bidi w:val="0"/>
        <w:rPr>
          <w:rFonts w:hint="default"/>
          <w:sz w:val="28"/>
          <w:szCs w:val="28"/>
          <w:lang w:val="en-US" w:eastAsia="zh-CN"/>
        </w:rPr>
      </w:pPr>
      <w:r>
        <w:rPr>
          <w:rFonts w:hint="eastAsia"/>
          <w:sz w:val="28"/>
          <w:szCs w:val="28"/>
          <w:lang w:val="en-US" w:eastAsia="zh-CN"/>
        </w:rPr>
        <w:t>规定了环境空气二氧化碳在线监测仪的计量特性。</w:t>
      </w:r>
    </w:p>
    <w:p>
      <w:pPr>
        <w:pStyle w:val="21"/>
        <w:numPr>
          <w:ilvl w:val="0"/>
          <w:numId w:val="0"/>
        </w:numPr>
        <w:bidi w:val="0"/>
        <w:ind w:leftChars="0" w:firstLine="560" w:firstLineChars="200"/>
        <w:rPr>
          <w:rFonts w:hint="default"/>
          <w:sz w:val="28"/>
          <w:szCs w:val="28"/>
          <w:lang w:val="en-US" w:eastAsia="zh-CN"/>
        </w:rPr>
      </w:pPr>
      <w:r>
        <w:rPr>
          <w:rFonts w:hint="eastAsia"/>
          <w:sz w:val="28"/>
          <w:szCs w:val="28"/>
          <w:lang w:val="en-US" w:eastAsia="zh-CN"/>
        </w:rPr>
        <w:t>5.5校准条件</w:t>
      </w:r>
    </w:p>
    <w:p>
      <w:pPr>
        <w:pStyle w:val="22"/>
        <w:bidi w:val="0"/>
        <w:rPr>
          <w:rFonts w:hint="default"/>
          <w:sz w:val="28"/>
          <w:szCs w:val="28"/>
          <w:lang w:val="en-US" w:eastAsia="zh-CN"/>
        </w:rPr>
      </w:pPr>
      <w:r>
        <w:rPr>
          <w:rFonts w:hint="eastAsia"/>
          <w:sz w:val="28"/>
          <w:szCs w:val="28"/>
          <w:lang w:val="en-US" w:eastAsia="zh-CN"/>
        </w:rPr>
        <w:t>规定了环境空气二氧化碳在线监测仪校准应满足的环境条件，以及所需要配备的计量器具及相应技术指标。</w:t>
      </w:r>
    </w:p>
    <w:p>
      <w:pPr>
        <w:pStyle w:val="21"/>
        <w:numPr>
          <w:ilvl w:val="0"/>
          <w:numId w:val="0"/>
        </w:numPr>
        <w:bidi w:val="0"/>
        <w:ind w:leftChars="0" w:firstLine="560" w:firstLineChars="200"/>
        <w:rPr>
          <w:rFonts w:hint="default"/>
          <w:sz w:val="28"/>
          <w:szCs w:val="28"/>
          <w:lang w:val="en-US" w:eastAsia="zh-CN"/>
        </w:rPr>
      </w:pPr>
      <w:r>
        <w:rPr>
          <w:rFonts w:hint="eastAsia"/>
          <w:sz w:val="28"/>
          <w:szCs w:val="28"/>
          <w:lang w:val="en-US" w:eastAsia="zh-CN"/>
        </w:rPr>
        <w:t>5.6校准项目和方法</w:t>
      </w:r>
    </w:p>
    <w:p>
      <w:pPr>
        <w:pStyle w:val="22"/>
        <w:bidi w:val="0"/>
        <w:rPr>
          <w:rFonts w:hint="default"/>
          <w:sz w:val="28"/>
          <w:szCs w:val="28"/>
          <w:lang w:val="en-US" w:eastAsia="zh-CN"/>
        </w:rPr>
      </w:pPr>
      <w:r>
        <w:rPr>
          <w:rFonts w:hint="eastAsia"/>
          <w:sz w:val="28"/>
          <w:szCs w:val="28"/>
          <w:lang w:val="en-US" w:eastAsia="zh-CN"/>
        </w:rPr>
        <w:t>规定了环境空气二氧化碳在线监测仪工况状态及非工况状态下各项目的校准方法。包括示值误差、重复性、响应时间、零点漂移、量程漂移。</w:t>
      </w:r>
    </w:p>
    <w:p>
      <w:pPr>
        <w:pStyle w:val="21"/>
        <w:numPr>
          <w:ilvl w:val="0"/>
          <w:numId w:val="0"/>
        </w:numPr>
        <w:bidi w:val="0"/>
        <w:ind w:leftChars="0" w:firstLine="560" w:firstLineChars="200"/>
        <w:rPr>
          <w:rFonts w:hint="default"/>
          <w:sz w:val="28"/>
          <w:szCs w:val="28"/>
          <w:lang w:val="zh-CN" w:eastAsia="zh-CN"/>
        </w:rPr>
      </w:pPr>
      <w:r>
        <w:rPr>
          <w:rFonts w:hint="eastAsia"/>
          <w:sz w:val="28"/>
          <w:szCs w:val="28"/>
          <w:lang w:val="en-US" w:eastAsia="zh-CN"/>
        </w:rPr>
        <w:t>5.7</w:t>
      </w:r>
      <w:r>
        <w:rPr>
          <w:rFonts w:hint="default"/>
          <w:sz w:val="28"/>
          <w:szCs w:val="28"/>
          <w:lang w:val="zh-CN" w:eastAsia="zh-CN"/>
        </w:rPr>
        <w:t>校准结果的表达</w:t>
      </w:r>
    </w:p>
    <w:p>
      <w:pPr>
        <w:pStyle w:val="22"/>
        <w:bidi w:val="0"/>
        <w:rPr>
          <w:rFonts w:hint="default"/>
          <w:sz w:val="28"/>
          <w:szCs w:val="28"/>
          <w:lang w:val="en-US" w:eastAsia="zh-CN"/>
        </w:rPr>
      </w:pPr>
      <w:r>
        <w:rPr>
          <w:rFonts w:hint="eastAsia"/>
          <w:sz w:val="28"/>
          <w:szCs w:val="28"/>
          <w:lang w:val="en-US" w:eastAsia="zh-CN"/>
        </w:rPr>
        <w:t>规定了环境空气二氧化碳在线监测仪校准证书至少应包含的内容。</w:t>
      </w:r>
    </w:p>
    <w:p>
      <w:pPr>
        <w:pStyle w:val="21"/>
        <w:numPr>
          <w:ilvl w:val="0"/>
          <w:numId w:val="0"/>
        </w:numPr>
        <w:bidi w:val="0"/>
        <w:ind w:leftChars="0" w:firstLine="560" w:firstLineChars="200"/>
        <w:rPr>
          <w:rFonts w:hint="default"/>
          <w:sz w:val="28"/>
          <w:szCs w:val="28"/>
          <w:lang w:val="zh-CN" w:eastAsia="zh-CN"/>
        </w:rPr>
      </w:pPr>
      <w:r>
        <w:rPr>
          <w:rFonts w:hint="eastAsia"/>
          <w:sz w:val="28"/>
          <w:szCs w:val="28"/>
          <w:lang w:val="en-US" w:eastAsia="zh-CN"/>
        </w:rPr>
        <w:t>5.8</w:t>
      </w:r>
      <w:r>
        <w:rPr>
          <w:rFonts w:hint="default"/>
          <w:sz w:val="28"/>
          <w:szCs w:val="28"/>
          <w:lang w:val="zh-CN" w:eastAsia="zh-CN"/>
        </w:rPr>
        <w:t>复校时间间隔</w:t>
      </w:r>
    </w:p>
    <w:p>
      <w:pPr>
        <w:pStyle w:val="22"/>
        <w:bidi w:val="0"/>
        <w:rPr>
          <w:rFonts w:hint="default"/>
          <w:sz w:val="28"/>
          <w:szCs w:val="28"/>
          <w:lang w:val="zh-CN" w:eastAsia="zh-CN"/>
        </w:rPr>
      </w:pPr>
      <w:r>
        <w:rPr>
          <w:rFonts w:hint="eastAsia"/>
          <w:sz w:val="28"/>
          <w:szCs w:val="28"/>
          <w:lang w:val="en-US" w:eastAsia="zh-CN"/>
        </w:rPr>
        <w:t>规定了环境空气二氧化碳在线监测仪的建议复校时间间隔。</w:t>
      </w:r>
    </w:p>
    <w:p>
      <w:pPr>
        <w:pStyle w:val="21"/>
        <w:numPr>
          <w:ilvl w:val="0"/>
          <w:numId w:val="0"/>
        </w:numPr>
        <w:bidi w:val="0"/>
        <w:ind w:leftChars="0" w:firstLine="560" w:firstLineChars="200"/>
        <w:rPr>
          <w:rFonts w:hint="default"/>
          <w:sz w:val="28"/>
          <w:szCs w:val="28"/>
          <w:lang w:val="zh-CN" w:eastAsia="zh-CN"/>
        </w:rPr>
      </w:pPr>
      <w:r>
        <w:rPr>
          <w:rFonts w:hint="eastAsia"/>
          <w:sz w:val="28"/>
          <w:szCs w:val="28"/>
          <w:lang w:val="en-US" w:eastAsia="zh-CN"/>
        </w:rPr>
        <w:t>5.9</w:t>
      </w:r>
      <w:r>
        <w:rPr>
          <w:rFonts w:hint="default"/>
          <w:sz w:val="28"/>
          <w:szCs w:val="28"/>
          <w:lang w:val="zh-CN" w:eastAsia="zh-CN"/>
        </w:rPr>
        <w:t>附录A</w:t>
      </w:r>
    </w:p>
    <w:p>
      <w:pPr>
        <w:pStyle w:val="22"/>
        <w:bidi w:val="0"/>
        <w:rPr>
          <w:rFonts w:hint="default"/>
          <w:sz w:val="28"/>
          <w:szCs w:val="28"/>
          <w:lang w:val="en-US" w:eastAsia="zh-CN"/>
        </w:rPr>
      </w:pPr>
      <w:r>
        <w:rPr>
          <w:rFonts w:hint="eastAsia"/>
          <w:sz w:val="28"/>
          <w:szCs w:val="28"/>
          <w:lang w:val="en-US" w:eastAsia="zh-CN"/>
        </w:rPr>
        <w:t>给出了环境空气二氧化碳在线监测仪校准原始记录参考格式。</w:t>
      </w:r>
    </w:p>
    <w:p>
      <w:pPr>
        <w:pStyle w:val="21"/>
        <w:numPr>
          <w:ilvl w:val="0"/>
          <w:numId w:val="0"/>
        </w:numPr>
        <w:bidi w:val="0"/>
        <w:ind w:leftChars="0" w:firstLine="560" w:firstLineChars="200"/>
        <w:rPr>
          <w:rFonts w:hint="default"/>
          <w:sz w:val="28"/>
          <w:szCs w:val="28"/>
          <w:lang w:val="zh-CN" w:eastAsia="zh-CN"/>
        </w:rPr>
      </w:pPr>
      <w:r>
        <w:rPr>
          <w:rFonts w:hint="eastAsia"/>
          <w:sz w:val="28"/>
          <w:szCs w:val="28"/>
          <w:lang w:val="en-US" w:eastAsia="zh-CN"/>
        </w:rPr>
        <w:t>5.10</w:t>
      </w:r>
      <w:r>
        <w:rPr>
          <w:rFonts w:hint="default"/>
          <w:sz w:val="28"/>
          <w:szCs w:val="28"/>
          <w:lang w:val="zh-CN" w:eastAsia="zh-CN"/>
        </w:rPr>
        <w:t>附录B</w:t>
      </w:r>
    </w:p>
    <w:p>
      <w:pPr>
        <w:pStyle w:val="22"/>
        <w:bidi w:val="0"/>
        <w:rPr>
          <w:rFonts w:hint="default"/>
          <w:sz w:val="28"/>
          <w:szCs w:val="28"/>
          <w:lang w:val="en-US" w:eastAsia="zh-CN"/>
        </w:rPr>
      </w:pPr>
      <w:r>
        <w:rPr>
          <w:rFonts w:hint="eastAsia"/>
          <w:sz w:val="28"/>
          <w:szCs w:val="28"/>
          <w:lang w:val="en-US" w:eastAsia="zh-CN"/>
        </w:rPr>
        <w:t>给出了环境空气二氧化碳在线监测仪校准证书内页的参考格式。</w:t>
      </w:r>
    </w:p>
    <w:p>
      <w:pPr>
        <w:pStyle w:val="21"/>
        <w:numPr>
          <w:ilvl w:val="0"/>
          <w:numId w:val="0"/>
        </w:numPr>
        <w:bidi w:val="0"/>
        <w:ind w:leftChars="0" w:firstLine="560" w:firstLineChars="200"/>
        <w:rPr>
          <w:rFonts w:hint="default"/>
          <w:sz w:val="28"/>
          <w:szCs w:val="28"/>
          <w:lang w:val="zh-CN" w:eastAsia="zh-CN"/>
        </w:rPr>
      </w:pPr>
      <w:r>
        <w:rPr>
          <w:rFonts w:hint="eastAsia"/>
          <w:sz w:val="28"/>
          <w:szCs w:val="28"/>
          <w:lang w:val="en-US" w:eastAsia="zh-CN"/>
        </w:rPr>
        <w:t>5.11</w:t>
      </w:r>
      <w:r>
        <w:rPr>
          <w:rFonts w:hint="default"/>
          <w:sz w:val="28"/>
          <w:szCs w:val="28"/>
          <w:lang w:val="zh-CN" w:eastAsia="zh-CN"/>
        </w:rPr>
        <w:t>附录</w:t>
      </w:r>
      <w:r>
        <w:rPr>
          <w:rFonts w:hint="eastAsia"/>
          <w:sz w:val="28"/>
          <w:szCs w:val="28"/>
          <w:lang w:val="en-US" w:eastAsia="zh-CN"/>
        </w:rPr>
        <w:t>C</w:t>
      </w:r>
    </w:p>
    <w:p>
      <w:pPr>
        <w:pStyle w:val="22"/>
        <w:bidi w:val="0"/>
        <w:rPr>
          <w:rFonts w:hint="default"/>
          <w:sz w:val="28"/>
          <w:szCs w:val="28"/>
          <w:lang w:val="en-US" w:eastAsia="zh-CN"/>
        </w:rPr>
      </w:pPr>
      <w:r>
        <w:rPr>
          <w:rFonts w:hint="eastAsia"/>
          <w:sz w:val="28"/>
          <w:szCs w:val="28"/>
          <w:lang w:val="en-US" w:eastAsia="zh-CN"/>
        </w:rPr>
        <w:t>给出了环境空气二氧化碳在线监测仪测量结果不确定度的评定示例。</w:t>
      </w:r>
    </w:p>
    <w:p>
      <w:pPr>
        <w:spacing w:line="360" w:lineRule="auto"/>
        <w:ind w:firstLine="642" w:firstLineChars="200"/>
        <w:jc w:val="right"/>
        <w:rPr>
          <w:rFonts w:hint="default" w:ascii="Times New Roman" w:hAnsi="Times New Roman" w:eastAsia="仿宋_GB2312" w:cs="Times New Roman"/>
          <w:b/>
          <w:bCs/>
          <w:color w:val="000000"/>
          <w:kern w:val="0"/>
          <w:sz w:val="32"/>
          <w:szCs w:val="32"/>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仿宋">
    <w:panose1 w:val="02010609060101010101"/>
    <w:charset w:val="86"/>
    <w:family w:val="modern"/>
    <w:pitch w:val="default"/>
    <w:sig w:usb0="800002BF" w:usb1="38CF7CFA" w:usb2="00000016" w:usb3="00000000" w:csb0="00040001" w:csb1="00000000"/>
  </w:font>
  <w:font w:name="Tahoma">
    <w:altName w:val="DejaVu Sans"/>
    <w:panose1 w:val="020B0604030504040204"/>
    <w:charset w:val="00"/>
    <w:family w:val="swiss"/>
    <w:pitch w:val="default"/>
    <w:sig w:usb0="00000000" w:usb1="00000000"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SECTIONPAGES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">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SECTIONPAGES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F395ED"/>
    <w:multiLevelType w:val="singleLevel"/>
    <w:tmpl w:val="C5F395ED"/>
    <w:lvl w:ilvl="0" w:tentative="0">
      <w:start w:val="1"/>
      <w:numFmt w:val="decimal"/>
      <w:pStyle w:val="21"/>
      <w:suff w:val="nothing"/>
      <w:lvlText w:val="6.%1"/>
      <w:lvlJc w:val="left"/>
      <w:pPr>
        <w:tabs>
          <w:tab w:val="left" w:pos="0"/>
        </w:tabs>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2NmU3N2RkODQ3NDA4YjY0MTI0NTQxOWQ1NzQ0NTgifQ=="/>
  </w:docVars>
  <w:rsids>
    <w:rsidRoot w:val="00B54640"/>
    <w:rsid w:val="00002AA3"/>
    <w:rsid w:val="000111A8"/>
    <w:rsid w:val="00024AD0"/>
    <w:rsid w:val="000432E4"/>
    <w:rsid w:val="00045408"/>
    <w:rsid w:val="00065747"/>
    <w:rsid w:val="00072F9E"/>
    <w:rsid w:val="0007518D"/>
    <w:rsid w:val="00081136"/>
    <w:rsid w:val="000967E5"/>
    <w:rsid w:val="000E2DB0"/>
    <w:rsid w:val="000E5EEA"/>
    <w:rsid w:val="00100600"/>
    <w:rsid w:val="0010628C"/>
    <w:rsid w:val="00117225"/>
    <w:rsid w:val="00125ED1"/>
    <w:rsid w:val="001261FB"/>
    <w:rsid w:val="001459EA"/>
    <w:rsid w:val="001B240D"/>
    <w:rsid w:val="001B7FCF"/>
    <w:rsid w:val="001E60B2"/>
    <w:rsid w:val="001E66BB"/>
    <w:rsid w:val="001F49A2"/>
    <w:rsid w:val="00223F43"/>
    <w:rsid w:val="00251635"/>
    <w:rsid w:val="002570E7"/>
    <w:rsid w:val="00263B08"/>
    <w:rsid w:val="00270389"/>
    <w:rsid w:val="00277F67"/>
    <w:rsid w:val="002A4354"/>
    <w:rsid w:val="002B33FD"/>
    <w:rsid w:val="002C51E6"/>
    <w:rsid w:val="002C669B"/>
    <w:rsid w:val="002E48F8"/>
    <w:rsid w:val="002F3A23"/>
    <w:rsid w:val="002F4F4A"/>
    <w:rsid w:val="002F62C6"/>
    <w:rsid w:val="0032722A"/>
    <w:rsid w:val="003573A8"/>
    <w:rsid w:val="00381661"/>
    <w:rsid w:val="0038241B"/>
    <w:rsid w:val="00394E55"/>
    <w:rsid w:val="00395198"/>
    <w:rsid w:val="003C5A51"/>
    <w:rsid w:val="003D013C"/>
    <w:rsid w:val="003D2031"/>
    <w:rsid w:val="00401C38"/>
    <w:rsid w:val="004860B6"/>
    <w:rsid w:val="004A1A3B"/>
    <w:rsid w:val="004B3375"/>
    <w:rsid w:val="005251DD"/>
    <w:rsid w:val="00562E3C"/>
    <w:rsid w:val="005652D8"/>
    <w:rsid w:val="00574624"/>
    <w:rsid w:val="005A612F"/>
    <w:rsid w:val="00613688"/>
    <w:rsid w:val="006153FD"/>
    <w:rsid w:val="0062394B"/>
    <w:rsid w:val="006242C0"/>
    <w:rsid w:val="006271FF"/>
    <w:rsid w:val="00662957"/>
    <w:rsid w:val="006701C4"/>
    <w:rsid w:val="00687895"/>
    <w:rsid w:val="00696AF4"/>
    <w:rsid w:val="006B1DD1"/>
    <w:rsid w:val="006D7356"/>
    <w:rsid w:val="006F02C0"/>
    <w:rsid w:val="007031ED"/>
    <w:rsid w:val="0071685C"/>
    <w:rsid w:val="00722AA5"/>
    <w:rsid w:val="00733A45"/>
    <w:rsid w:val="0073635D"/>
    <w:rsid w:val="00750174"/>
    <w:rsid w:val="0077158A"/>
    <w:rsid w:val="00771DEF"/>
    <w:rsid w:val="00773570"/>
    <w:rsid w:val="007B25BD"/>
    <w:rsid w:val="007B2834"/>
    <w:rsid w:val="007C5393"/>
    <w:rsid w:val="007D5260"/>
    <w:rsid w:val="007E5E98"/>
    <w:rsid w:val="00826FCD"/>
    <w:rsid w:val="00850060"/>
    <w:rsid w:val="008579E9"/>
    <w:rsid w:val="008653E2"/>
    <w:rsid w:val="00874983"/>
    <w:rsid w:val="00893810"/>
    <w:rsid w:val="008B4210"/>
    <w:rsid w:val="008C3162"/>
    <w:rsid w:val="008C4F78"/>
    <w:rsid w:val="008D28EC"/>
    <w:rsid w:val="008E19E6"/>
    <w:rsid w:val="009048DA"/>
    <w:rsid w:val="00913326"/>
    <w:rsid w:val="0092603E"/>
    <w:rsid w:val="00946452"/>
    <w:rsid w:val="00946591"/>
    <w:rsid w:val="00955312"/>
    <w:rsid w:val="00957A50"/>
    <w:rsid w:val="009751AB"/>
    <w:rsid w:val="009770CA"/>
    <w:rsid w:val="009D2AF8"/>
    <w:rsid w:val="009E17C5"/>
    <w:rsid w:val="009E339B"/>
    <w:rsid w:val="009E44E4"/>
    <w:rsid w:val="009E7041"/>
    <w:rsid w:val="009F2C31"/>
    <w:rsid w:val="00A012B3"/>
    <w:rsid w:val="00A04927"/>
    <w:rsid w:val="00A05AE6"/>
    <w:rsid w:val="00A567A6"/>
    <w:rsid w:val="00A64693"/>
    <w:rsid w:val="00A7623B"/>
    <w:rsid w:val="00A80411"/>
    <w:rsid w:val="00A86118"/>
    <w:rsid w:val="00AA116A"/>
    <w:rsid w:val="00AB7160"/>
    <w:rsid w:val="00AC1AB0"/>
    <w:rsid w:val="00AC772D"/>
    <w:rsid w:val="00AE5608"/>
    <w:rsid w:val="00B05475"/>
    <w:rsid w:val="00B07C01"/>
    <w:rsid w:val="00B2138A"/>
    <w:rsid w:val="00B4181C"/>
    <w:rsid w:val="00B54640"/>
    <w:rsid w:val="00B63A7B"/>
    <w:rsid w:val="00B743BA"/>
    <w:rsid w:val="00B7465D"/>
    <w:rsid w:val="00B82E98"/>
    <w:rsid w:val="00B8579F"/>
    <w:rsid w:val="00B86C46"/>
    <w:rsid w:val="00B874B7"/>
    <w:rsid w:val="00BA7BCA"/>
    <w:rsid w:val="00BB3955"/>
    <w:rsid w:val="00BC1746"/>
    <w:rsid w:val="00BC7D1B"/>
    <w:rsid w:val="00BD3C91"/>
    <w:rsid w:val="00BE40E0"/>
    <w:rsid w:val="00BF1A73"/>
    <w:rsid w:val="00C44DF3"/>
    <w:rsid w:val="00CD2418"/>
    <w:rsid w:val="00CF0364"/>
    <w:rsid w:val="00CF4109"/>
    <w:rsid w:val="00CF61EA"/>
    <w:rsid w:val="00D25C02"/>
    <w:rsid w:val="00D77E8B"/>
    <w:rsid w:val="00DA3C85"/>
    <w:rsid w:val="00DA5E07"/>
    <w:rsid w:val="00DB2A21"/>
    <w:rsid w:val="00DD070C"/>
    <w:rsid w:val="00DD1151"/>
    <w:rsid w:val="00DD3E9D"/>
    <w:rsid w:val="00DE0F1F"/>
    <w:rsid w:val="00E20DC2"/>
    <w:rsid w:val="00E70CBD"/>
    <w:rsid w:val="00E71A9D"/>
    <w:rsid w:val="00E82372"/>
    <w:rsid w:val="00EA0A61"/>
    <w:rsid w:val="00EB224D"/>
    <w:rsid w:val="00EE2740"/>
    <w:rsid w:val="00F20547"/>
    <w:rsid w:val="00F447F0"/>
    <w:rsid w:val="00F47556"/>
    <w:rsid w:val="00F52297"/>
    <w:rsid w:val="00F53ABF"/>
    <w:rsid w:val="00F6753A"/>
    <w:rsid w:val="00F73BA8"/>
    <w:rsid w:val="00F748FC"/>
    <w:rsid w:val="00FD6F04"/>
    <w:rsid w:val="01CB58C2"/>
    <w:rsid w:val="05FC223C"/>
    <w:rsid w:val="061C3F4A"/>
    <w:rsid w:val="072E02D5"/>
    <w:rsid w:val="0757482B"/>
    <w:rsid w:val="07B94603"/>
    <w:rsid w:val="0A700A33"/>
    <w:rsid w:val="0B59666F"/>
    <w:rsid w:val="0E08495E"/>
    <w:rsid w:val="0EAA7C1C"/>
    <w:rsid w:val="11F052D6"/>
    <w:rsid w:val="12596C37"/>
    <w:rsid w:val="13E31F29"/>
    <w:rsid w:val="13F83153"/>
    <w:rsid w:val="14E06A25"/>
    <w:rsid w:val="191A0873"/>
    <w:rsid w:val="1A2A56C6"/>
    <w:rsid w:val="1D0417DD"/>
    <w:rsid w:val="1D8E3A41"/>
    <w:rsid w:val="1DC174AD"/>
    <w:rsid w:val="20240065"/>
    <w:rsid w:val="203613F7"/>
    <w:rsid w:val="21917088"/>
    <w:rsid w:val="23993581"/>
    <w:rsid w:val="24EF4B49"/>
    <w:rsid w:val="252512E3"/>
    <w:rsid w:val="28722A91"/>
    <w:rsid w:val="2BF63D51"/>
    <w:rsid w:val="2C210873"/>
    <w:rsid w:val="2C9D5212"/>
    <w:rsid w:val="2EBC4A66"/>
    <w:rsid w:val="2F39109A"/>
    <w:rsid w:val="2F996633"/>
    <w:rsid w:val="32F10A57"/>
    <w:rsid w:val="333D0C66"/>
    <w:rsid w:val="33CC6B7F"/>
    <w:rsid w:val="340F71F4"/>
    <w:rsid w:val="38014AC7"/>
    <w:rsid w:val="38B00893"/>
    <w:rsid w:val="3B1D6917"/>
    <w:rsid w:val="3BEB24E7"/>
    <w:rsid w:val="3CA05E05"/>
    <w:rsid w:val="3EAA0C79"/>
    <w:rsid w:val="3F1C2A13"/>
    <w:rsid w:val="3F4A1C1A"/>
    <w:rsid w:val="40D52048"/>
    <w:rsid w:val="41774FF8"/>
    <w:rsid w:val="417C1E33"/>
    <w:rsid w:val="43684434"/>
    <w:rsid w:val="44C26FA3"/>
    <w:rsid w:val="45173816"/>
    <w:rsid w:val="46035CF5"/>
    <w:rsid w:val="476E1BC4"/>
    <w:rsid w:val="49306CF7"/>
    <w:rsid w:val="49547761"/>
    <w:rsid w:val="4AC67B9D"/>
    <w:rsid w:val="4C835885"/>
    <w:rsid w:val="4C8C3872"/>
    <w:rsid w:val="4EE96D5A"/>
    <w:rsid w:val="505A792C"/>
    <w:rsid w:val="511B6357"/>
    <w:rsid w:val="544F332D"/>
    <w:rsid w:val="54C21E15"/>
    <w:rsid w:val="55DE5100"/>
    <w:rsid w:val="56517337"/>
    <w:rsid w:val="59484FC5"/>
    <w:rsid w:val="5EF86B45"/>
    <w:rsid w:val="5FE25A0A"/>
    <w:rsid w:val="629965C8"/>
    <w:rsid w:val="66AE5085"/>
    <w:rsid w:val="66E02478"/>
    <w:rsid w:val="678F3CB2"/>
    <w:rsid w:val="67DE73E1"/>
    <w:rsid w:val="68C728F9"/>
    <w:rsid w:val="6B380BB3"/>
    <w:rsid w:val="6C661592"/>
    <w:rsid w:val="6C77554D"/>
    <w:rsid w:val="6D964261"/>
    <w:rsid w:val="6DCA3571"/>
    <w:rsid w:val="71A44693"/>
    <w:rsid w:val="72507332"/>
    <w:rsid w:val="73B36106"/>
    <w:rsid w:val="74601B33"/>
    <w:rsid w:val="7553672D"/>
    <w:rsid w:val="770E2B74"/>
    <w:rsid w:val="77C47DAA"/>
    <w:rsid w:val="7C456D3F"/>
    <w:rsid w:val="7CC55E61"/>
    <w:rsid w:val="7DE94297"/>
    <w:rsid w:val="7DFC3B04"/>
    <w:rsid w:val="7FD7B06D"/>
    <w:rsid w:val="F7FF557C"/>
    <w:rsid w:val="FDFDFC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20"/>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6"/>
    <w:qFormat/>
    <w:uiPriority w:val="0"/>
    <w:pPr>
      <w:spacing w:after="120"/>
      <w:ind w:left="420" w:leftChars="200"/>
    </w:pPr>
    <w:rPr>
      <w:szCs w:val="20"/>
    </w:rPr>
  </w:style>
  <w:style w:type="paragraph" w:styleId="4">
    <w:name w:val="Body Text Indent 2"/>
    <w:basedOn w:val="1"/>
    <w:link w:val="17"/>
    <w:qFormat/>
    <w:uiPriority w:val="0"/>
    <w:pPr>
      <w:spacing w:after="120" w:line="480" w:lineRule="auto"/>
      <w:ind w:left="420" w:leftChars="200"/>
    </w:pPr>
  </w:style>
  <w:style w:type="paragraph" w:styleId="5">
    <w:name w:val="Balloon Text"/>
    <w:basedOn w:val="1"/>
    <w:link w:val="14"/>
    <w:qFormat/>
    <w:uiPriority w:val="0"/>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customStyle="1" w:styleId="12">
    <w:name w:val="页眉 Char"/>
    <w:basedOn w:val="10"/>
    <w:link w:val="7"/>
    <w:qFormat/>
    <w:uiPriority w:val="0"/>
    <w:rPr>
      <w:kern w:val="2"/>
      <w:sz w:val="18"/>
      <w:szCs w:val="18"/>
    </w:rPr>
  </w:style>
  <w:style w:type="character" w:customStyle="1" w:styleId="13">
    <w:name w:val="页脚 Char"/>
    <w:basedOn w:val="10"/>
    <w:link w:val="6"/>
    <w:qFormat/>
    <w:uiPriority w:val="99"/>
    <w:rPr>
      <w:kern w:val="2"/>
      <w:sz w:val="18"/>
      <w:szCs w:val="18"/>
    </w:rPr>
  </w:style>
  <w:style w:type="character" w:customStyle="1" w:styleId="14">
    <w:name w:val="批注框文本 Char"/>
    <w:basedOn w:val="10"/>
    <w:link w:val="5"/>
    <w:qFormat/>
    <w:uiPriority w:val="0"/>
    <w:rPr>
      <w:kern w:val="2"/>
      <w:sz w:val="18"/>
      <w:szCs w:val="18"/>
    </w:rPr>
  </w:style>
  <w:style w:type="paragraph" w:styleId="15">
    <w:name w:val="List Paragraph"/>
    <w:basedOn w:val="1"/>
    <w:qFormat/>
    <w:uiPriority w:val="34"/>
    <w:pPr>
      <w:ind w:firstLine="420" w:firstLineChars="200"/>
    </w:pPr>
  </w:style>
  <w:style w:type="character" w:customStyle="1" w:styleId="16">
    <w:name w:val="正文文本缩进 Char"/>
    <w:basedOn w:val="10"/>
    <w:link w:val="3"/>
    <w:qFormat/>
    <w:uiPriority w:val="0"/>
    <w:rPr>
      <w:kern w:val="2"/>
      <w:sz w:val="21"/>
    </w:rPr>
  </w:style>
  <w:style w:type="character" w:customStyle="1" w:styleId="17">
    <w:name w:val="正文文本缩进 2 Char"/>
    <w:basedOn w:val="10"/>
    <w:link w:val="4"/>
    <w:qFormat/>
    <w:uiPriority w:val="0"/>
    <w:rPr>
      <w:kern w:val="2"/>
      <w:sz w:val="21"/>
      <w:szCs w:val="24"/>
    </w:rPr>
  </w:style>
  <w:style w:type="paragraph" w:customStyle="1" w:styleId="18">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19">
    <w:name w:val="Char Char1 Char Char Char Char Char Char Char"/>
    <w:basedOn w:val="1"/>
    <w:qFormat/>
    <w:uiPriority w:val="0"/>
    <w:pPr>
      <w:widowControl/>
      <w:spacing w:after="160" w:line="240" w:lineRule="exact"/>
      <w:jc w:val="left"/>
    </w:pPr>
    <w:rPr>
      <w:rFonts w:ascii="Tahoma" w:hAnsi="Tahoma" w:eastAsia="Times New Roman" w:cs="Tahoma"/>
      <w:kern w:val="0"/>
      <w:sz w:val="20"/>
      <w:szCs w:val="20"/>
      <w:lang w:eastAsia="en-US"/>
    </w:rPr>
  </w:style>
  <w:style w:type="character" w:customStyle="1" w:styleId="20">
    <w:name w:val="标题 3 Char"/>
    <w:basedOn w:val="10"/>
    <w:link w:val="2"/>
    <w:qFormat/>
    <w:uiPriority w:val="9"/>
    <w:rPr>
      <w:rFonts w:ascii="宋体" w:hAnsi="宋体" w:cs="宋体"/>
      <w:b/>
      <w:bCs/>
      <w:sz w:val="27"/>
      <w:szCs w:val="27"/>
    </w:rPr>
  </w:style>
  <w:style w:type="paragraph" w:customStyle="1" w:styleId="21">
    <w:name w:val="5.1 标题"/>
    <w:basedOn w:val="1"/>
    <w:qFormat/>
    <w:uiPriority w:val="0"/>
    <w:pPr>
      <w:numPr>
        <w:ilvl w:val="0"/>
        <w:numId w:val="1"/>
      </w:numPr>
    </w:pPr>
    <w:rPr>
      <w:rFonts w:eastAsia="仿宋_GB2312"/>
      <w:color w:val="000000"/>
      <w:kern w:val="0"/>
      <w:sz w:val="28"/>
      <w:szCs w:val="28"/>
    </w:rPr>
  </w:style>
  <w:style w:type="paragraph" w:customStyle="1" w:styleId="22">
    <w:name w:val="正文1"/>
    <w:basedOn w:val="1"/>
    <w:qFormat/>
    <w:uiPriority w:val="0"/>
    <w:pPr>
      <w:spacing w:line="360" w:lineRule="auto"/>
      <w:ind w:firstLine="640" w:firstLineChars="200"/>
    </w:pPr>
    <w:rPr>
      <w:rFonts w:eastAsia="仿宋_GB2312"/>
      <w:color w:val="000000"/>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2595</Words>
  <Characters>2816</Characters>
  <Lines>22</Lines>
  <Paragraphs>6</Paragraphs>
  <TotalTime>4</TotalTime>
  <ScaleCrop>false</ScaleCrop>
  <LinksUpToDate>false</LinksUpToDate>
  <CharactersWithSpaces>2844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2020-04-15T03:09:00Z</dcterms:created>
  <dc:creator>Think</dc:creator>
  <cp:lastModifiedBy>scj</cp:lastModifiedBy>
  <dcterms:modified xsi:type="dcterms:W3CDTF">2024-11-05T08:59:08Z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C66B0240B39E444A9F2646B32ECEBB6B_13</vt:lpwstr>
  </property>
</Properties>
</file>