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rPr>
      </w:pPr>
    </w:p>
    <w:p>
      <w:pPr>
        <w:jc w:val="center"/>
        <w:rPr>
          <w:rFonts w:eastAsia="黑体"/>
          <w:sz w:val="44"/>
        </w:rPr>
      </w:pPr>
      <w:bookmarkStart w:id="40" w:name="_GoBack"/>
      <w:bookmarkEnd w:id="40"/>
    </w:p>
    <w:p>
      <w:pPr>
        <w:jc w:val="center"/>
        <w:rPr>
          <w:rFonts w:eastAsia="黑体"/>
          <w:sz w:val="44"/>
        </w:rPr>
      </w:pPr>
    </w:p>
    <w:p>
      <w:pPr>
        <w:jc w:val="center"/>
        <w:rPr>
          <w:rFonts w:eastAsia="黑体"/>
          <w:sz w:val="44"/>
        </w:rPr>
      </w:pPr>
    </w:p>
    <w:p>
      <w:pPr>
        <w:jc w:val="center"/>
        <w:rPr>
          <w:rFonts w:eastAsia="黑体"/>
          <w:sz w:val="44"/>
        </w:rPr>
      </w:pPr>
    </w:p>
    <w:p>
      <w:pPr>
        <w:pStyle w:val="79"/>
        <w:spacing w:before="0" w:line="312" w:lineRule="auto"/>
        <w:jc w:val="center"/>
        <w:rPr>
          <w:rFonts w:ascii="Times New Roman" w:hAnsi="Times New Roman"/>
          <w:color w:val="auto"/>
          <w:szCs w:val="28"/>
          <w:lang w:val="zh-CN"/>
        </w:rPr>
      </w:pPr>
      <w:r>
        <w:rPr>
          <w:rFonts w:ascii="Times New Roman" w:hAnsi="Times New Roman" w:eastAsia="黑体"/>
          <w:color w:val="auto"/>
          <w:sz w:val="44"/>
          <w:szCs w:val="44"/>
        </w:rPr>
        <w:t>清远市能源发展“十四五”规划</w:t>
      </w:r>
    </w:p>
    <w:p>
      <w:pPr>
        <w:rPr>
          <w:lang w:val="zh-CN"/>
        </w:rPr>
      </w:pPr>
    </w:p>
    <w:p>
      <w:pPr>
        <w:widowControl w:val="0"/>
        <w:spacing w:line="240" w:lineRule="auto"/>
        <w:jc w:val="center"/>
        <w:rPr>
          <w:rFonts w:eastAsia="仿宋_GB2312"/>
          <w:sz w:val="36"/>
          <w:szCs w:val="22"/>
        </w:rPr>
      </w:pPr>
      <w:r>
        <w:rPr>
          <w:rFonts w:eastAsia="仿宋_GB2312"/>
          <w:sz w:val="36"/>
          <w:szCs w:val="22"/>
        </w:rPr>
        <w:t>（初 稿）</w:t>
      </w:r>
    </w:p>
    <w:p>
      <w:pPr>
        <w:rPr>
          <w:rFonts w:eastAsia="仿宋_GB2312"/>
          <w:sz w:val="32"/>
          <w:highlight w:val="yellow"/>
        </w:rPr>
      </w:pPr>
    </w:p>
    <w:p>
      <w:pPr>
        <w:rPr>
          <w:rFonts w:eastAsia="仿宋_GB2312"/>
          <w:sz w:val="32"/>
          <w:highlight w:val="yellow"/>
        </w:rPr>
      </w:pPr>
    </w:p>
    <w:p>
      <w:pPr>
        <w:rPr>
          <w:rFonts w:eastAsia="仿宋_GB2312"/>
          <w:sz w:val="32"/>
          <w:highlight w:val="yellow"/>
        </w:rPr>
      </w:pPr>
    </w:p>
    <w:p>
      <w:pPr>
        <w:rPr>
          <w:rFonts w:eastAsia="仿宋_GB2312"/>
          <w:sz w:val="32"/>
          <w:highlight w:val="yellow"/>
        </w:rPr>
      </w:pPr>
    </w:p>
    <w:p>
      <w:pPr>
        <w:rPr>
          <w:rFonts w:eastAsia="仿宋_GB2312"/>
          <w:sz w:val="32"/>
          <w:highlight w:val="yellow"/>
        </w:rPr>
      </w:pPr>
    </w:p>
    <w:p>
      <w:pPr>
        <w:rPr>
          <w:rFonts w:eastAsia="仿宋_GB2312"/>
          <w:sz w:val="32"/>
          <w:highlight w:val="yellow"/>
        </w:rPr>
      </w:pPr>
    </w:p>
    <w:p>
      <w:pPr>
        <w:rPr>
          <w:rFonts w:eastAsia="仿宋_GB2312"/>
          <w:sz w:val="32"/>
          <w:highlight w:val="yellow"/>
        </w:rPr>
      </w:pPr>
    </w:p>
    <w:p>
      <w:pPr>
        <w:rPr>
          <w:rFonts w:eastAsia="仿宋_GB2312"/>
          <w:sz w:val="32"/>
          <w:highlight w:val="yellow"/>
        </w:rPr>
      </w:pPr>
    </w:p>
    <w:p>
      <w:pPr>
        <w:rPr>
          <w:rFonts w:eastAsia="仿宋_GB2312"/>
          <w:sz w:val="32"/>
          <w:highlight w:val="yellow"/>
        </w:rPr>
      </w:pPr>
    </w:p>
    <w:p>
      <w:pPr>
        <w:rPr>
          <w:rFonts w:eastAsia="仿宋_GB2312"/>
          <w:sz w:val="32"/>
          <w:highlight w:val="yellow"/>
        </w:rPr>
      </w:pPr>
    </w:p>
    <w:p>
      <w:pPr>
        <w:rPr>
          <w:rFonts w:eastAsia="仿宋_GB2312"/>
          <w:sz w:val="32"/>
          <w:highlight w:val="yellow"/>
        </w:rPr>
      </w:pPr>
    </w:p>
    <w:p>
      <w:pPr>
        <w:rPr>
          <w:rFonts w:eastAsia="仿宋_GB2312"/>
          <w:sz w:val="32"/>
          <w:highlight w:val="yellow"/>
        </w:rPr>
      </w:pPr>
    </w:p>
    <w:p>
      <w:pPr>
        <w:rPr>
          <w:rFonts w:eastAsia="仿宋_GB2312"/>
          <w:sz w:val="32"/>
          <w:highlight w:val="yellow"/>
        </w:rPr>
      </w:pPr>
    </w:p>
    <w:p>
      <w:pPr>
        <w:jc w:val="center"/>
        <w:rPr>
          <w:rFonts w:eastAsia="黑体"/>
          <w:highlight w:val="yellow"/>
        </w:rPr>
      </w:pPr>
    </w:p>
    <w:p>
      <w:pPr>
        <w:widowControl w:val="0"/>
        <w:spacing w:line="240" w:lineRule="auto"/>
        <w:jc w:val="center"/>
        <w:rPr>
          <w:rFonts w:eastAsia="仿宋_GB2312"/>
          <w:sz w:val="36"/>
          <w:szCs w:val="22"/>
        </w:rPr>
      </w:pPr>
      <w:r>
        <w:rPr>
          <w:rFonts w:eastAsia="黑体"/>
        </w:rPr>
        <w:t>二〇二一年</w:t>
      </w:r>
      <w:r>
        <w:rPr>
          <w:rFonts w:hint="eastAsia" w:eastAsia="黑体"/>
        </w:rPr>
        <w:t>七</w:t>
      </w:r>
      <w:r>
        <w:rPr>
          <w:rFonts w:eastAsia="黑体"/>
        </w:rPr>
        <w:t>月</w:t>
      </w:r>
    </w:p>
    <w:p>
      <w:pPr>
        <w:widowControl w:val="0"/>
        <w:spacing w:line="240" w:lineRule="auto"/>
        <w:jc w:val="center"/>
        <w:rPr>
          <w:rFonts w:eastAsia="仿宋_GB2312"/>
          <w:sz w:val="36"/>
          <w:szCs w:val="22"/>
          <w:highlight w:val="yellow"/>
        </w:rPr>
      </w:pPr>
    </w:p>
    <w:p>
      <w:pPr>
        <w:widowControl w:val="0"/>
        <w:spacing w:line="240" w:lineRule="auto"/>
        <w:jc w:val="center"/>
        <w:rPr>
          <w:rFonts w:eastAsia="仿宋_GB2312"/>
          <w:sz w:val="36"/>
          <w:szCs w:val="22"/>
          <w:highlight w:val="yellow"/>
        </w:rPr>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pgNumType w:start="1"/>
          <w:cols w:space="720" w:num="1"/>
          <w:titlePg/>
          <w:docGrid w:linePitch="381" w:charSpace="0"/>
        </w:sectPr>
      </w:pPr>
    </w:p>
    <w:p>
      <w:pPr>
        <w:pStyle w:val="84"/>
        <w:jc w:val="center"/>
        <w:rPr>
          <w:rFonts w:ascii="Times New Roman" w:hAnsi="Times New Roman" w:eastAsia="仿宋_GB2312"/>
          <w:b/>
          <w:color w:val="auto"/>
        </w:rPr>
      </w:pPr>
      <w:bookmarkStart w:id="0" w:name="_Toc14791484"/>
      <w:bookmarkStart w:id="1" w:name="_Toc30169903"/>
      <w:bookmarkStart w:id="2" w:name="_Toc532368594"/>
      <w:bookmarkStart w:id="3" w:name="_Toc532368595"/>
      <w:r>
        <w:rPr>
          <w:rFonts w:ascii="Times New Roman" w:hAnsi="Times New Roman" w:eastAsia="仿宋_GB2312"/>
          <w:b/>
          <w:color w:val="auto"/>
          <w:lang w:val="zh-CN"/>
        </w:rPr>
        <w:t>目录</w:t>
      </w:r>
    </w:p>
    <w:p>
      <w:pPr>
        <w:pStyle w:val="17"/>
        <w:tabs>
          <w:tab w:val="left" w:pos="1120"/>
          <w:tab w:val="right" w:leader="dot" w:pos="8302"/>
        </w:tabs>
        <w:rPr>
          <w:rFonts w:ascii="Times New Roman" w:hAnsi="Times New Roman" w:eastAsia="宋体"/>
          <w:b w:val="0"/>
          <w:bCs w:val="0"/>
          <w:szCs w:val="28"/>
        </w:rPr>
      </w:pPr>
      <w:r>
        <w:rPr>
          <w:rFonts w:ascii="Times New Roman" w:hAnsi="Times New Roman"/>
          <w:b w:val="0"/>
          <w:bCs w:val="0"/>
          <w:szCs w:val="28"/>
        </w:rPr>
        <w:fldChar w:fldCharType="begin"/>
      </w:r>
      <w:r>
        <w:rPr>
          <w:rFonts w:ascii="Times New Roman" w:hAnsi="Times New Roman"/>
          <w:b w:val="0"/>
          <w:bCs w:val="0"/>
          <w:szCs w:val="28"/>
        </w:rPr>
        <w:instrText xml:space="preserve"> TOC \o "1-2" \h \z \u </w:instrText>
      </w:r>
      <w:r>
        <w:rPr>
          <w:rFonts w:ascii="Times New Roman" w:hAnsi="Times New Roman"/>
          <w:b w:val="0"/>
          <w:bCs w:val="0"/>
          <w:szCs w:val="28"/>
        </w:rPr>
        <w:fldChar w:fldCharType="separate"/>
      </w:r>
      <w:r>
        <w:fldChar w:fldCharType="begin"/>
      </w:r>
      <w:r>
        <w:instrText xml:space="preserve">HYPERLINK  \l "_Toc76568812" </w:instrText>
      </w:r>
      <w:r>
        <w:fldChar w:fldCharType="separate"/>
      </w:r>
      <w:r>
        <w:rPr>
          <w:rStyle w:val="31"/>
          <w:rFonts w:ascii="Times New Roman" w:hAnsi="Times New Roman" w:eastAsia="黑体"/>
          <w:szCs w:val="28"/>
        </w:rPr>
        <w:t>第一章</w:t>
      </w:r>
      <w:r>
        <w:rPr>
          <w:rFonts w:ascii="Times New Roman" w:hAnsi="Times New Roman" w:eastAsia="宋体"/>
          <w:b w:val="0"/>
          <w:bCs w:val="0"/>
          <w:szCs w:val="28"/>
        </w:rPr>
        <w:tab/>
      </w:r>
      <w:r>
        <w:rPr>
          <w:rStyle w:val="31"/>
          <w:rFonts w:ascii="Times New Roman" w:hAnsi="Times New Roman" w:eastAsia="黑体"/>
          <w:szCs w:val="28"/>
        </w:rPr>
        <w:t>发展基础和形势</w:t>
      </w:r>
      <w:r>
        <w:rPr>
          <w:rFonts w:ascii="Times New Roman" w:hAnsi="Times New Roman"/>
          <w:szCs w:val="28"/>
        </w:rPr>
        <w:tab/>
      </w:r>
      <w:r>
        <w:rPr>
          <w:rFonts w:ascii="Times New Roman" w:hAnsi="Times New Roman"/>
          <w:szCs w:val="28"/>
        </w:rPr>
        <w:fldChar w:fldCharType="begin"/>
      </w:r>
      <w:r>
        <w:rPr>
          <w:rFonts w:ascii="Times New Roman" w:hAnsi="Times New Roman"/>
          <w:szCs w:val="28"/>
        </w:rPr>
        <w:instrText xml:space="preserve"> PAGEREF _Toc76568812 \h </w:instrText>
      </w:r>
      <w:r>
        <w:rPr>
          <w:rFonts w:ascii="Times New Roman" w:hAnsi="Times New Roman"/>
          <w:szCs w:val="28"/>
        </w:rPr>
        <w:fldChar w:fldCharType="separate"/>
      </w:r>
      <w:r>
        <w:rPr>
          <w:rFonts w:ascii="Times New Roman" w:hAnsi="Times New Roman"/>
          <w:szCs w:val="28"/>
        </w:rPr>
        <w:t>1</w:t>
      </w:r>
      <w:r>
        <w:rPr>
          <w:rFonts w:ascii="Times New Roman" w:hAnsi="Times New Roman"/>
          <w:szCs w:val="28"/>
        </w:rPr>
        <w:fldChar w:fldCharType="end"/>
      </w:r>
      <w:r>
        <w:fldChar w:fldCharType="end"/>
      </w:r>
    </w:p>
    <w:p>
      <w:pPr>
        <w:pStyle w:val="21"/>
        <w:tabs>
          <w:tab w:val="right" w:leader="dot" w:pos="8302"/>
        </w:tabs>
        <w:rPr>
          <w:rFonts w:ascii="Times New Roman" w:hAnsi="Times New Roman" w:eastAsia="宋体"/>
          <w:i w:val="0"/>
          <w:iCs w:val="0"/>
          <w:sz w:val="28"/>
          <w:szCs w:val="28"/>
        </w:rPr>
      </w:pPr>
      <w:r>
        <w:fldChar w:fldCharType="begin"/>
      </w:r>
      <w:r>
        <w:instrText xml:space="preserve">HYPERLINK  \l "_Toc76568813" </w:instrText>
      </w:r>
      <w:r>
        <w:fldChar w:fldCharType="separate"/>
      </w:r>
      <w:r>
        <w:rPr>
          <w:rStyle w:val="31"/>
          <w:rFonts w:ascii="Times New Roman" w:hAnsi="Times New Roman"/>
          <w:i w:val="0"/>
          <w:sz w:val="28"/>
          <w:szCs w:val="28"/>
        </w:rPr>
        <w:t>第一节  发展基础</w:t>
      </w:r>
      <w:r>
        <w:rPr>
          <w:rFonts w:ascii="Times New Roman" w:hAnsi="Times New Roman"/>
          <w:i w:val="0"/>
          <w:sz w:val="28"/>
          <w:szCs w:val="28"/>
        </w:rPr>
        <w:tab/>
      </w:r>
      <w:r>
        <w:rPr>
          <w:rFonts w:ascii="Times New Roman" w:hAnsi="Times New Roman"/>
          <w:i w:val="0"/>
          <w:sz w:val="28"/>
          <w:szCs w:val="28"/>
        </w:rPr>
        <w:fldChar w:fldCharType="begin"/>
      </w:r>
      <w:r>
        <w:rPr>
          <w:rFonts w:ascii="Times New Roman" w:hAnsi="Times New Roman"/>
          <w:i w:val="0"/>
          <w:sz w:val="28"/>
          <w:szCs w:val="28"/>
        </w:rPr>
        <w:instrText xml:space="preserve"> PAGEREF _Toc76568813 \h </w:instrText>
      </w:r>
      <w:r>
        <w:rPr>
          <w:rFonts w:ascii="Times New Roman" w:hAnsi="Times New Roman"/>
          <w:i w:val="0"/>
          <w:sz w:val="28"/>
          <w:szCs w:val="28"/>
        </w:rPr>
        <w:fldChar w:fldCharType="separate"/>
      </w:r>
      <w:r>
        <w:rPr>
          <w:rFonts w:ascii="Times New Roman" w:hAnsi="Times New Roman"/>
          <w:i w:val="0"/>
          <w:sz w:val="28"/>
          <w:szCs w:val="28"/>
        </w:rPr>
        <w:t>1</w:t>
      </w:r>
      <w:r>
        <w:rPr>
          <w:rFonts w:ascii="Times New Roman" w:hAnsi="Times New Roman"/>
          <w:i w:val="0"/>
          <w:sz w:val="28"/>
          <w:szCs w:val="28"/>
        </w:rPr>
        <w:fldChar w:fldCharType="end"/>
      </w:r>
      <w:r>
        <w:fldChar w:fldCharType="end"/>
      </w:r>
    </w:p>
    <w:p>
      <w:pPr>
        <w:pStyle w:val="21"/>
        <w:tabs>
          <w:tab w:val="right" w:leader="dot" w:pos="8302"/>
        </w:tabs>
        <w:rPr>
          <w:rFonts w:ascii="Times New Roman" w:hAnsi="Times New Roman" w:eastAsia="宋体"/>
          <w:i w:val="0"/>
          <w:iCs w:val="0"/>
          <w:sz w:val="28"/>
          <w:szCs w:val="28"/>
        </w:rPr>
      </w:pPr>
      <w:r>
        <w:fldChar w:fldCharType="begin"/>
      </w:r>
      <w:r>
        <w:instrText xml:space="preserve">HYPERLINK  \l "_Toc76568814" </w:instrText>
      </w:r>
      <w:r>
        <w:fldChar w:fldCharType="separate"/>
      </w:r>
      <w:r>
        <w:rPr>
          <w:rStyle w:val="31"/>
          <w:rFonts w:ascii="Times New Roman" w:hAnsi="Times New Roman"/>
          <w:i w:val="0"/>
          <w:sz w:val="28"/>
          <w:szCs w:val="28"/>
        </w:rPr>
        <w:t>第二节  发展形势</w:t>
      </w:r>
      <w:r>
        <w:rPr>
          <w:rFonts w:ascii="Times New Roman" w:hAnsi="Times New Roman"/>
          <w:i w:val="0"/>
          <w:sz w:val="28"/>
          <w:szCs w:val="28"/>
        </w:rPr>
        <w:tab/>
      </w:r>
      <w:r>
        <w:rPr>
          <w:rFonts w:ascii="Times New Roman" w:hAnsi="Times New Roman"/>
          <w:i w:val="0"/>
          <w:sz w:val="28"/>
          <w:szCs w:val="28"/>
        </w:rPr>
        <w:fldChar w:fldCharType="begin"/>
      </w:r>
      <w:r>
        <w:rPr>
          <w:rFonts w:ascii="Times New Roman" w:hAnsi="Times New Roman"/>
          <w:i w:val="0"/>
          <w:sz w:val="28"/>
          <w:szCs w:val="28"/>
        </w:rPr>
        <w:instrText xml:space="preserve"> PAGEREF _Toc76568814 \h </w:instrText>
      </w:r>
      <w:r>
        <w:rPr>
          <w:rFonts w:ascii="Times New Roman" w:hAnsi="Times New Roman"/>
          <w:i w:val="0"/>
          <w:sz w:val="28"/>
          <w:szCs w:val="28"/>
        </w:rPr>
        <w:fldChar w:fldCharType="separate"/>
      </w:r>
      <w:r>
        <w:rPr>
          <w:rFonts w:ascii="Times New Roman" w:hAnsi="Times New Roman"/>
          <w:i w:val="0"/>
          <w:sz w:val="28"/>
          <w:szCs w:val="28"/>
        </w:rPr>
        <w:t>7</w:t>
      </w:r>
      <w:r>
        <w:rPr>
          <w:rFonts w:ascii="Times New Roman" w:hAnsi="Times New Roman"/>
          <w:i w:val="0"/>
          <w:sz w:val="28"/>
          <w:szCs w:val="28"/>
        </w:rPr>
        <w:fldChar w:fldCharType="end"/>
      </w:r>
      <w:r>
        <w:fldChar w:fldCharType="end"/>
      </w:r>
    </w:p>
    <w:p>
      <w:pPr>
        <w:pStyle w:val="21"/>
        <w:tabs>
          <w:tab w:val="right" w:leader="dot" w:pos="8302"/>
        </w:tabs>
        <w:rPr>
          <w:rFonts w:ascii="Times New Roman" w:hAnsi="Times New Roman" w:eastAsia="宋体"/>
          <w:i w:val="0"/>
          <w:iCs w:val="0"/>
          <w:sz w:val="28"/>
          <w:szCs w:val="28"/>
        </w:rPr>
      </w:pPr>
      <w:r>
        <w:fldChar w:fldCharType="begin"/>
      </w:r>
      <w:r>
        <w:instrText xml:space="preserve">HYPERLINK  \l "_Toc76568815" </w:instrText>
      </w:r>
      <w:r>
        <w:fldChar w:fldCharType="separate"/>
      </w:r>
      <w:r>
        <w:rPr>
          <w:rStyle w:val="31"/>
          <w:rFonts w:ascii="Times New Roman" w:hAnsi="Times New Roman"/>
          <w:i w:val="0"/>
          <w:sz w:val="28"/>
          <w:szCs w:val="28"/>
        </w:rPr>
        <w:t>第三节  主要问题和挑战</w:t>
      </w:r>
      <w:r>
        <w:rPr>
          <w:rFonts w:ascii="Times New Roman" w:hAnsi="Times New Roman"/>
          <w:i w:val="0"/>
          <w:sz w:val="28"/>
          <w:szCs w:val="28"/>
        </w:rPr>
        <w:tab/>
      </w:r>
      <w:r>
        <w:rPr>
          <w:rFonts w:ascii="Times New Roman" w:hAnsi="Times New Roman"/>
          <w:i w:val="0"/>
          <w:sz w:val="28"/>
          <w:szCs w:val="28"/>
        </w:rPr>
        <w:fldChar w:fldCharType="begin"/>
      </w:r>
      <w:r>
        <w:rPr>
          <w:rFonts w:ascii="Times New Roman" w:hAnsi="Times New Roman"/>
          <w:i w:val="0"/>
          <w:sz w:val="28"/>
          <w:szCs w:val="28"/>
        </w:rPr>
        <w:instrText xml:space="preserve"> PAGEREF _Toc76568815 \h </w:instrText>
      </w:r>
      <w:r>
        <w:rPr>
          <w:rFonts w:ascii="Times New Roman" w:hAnsi="Times New Roman"/>
          <w:i w:val="0"/>
          <w:sz w:val="28"/>
          <w:szCs w:val="28"/>
        </w:rPr>
        <w:fldChar w:fldCharType="separate"/>
      </w:r>
      <w:r>
        <w:rPr>
          <w:rFonts w:ascii="Times New Roman" w:hAnsi="Times New Roman"/>
          <w:i w:val="0"/>
          <w:sz w:val="28"/>
          <w:szCs w:val="28"/>
        </w:rPr>
        <w:t>10</w:t>
      </w:r>
      <w:r>
        <w:rPr>
          <w:rFonts w:ascii="Times New Roman" w:hAnsi="Times New Roman"/>
          <w:i w:val="0"/>
          <w:sz w:val="28"/>
          <w:szCs w:val="28"/>
        </w:rPr>
        <w:fldChar w:fldCharType="end"/>
      </w:r>
      <w:r>
        <w:fldChar w:fldCharType="end"/>
      </w:r>
    </w:p>
    <w:p>
      <w:pPr>
        <w:pStyle w:val="17"/>
        <w:tabs>
          <w:tab w:val="left" w:pos="1120"/>
          <w:tab w:val="right" w:leader="dot" w:pos="8302"/>
        </w:tabs>
        <w:rPr>
          <w:rFonts w:ascii="Times New Roman" w:hAnsi="Times New Roman" w:eastAsia="宋体"/>
          <w:b w:val="0"/>
          <w:bCs w:val="0"/>
          <w:szCs w:val="28"/>
        </w:rPr>
      </w:pPr>
      <w:r>
        <w:fldChar w:fldCharType="begin"/>
      </w:r>
      <w:r>
        <w:instrText xml:space="preserve">HYPERLINK  \l "_Toc76568816" </w:instrText>
      </w:r>
      <w:r>
        <w:fldChar w:fldCharType="separate"/>
      </w:r>
      <w:r>
        <w:rPr>
          <w:rStyle w:val="31"/>
          <w:rFonts w:ascii="Times New Roman" w:hAnsi="Times New Roman" w:eastAsia="黑体"/>
          <w:szCs w:val="28"/>
        </w:rPr>
        <w:t>第二章</w:t>
      </w:r>
      <w:r>
        <w:rPr>
          <w:rFonts w:ascii="Times New Roman" w:hAnsi="Times New Roman" w:eastAsia="宋体"/>
          <w:b w:val="0"/>
          <w:bCs w:val="0"/>
          <w:szCs w:val="28"/>
        </w:rPr>
        <w:tab/>
      </w:r>
      <w:r>
        <w:rPr>
          <w:rStyle w:val="31"/>
          <w:rFonts w:ascii="Times New Roman" w:hAnsi="Times New Roman" w:eastAsia="黑体"/>
          <w:szCs w:val="28"/>
        </w:rPr>
        <w:t>总体要求</w:t>
      </w:r>
      <w:r>
        <w:rPr>
          <w:rFonts w:ascii="Times New Roman" w:hAnsi="Times New Roman"/>
          <w:szCs w:val="28"/>
        </w:rPr>
        <w:tab/>
      </w:r>
      <w:r>
        <w:rPr>
          <w:rFonts w:ascii="Times New Roman" w:hAnsi="Times New Roman"/>
          <w:szCs w:val="28"/>
        </w:rPr>
        <w:fldChar w:fldCharType="begin"/>
      </w:r>
      <w:r>
        <w:rPr>
          <w:rFonts w:ascii="Times New Roman" w:hAnsi="Times New Roman"/>
          <w:szCs w:val="28"/>
        </w:rPr>
        <w:instrText xml:space="preserve"> PAGEREF _Toc76568816 \h </w:instrText>
      </w:r>
      <w:r>
        <w:rPr>
          <w:rFonts w:ascii="Times New Roman" w:hAnsi="Times New Roman"/>
          <w:szCs w:val="28"/>
        </w:rPr>
        <w:fldChar w:fldCharType="separate"/>
      </w:r>
      <w:r>
        <w:rPr>
          <w:rFonts w:ascii="Times New Roman" w:hAnsi="Times New Roman"/>
          <w:szCs w:val="28"/>
        </w:rPr>
        <w:t>12</w:t>
      </w:r>
      <w:r>
        <w:rPr>
          <w:rFonts w:ascii="Times New Roman" w:hAnsi="Times New Roman"/>
          <w:szCs w:val="28"/>
        </w:rPr>
        <w:fldChar w:fldCharType="end"/>
      </w:r>
      <w:r>
        <w:fldChar w:fldCharType="end"/>
      </w:r>
    </w:p>
    <w:p>
      <w:pPr>
        <w:pStyle w:val="21"/>
        <w:tabs>
          <w:tab w:val="right" w:leader="dot" w:pos="8302"/>
        </w:tabs>
        <w:rPr>
          <w:rFonts w:ascii="Times New Roman" w:hAnsi="Times New Roman" w:eastAsia="宋体"/>
          <w:i w:val="0"/>
          <w:iCs w:val="0"/>
          <w:sz w:val="28"/>
          <w:szCs w:val="28"/>
        </w:rPr>
      </w:pPr>
      <w:r>
        <w:fldChar w:fldCharType="begin"/>
      </w:r>
      <w:r>
        <w:instrText xml:space="preserve">HYPERLINK  \l "_Toc76568817" </w:instrText>
      </w:r>
      <w:r>
        <w:fldChar w:fldCharType="separate"/>
      </w:r>
      <w:r>
        <w:rPr>
          <w:rStyle w:val="31"/>
          <w:rFonts w:ascii="Times New Roman" w:hAnsi="Times New Roman"/>
          <w:i w:val="0"/>
          <w:sz w:val="28"/>
          <w:szCs w:val="28"/>
        </w:rPr>
        <w:t>第一节  指导思想</w:t>
      </w:r>
      <w:r>
        <w:rPr>
          <w:rFonts w:ascii="Times New Roman" w:hAnsi="Times New Roman"/>
          <w:i w:val="0"/>
          <w:sz w:val="28"/>
          <w:szCs w:val="28"/>
        </w:rPr>
        <w:tab/>
      </w:r>
      <w:r>
        <w:rPr>
          <w:rFonts w:ascii="Times New Roman" w:hAnsi="Times New Roman"/>
          <w:i w:val="0"/>
          <w:sz w:val="28"/>
          <w:szCs w:val="28"/>
        </w:rPr>
        <w:fldChar w:fldCharType="begin"/>
      </w:r>
      <w:r>
        <w:rPr>
          <w:rFonts w:ascii="Times New Roman" w:hAnsi="Times New Roman"/>
          <w:i w:val="0"/>
          <w:sz w:val="28"/>
          <w:szCs w:val="28"/>
        </w:rPr>
        <w:instrText xml:space="preserve"> PAGEREF _Toc76568817 \h </w:instrText>
      </w:r>
      <w:r>
        <w:rPr>
          <w:rFonts w:ascii="Times New Roman" w:hAnsi="Times New Roman"/>
          <w:i w:val="0"/>
          <w:sz w:val="28"/>
          <w:szCs w:val="28"/>
        </w:rPr>
        <w:fldChar w:fldCharType="separate"/>
      </w:r>
      <w:r>
        <w:rPr>
          <w:rFonts w:ascii="Times New Roman" w:hAnsi="Times New Roman"/>
          <w:i w:val="0"/>
          <w:sz w:val="28"/>
          <w:szCs w:val="28"/>
        </w:rPr>
        <w:t>12</w:t>
      </w:r>
      <w:r>
        <w:rPr>
          <w:rFonts w:ascii="Times New Roman" w:hAnsi="Times New Roman"/>
          <w:i w:val="0"/>
          <w:sz w:val="28"/>
          <w:szCs w:val="28"/>
        </w:rPr>
        <w:fldChar w:fldCharType="end"/>
      </w:r>
      <w:r>
        <w:fldChar w:fldCharType="end"/>
      </w:r>
    </w:p>
    <w:p>
      <w:pPr>
        <w:pStyle w:val="21"/>
        <w:tabs>
          <w:tab w:val="right" w:leader="dot" w:pos="8302"/>
        </w:tabs>
        <w:rPr>
          <w:rFonts w:ascii="Times New Roman" w:hAnsi="Times New Roman" w:eastAsia="宋体"/>
          <w:i w:val="0"/>
          <w:iCs w:val="0"/>
          <w:sz w:val="28"/>
          <w:szCs w:val="28"/>
        </w:rPr>
      </w:pPr>
      <w:r>
        <w:fldChar w:fldCharType="begin"/>
      </w:r>
      <w:r>
        <w:instrText xml:space="preserve">HYPERLINK  \l "_Toc76568818" </w:instrText>
      </w:r>
      <w:r>
        <w:fldChar w:fldCharType="separate"/>
      </w:r>
      <w:r>
        <w:rPr>
          <w:rStyle w:val="31"/>
          <w:rFonts w:ascii="Times New Roman" w:hAnsi="Times New Roman"/>
          <w:i w:val="0"/>
          <w:sz w:val="28"/>
          <w:szCs w:val="28"/>
        </w:rPr>
        <w:t>第二节  基本原则</w:t>
      </w:r>
      <w:r>
        <w:rPr>
          <w:rFonts w:ascii="Times New Roman" w:hAnsi="Times New Roman"/>
          <w:i w:val="0"/>
          <w:sz w:val="28"/>
          <w:szCs w:val="28"/>
        </w:rPr>
        <w:tab/>
      </w:r>
      <w:r>
        <w:rPr>
          <w:rFonts w:ascii="Times New Roman" w:hAnsi="Times New Roman"/>
          <w:i w:val="0"/>
          <w:sz w:val="28"/>
          <w:szCs w:val="28"/>
        </w:rPr>
        <w:fldChar w:fldCharType="begin"/>
      </w:r>
      <w:r>
        <w:rPr>
          <w:rFonts w:ascii="Times New Roman" w:hAnsi="Times New Roman"/>
          <w:i w:val="0"/>
          <w:sz w:val="28"/>
          <w:szCs w:val="28"/>
        </w:rPr>
        <w:instrText xml:space="preserve"> PAGEREF _Toc76568818 \h </w:instrText>
      </w:r>
      <w:r>
        <w:rPr>
          <w:rFonts w:ascii="Times New Roman" w:hAnsi="Times New Roman"/>
          <w:i w:val="0"/>
          <w:sz w:val="28"/>
          <w:szCs w:val="28"/>
        </w:rPr>
        <w:fldChar w:fldCharType="separate"/>
      </w:r>
      <w:r>
        <w:rPr>
          <w:rFonts w:ascii="Times New Roman" w:hAnsi="Times New Roman"/>
          <w:i w:val="0"/>
          <w:sz w:val="28"/>
          <w:szCs w:val="28"/>
        </w:rPr>
        <w:t>13</w:t>
      </w:r>
      <w:r>
        <w:rPr>
          <w:rFonts w:ascii="Times New Roman" w:hAnsi="Times New Roman"/>
          <w:i w:val="0"/>
          <w:sz w:val="28"/>
          <w:szCs w:val="28"/>
        </w:rPr>
        <w:fldChar w:fldCharType="end"/>
      </w:r>
      <w:r>
        <w:fldChar w:fldCharType="end"/>
      </w:r>
    </w:p>
    <w:p>
      <w:pPr>
        <w:pStyle w:val="21"/>
        <w:tabs>
          <w:tab w:val="right" w:leader="dot" w:pos="8302"/>
        </w:tabs>
        <w:rPr>
          <w:rFonts w:ascii="Times New Roman" w:hAnsi="Times New Roman" w:eastAsia="宋体"/>
          <w:i w:val="0"/>
          <w:iCs w:val="0"/>
          <w:sz w:val="28"/>
          <w:szCs w:val="28"/>
        </w:rPr>
      </w:pPr>
      <w:r>
        <w:fldChar w:fldCharType="begin"/>
      </w:r>
      <w:r>
        <w:instrText xml:space="preserve">HYPERLINK  \l "_Toc76568819" </w:instrText>
      </w:r>
      <w:r>
        <w:fldChar w:fldCharType="separate"/>
      </w:r>
      <w:r>
        <w:rPr>
          <w:rStyle w:val="31"/>
          <w:rFonts w:ascii="Times New Roman" w:hAnsi="Times New Roman"/>
          <w:i w:val="0"/>
          <w:sz w:val="28"/>
          <w:szCs w:val="28"/>
        </w:rPr>
        <w:t>第三节  发展目标</w:t>
      </w:r>
      <w:r>
        <w:rPr>
          <w:rFonts w:ascii="Times New Roman" w:hAnsi="Times New Roman"/>
          <w:i w:val="0"/>
          <w:sz w:val="28"/>
          <w:szCs w:val="28"/>
        </w:rPr>
        <w:tab/>
      </w:r>
      <w:r>
        <w:rPr>
          <w:rFonts w:ascii="Times New Roman" w:hAnsi="Times New Roman"/>
          <w:i w:val="0"/>
          <w:sz w:val="28"/>
          <w:szCs w:val="28"/>
        </w:rPr>
        <w:fldChar w:fldCharType="begin"/>
      </w:r>
      <w:r>
        <w:rPr>
          <w:rFonts w:ascii="Times New Roman" w:hAnsi="Times New Roman"/>
          <w:i w:val="0"/>
          <w:sz w:val="28"/>
          <w:szCs w:val="28"/>
        </w:rPr>
        <w:instrText xml:space="preserve"> PAGEREF _Toc76568819 \h </w:instrText>
      </w:r>
      <w:r>
        <w:rPr>
          <w:rFonts w:ascii="Times New Roman" w:hAnsi="Times New Roman"/>
          <w:i w:val="0"/>
          <w:sz w:val="28"/>
          <w:szCs w:val="28"/>
        </w:rPr>
        <w:fldChar w:fldCharType="separate"/>
      </w:r>
      <w:r>
        <w:rPr>
          <w:rFonts w:ascii="Times New Roman" w:hAnsi="Times New Roman"/>
          <w:i w:val="0"/>
          <w:sz w:val="28"/>
          <w:szCs w:val="28"/>
        </w:rPr>
        <w:t>14</w:t>
      </w:r>
      <w:r>
        <w:rPr>
          <w:rFonts w:ascii="Times New Roman" w:hAnsi="Times New Roman"/>
          <w:i w:val="0"/>
          <w:sz w:val="28"/>
          <w:szCs w:val="28"/>
        </w:rPr>
        <w:fldChar w:fldCharType="end"/>
      </w:r>
      <w:r>
        <w:fldChar w:fldCharType="end"/>
      </w:r>
    </w:p>
    <w:p>
      <w:pPr>
        <w:pStyle w:val="17"/>
        <w:tabs>
          <w:tab w:val="left" w:pos="1120"/>
          <w:tab w:val="right" w:leader="dot" w:pos="8302"/>
        </w:tabs>
        <w:rPr>
          <w:rFonts w:ascii="Times New Roman" w:hAnsi="Times New Roman" w:eastAsia="宋体"/>
          <w:b w:val="0"/>
          <w:bCs w:val="0"/>
          <w:szCs w:val="28"/>
        </w:rPr>
      </w:pPr>
      <w:r>
        <w:fldChar w:fldCharType="begin"/>
      </w:r>
      <w:r>
        <w:instrText xml:space="preserve">HYPERLINK  \l "_Toc76568820" </w:instrText>
      </w:r>
      <w:r>
        <w:fldChar w:fldCharType="separate"/>
      </w:r>
      <w:r>
        <w:rPr>
          <w:rStyle w:val="31"/>
          <w:rFonts w:ascii="Times New Roman" w:hAnsi="Times New Roman" w:eastAsia="黑体"/>
          <w:szCs w:val="28"/>
        </w:rPr>
        <w:t>第三章</w:t>
      </w:r>
      <w:r>
        <w:rPr>
          <w:rFonts w:ascii="Times New Roman" w:hAnsi="Times New Roman" w:eastAsia="宋体"/>
          <w:b w:val="0"/>
          <w:bCs w:val="0"/>
          <w:szCs w:val="28"/>
        </w:rPr>
        <w:tab/>
      </w:r>
      <w:r>
        <w:rPr>
          <w:rStyle w:val="31"/>
          <w:rFonts w:ascii="Times New Roman" w:hAnsi="Times New Roman" w:eastAsia="黑体"/>
          <w:szCs w:val="28"/>
        </w:rPr>
        <w:t>重要任务</w:t>
      </w:r>
      <w:r>
        <w:rPr>
          <w:rFonts w:ascii="Times New Roman" w:hAnsi="Times New Roman"/>
          <w:szCs w:val="28"/>
        </w:rPr>
        <w:tab/>
      </w:r>
      <w:r>
        <w:rPr>
          <w:rFonts w:ascii="Times New Roman" w:hAnsi="Times New Roman"/>
          <w:szCs w:val="28"/>
        </w:rPr>
        <w:fldChar w:fldCharType="begin"/>
      </w:r>
      <w:r>
        <w:rPr>
          <w:rFonts w:ascii="Times New Roman" w:hAnsi="Times New Roman"/>
          <w:szCs w:val="28"/>
        </w:rPr>
        <w:instrText xml:space="preserve"> PAGEREF _Toc76568820 \h </w:instrText>
      </w:r>
      <w:r>
        <w:rPr>
          <w:rFonts w:ascii="Times New Roman" w:hAnsi="Times New Roman"/>
          <w:szCs w:val="28"/>
        </w:rPr>
        <w:fldChar w:fldCharType="separate"/>
      </w:r>
      <w:r>
        <w:rPr>
          <w:rFonts w:ascii="Times New Roman" w:hAnsi="Times New Roman"/>
          <w:szCs w:val="28"/>
        </w:rPr>
        <w:t>17</w:t>
      </w:r>
      <w:r>
        <w:rPr>
          <w:rFonts w:ascii="Times New Roman" w:hAnsi="Times New Roman"/>
          <w:szCs w:val="28"/>
        </w:rPr>
        <w:fldChar w:fldCharType="end"/>
      </w:r>
      <w:r>
        <w:fldChar w:fldCharType="end"/>
      </w:r>
    </w:p>
    <w:p>
      <w:pPr>
        <w:pStyle w:val="21"/>
        <w:tabs>
          <w:tab w:val="right" w:leader="dot" w:pos="8302"/>
        </w:tabs>
        <w:rPr>
          <w:rFonts w:ascii="Times New Roman" w:hAnsi="Times New Roman" w:eastAsia="宋体"/>
          <w:i w:val="0"/>
          <w:iCs w:val="0"/>
          <w:sz w:val="28"/>
          <w:szCs w:val="28"/>
        </w:rPr>
      </w:pPr>
      <w:r>
        <w:fldChar w:fldCharType="begin"/>
      </w:r>
      <w:r>
        <w:instrText xml:space="preserve">HYPERLINK  \l "_Toc76568821" </w:instrText>
      </w:r>
      <w:r>
        <w:fldChar w:fldCharType="separate"/>
      </w:r>
      <w:r>
        <w:rPr>
          <w:rStyle w:val="31"/>
          <w:rFonts w:ascii="Times New Roman" w:hAnsi="Times New Roman"/>
          <w:i w:val="0"/>
          <w:sz w:val="28"/>
          <w:szCs w:val="28"/>
        </w:rPr>
        <w:t>第一节  优化供给，构建多元互补的能源供应体系</w:t>
      </w:r>
      <w:r>
        <w:rPr>
          <w:rFonts w:ascii="Times New Roman" w:hAnsi="Times New Roman"/>
          <w:i w:val="0"/>
          <w:sz w:val="28"/>
          <w:szCs w:val="28"/>
        </w:rPr>
        <w:tab/>
      </w:r>
      <w:r>
        <w:rPr>
          <w:rFonts w:ascii="Times New Roman" w:hAnsi="Times New Roman"/>
          <w:i w:val="0"/>
          <w:sz w:val="28"/>
          <w:szCs w:val="28"/>
        </w:rPr>
        <w:fldChar w:fldCharType="begin"/>
      </w:r>
      <w:r>
        <w:rPr>
          <w:rFonts w:ascii="Times New Roman" w:hAnsi="Times New Roman"/>
          <w:i w:val="0"/>
          <w:sz w:val="28"/>
          <w:szCs w:val="28"/>
        </w:rPr>
        <w:instrText xml:space="preserve"> PAGEREF _Toc76568821 \h </w:instrText>
      </w:r>
      <w:r>
        <w:rPr>
          <w:rFonts w:ascii="Times New Roman" w:hAnsi="Times New Roman"/>
          <w:i w:val="0"/>
          <w:sz w:val="28"/>
          <w:szCs w:val="28"/>
        </w:rPr>
        <w:fldChar w:fldCharType="separate"/>
      </w:r>
      <w:r>
        <w:rPr>
          <w:rFonts w:ascii="Times New Roman" w:hAnsi="Times New Roman"/>
          <w:i w:val="0"/>
          <w:sz w:val="28"/>
          <w:szCs w:val="28"/>
        </w:rPr>
        <w:t>17</w:t>
      </w:r>
      <w:r>
        <w:rPr>
          <w:rFonts w:ascii="Times New Roman" w:hAnsi="Times New Roman"/>
          <w:i w:val="0"/>
          <w:sz w:val="28"/>
          <w:szCs w:val="28"/>
        </w:rPr>
        <w:fldChar w:fldCharType="end"/>
      </w:r>
      <w:r>
        <w:fldChar w:fldCharType="end"/>
      </w:r>
    </w:p>
    <w:p>
      <w:pPr>
        <w:pStyle w:val="21"/>
        <w:tabs>
          <w:tab w:val="right" w:leader="dot" w:pos="8302"/>
        </w:tabs>
        <w:rPr>
          <w:rFonts w:ascii="Times New Roman" w:hAnsi="Times New Roman" w:eastAsia="宋体"/>
          <w:i w:val="0"/>
          <w:iCs w:val="0"/>
          <w:sz w:val="28"/>
          <w:szCs w:val="28"/>
        </w:rPr>
      </w:pPr>
      <w:r>
        <w:fldChar w:fldCharType="begin"/>
      </w:r>
      <w:r>
        <w:instrText xml:space="preserve">HYPERLINK  \l "_Toc76568822" </w:instrText>
      </w:r>
      <w:r>
        <w:fldChar w:fldCharType="separate"/>
      </w:r>
      <w:r>
        <w:rPr>
          <w:rStyle w:val="31"/>
          <w:rFonts w:ascii="Times New Roman" w:hAnsi="Times New Roman"/>
          <w:i w:val="0"/>
          <w:sz w:val="28"/>
          <w:szCs w:val="28"/>
        </w:rPr>
        <w:t>第二节  夯实基础，构建坚强可靠的能源储运体系</w:t>
      </w:r>
      <w:r>
        <w:rPr>
          <w:rFonts w:ascii="Times New Roman" w:hAnsi="Times New Roman"/>
          <w:i w:val="0"/>
          <w:sz w:val="28"/>
          <w:szCs w:val="28"/>
        </w:rPr>
        <w:tab/>
      </w:r>
      <w:r>
        <w:rPr>
          <w:rFonts w:ascii="Times New Roman" w:hAnsi="Times New Roman"/>
          <w:i w:val="0"/>
          <w:sz w:val="28"/>
          <w:szCs w:val="28"/>
        </w:rPr>
        <w:fldChar w:fldCharType="begin"/>
      </w:r>
      <w:r>
        <w:rPr>
          <w:rFonts w:ascii="Times New Roman" w:hAnsi="Times New Roman"/>
          <w:i w:val="0"/>
          <w:sz w:val="28"/>
          <w:szCs w:val="28"/>
        </w:rPr>
        <w:instrText xml:space="preserve"> PAGEREF _Toc76568822 \h </w:instrText>
      </w:r>
      <w:r>
        <w:rPr>
          <w:rFonts w:ascii="Times New Roman" w:hAnsi="Times New Roman"/>
          <w:i w:val="0"/>
          <w:sz w:val="28"/>
          <w:szCs w:val="28"/>
        </w:rPr>
        <w:fldChar w:fldCharType="separate"/>
      </w:r>
      <w:r>
        <w:rPr>
          <w:rFonts w:ascii="Times New Roman" w:hAnsi="Times New Roman"/>
          <w:i w:val="0"/>
          <w:sz w:val="28"/>
          <w:szCs w:val="28"/>
        </w:rPr>
        <w:t>20</w:t>
      </w:r>
      <w:r>
        <w:rPr>
          <w:rFonts w:ascii="Times New Roman" w:hAnsi="Times New Roman"/>
          <w:i w:val="0"/>
          <w:sz w:val="28"/>
          <w:szCs w:val="28"/>
        </w:rPr>
        <w:fldChar w:fldCharType="end"/>
      </w:r>
      <w:r>
        <w:fldChar w:fldCharType="end"/>
      </w:r>
    </w:p>
    <w:p>
      <w:pPr>
        <w:pStyle w:val="21"/>
        <w:tabs>
          <w:tab w:val="right" w:leader="dot" w:pos="8302"/>
        </w:tabs>
        <w:rPr>
          <w:rFonts w:ascii="Times New Roman" w:hAnsi="Times New Roman" w:eastAsia="宋体"/>
          <w:i w:val="0"/>
          <w:iCs w:val="0"/>
          <w:sz w:val="28"/>
          <w:szCs w:val="28"/>
        </w:rPr>
      </w:pPr>
      <w:r>
        <w:fldChar w:fldCharType="begin"/>
      </w:r>
      <w:r>
        <w:instrText xml:space="preserve">HYPERLINK  \l "_Toc76568823" </w:instrText>
      </w:r>
      <w:r>
        <w:fldChar w:fldCharType="separate"/>
      </w:r>
      <w:r>
        <w:rPr>
          <w:rStyle w:val="31"/>
          <w:rFonts w:ascii="Times New Roman" w:hAnsi="Times New Roman"/>
          <w:i w:val="0"/>
          <w:sz w:val="28"/>
          <w:szCs w:val="28"/>
        </w:rPr>
        <w:t>第三节  绿色发展，构建清洁低碳的能源消费体系</w:t>
      </w:r>
      <w:r>
        <w:rPr>
          <w:rFonts w:ascii="Times New Roman" w:hAnsi="Times New Roman"/>
          <w:i w:val="0"/>
          <w:sz w:val="28"/>
          <w:szCs w:val="28"/>
        </w:rPr>
        <w:tab/>
      </w:r>
      <w:r>
        <w:rPr>
          <w:rFonts w:ascii="Times New Roman" w:hAnsi="Times New Roman"/>
          <w:i w:val="0"/>
          <w:sz w:val="28"/>
          <w:szCs w:val="28"/>
        </w:rPr>
        <w:fldChar w:fldCharType="begin"/>
      </w:r>
      <w:r>
        <w:rPr>
          <w:rFonts w:ascii="Times New Roman" w:hAnsi="Times New Roman"/>
          <w:i w:val="0"/>
          <w:sz w:val="28"/>
          <w:szCs w:val="28"/>
        </w:rPr>
        <w:instrText xml:space="preserve"> PAGEREF _Toc76568823 \h </w:instrText>
      </w:r>
      <w:r>
        <w:rPr>
          <w:rFonts w:ascii="Times New Roman" w:hAnsi="Times New Roman"/>
          <w:i w:val="0"/>
          <w:sz w:val="28"/>
          <w:szCs w:val="28"/>
        </w:rPr>
        <w:fldChar w:fldCharType="separate"/>
      </w:r>
      <w:r>
        <w:rPr>
          <w:rFonts w:ascii="Times New Roman" w:hAnsi="Times New Roman"/>
          <w:i w:val="0"/>
          <w:sz w:val="28"/>
          <w:szCs w:val="28"/>
        </w:rPr>
        <w:t>24</w:t>
      </w:r>
      <w:r>
        <w:rPr>
          <w:rFonts w:ascii="Times New Roman" w:hAnsi="Times New Roman"/>
          <w:i w:val="0"/>
          <w:sz w:val="28"/>
          <w:szCs w:val="28"/>
        </w:rPr>
        <w:fldChar w:fldCharType="end"/>
      </w:r>
      <w:r>
        <w:fldChar w:fldCharType="end"/>
      </w:r>
    </w:p>
    <w:p>
      <w:pPr>
        <w:pStyle w:val="21"/>
        <w:tabs>
          <w:tab w:val="right" w:leader="dot" w:pos="8302"/>
        </w:tabs>
        <w:rPr>
          <w:rFonts w:ascii="Times New Roman" w:hAnsi="Times New Roman" w:eastAsia="宋体"/>
          <w:i w:val="0"/>
          <w:iCs w:val="0"/>
          <w:sz w:val="28"/>
          <w:szCs w:val="28"/>
        </w:rPr>
      </w:pPr>
      <w:r>
        <w:fldChar w:fldCharType="begin"/>
      </w:r>
      <w:r>
        <w:instrText xml:space="preserve">HYPERLINK  \l "_Toc76568824" </w:instrText>
      </w:r>
      <w:r>
        <w:fldChar w:fldCharType="separate"/>
      </w:r>
      <w:r>
        <w:rPr>
          <w:rStyle w:val="31"/>
          <w:rFonts w:ascii="Times New Roman" w:hAnsi="Times New Roman"/>
          <w:i w:val="0"/>
          <w:sz w:val="28"/>
          <w:szCs w:val="28"/>
        </w:rPr>
        <w:t>第四节  创新驱动，构建智慧融合的能源产业体系</w:t>
      </w:r>
      <w:r>
        <w:rPr>
          <w:rFonts w:ascii="Times New Roman" w:hAnsi="Times New Roman"/>
          <w:i w:val="0"/>
          <w:sz w:val="28"/>
          <w:szCs w:val="28"/>
        </w:rPr>
        <w:tab/>
      </w:r>
      <w:r>
        <w:rPr>
          <w:rFonts w:ascii="Times New Roman" w:hAnsi="Times New Roman"/>
          <w:i w:val="0"/>
          <w:sz w:val="28"/>
          <w:szCs w:val="28"/>
        </w:rPr>
        <w:fldChar w:fldCharType="begin"/>
      </w:r>
      <w:r>
        <w:rPr>
          <w:rFonts w:ascii="Times New Roman" w:hAnsi="Times New Roman"/>
          <w:i w:val="0"/>
          <w:sz w:val="28"/>
          <w:szCs w:val="28"/>
        </w:rPr>
        <w:instrText xml:space="preserve"> PAGEREF _Toc76568824 \h </w:instrText>
      </w:r>
      <w:r>
        <w:rPr>
          <w:rFonts w:ascii="Times New Roman" w:hAnsi="Times New Roman"/>
          <w:i w:val="0"/>
          <w:sz w:val="28"/>
          <w:szCs w:val="28"/>
        </w:rPr>
        <w:fldChar w:fldCharType="separate"/>
      </w:r>
      <w:r>
        <w:rPr>
          <w:rFonts w:ascii="Times New Roman" w:hAnsi="Times New Roman"/>
          <w:i w:val="0"/>
          <w:sz w:val="28"/>
          <w:szCs w:val="28"/>
        </w:rPr>
        <w:t>28</w:t>
      </w:r>
      <w:r>
        <w:rPr>
          <w:rFonts w:ascii="Times New Roman" w:hAnsi="Times New Roman"/>
          <w:i w:val="0"/>
          <w:sz w:val="28"/>
          <w:szCs w:val="28"/>
        </w:rPr>
        <w:fldChar w:fldCharType="end"/>
      </w:r>
      <w:r>
        <w:fldChar w:fldCharType="end"/>
      </w:r>
    </w:p>
    <w:p>
      <w:pPr>
        <w:pStyle w:val="21"/>
        <w:tabs>
          <w:tab w:val="right" w:leader="dot" w:pos="8302"/>
        </w:tabs>
        <w:rPr>
          <w:rFonts w:ascii="Times New Roman" w:hAnsi="Times New Roman" w:eastAsia="宋体"/>
          <w:i w:val="0"/>
          <w:iCs w:val="0"/>
          <w:sz w:val="28"/>
          <w:szCs w:val="28"/>
        </w:rPr>
      </w:pPr>
      <w:r>
        <w:fldChar w:fldCharType="begin"/>
      </w:r>
      <w:r>
        <w:instrText xml:space="preserve">HYPERLINK  \l "_Toc76568825" </w:instrText>
      </w:r>
      <w:r>
        <w:fldChar w:fldCharType="separate"/>
      </w:r>
      <w:r>
        <w:rPr>
          <w:rStyle w:val="31"/>
          <w:rFonts w:ascii="Times New Roman" w:hAnsi="Times New Roman"/>
          <w:i w:val="0"/>
          <w:sz w:val="28"/>
          <w:szCs w:val="28"/>
        </w:rPr>
        <w:t>第五节  深化改革，探索协调有效的能源治理体系</w:t>
      </w:r>
      <w:r>
        <w:rPr>
          <w:rFonts w:ascii="Times New Roman" w:hAnsi="Times New Roman"/>
          <w:i w:val="0"/>
          <w:sz w:val="28"/>
          <w:szCs w:val="28"/>
        </w:rPr>
        <w:tab/>
      </w:r>
      <w:r>
        <w:rPr>
          <w:rFonts w:ascii="Times New Roman" w:hAnsi="Times New Roman"/>
          <w:i w:val="0"/>
          <w:sz w:val="28"/>
          <w:szCs w:val="28"/>
        </w:rPr>
        <w:fldChar w:fldCharType="begin"/>
      </w:r>
      <w:r>
        <w:rPr>
          <w:rFonts w:ascii="Times New Roman" w:hAnsi="Times New Roman"/>
          <w:i w:val="0"/>
          <w:sz w:val="28"/>
          <w:szCs w:val="28"/>
        </w:rPr>
        <w:instrText xml:space="preserve"> PAGEREF _Toc76568825 \h </w:instrText>
      </w:r>
      <w:r>
        <w:rPr>
          <w:rFonts w:ascii="Times New Roman" w:hAnsi="Times New Roman"/>
          <w:i w:val="0"/>
          <w:sz w:val="28"/>
          <w:szCs w:val="28"/>
        </w:rPr>
        <w:fldChar w:fldCharType="separate"/>
      </w:r>
      <w:r>
        <w:rPr>
          <w:rFonts w:ascii="Times New Roman" w:hAnsi="Times New Roman"/>
          <w:i w:val="0"/>
          <w:sz w:val="28"/>
          <w:szCs w:val="28"/>
        </w:rPr>
        <w:t>29</w:t>
      </w:r>
      <w:r>
        <w:rPr>
          <w:rFonts w:ascii="Times New Roman" w:hAnsi="Times New Roman"/>
          <w:i w:val="0"/>
          <w:sz w:val="28"/>
          <w:szCs w:val="28"/>
        </w:rPr>
        <w:fldChar w:fldCharType="end"/>
      </w:r>
      <w:r>
        <w:fldChar w:fldCharType="end"/>
      </w:r>
    </w:p>
    <w:p>
      <w:pPr>
        <w:pStyle w:val="21"/>
        <w:tabs>
          <w:tab w:val="right" w:leader="dot" w:pos="8302"/>
        </w:tabs>
        <w:rPr>
          <w:rFonts w:ascii="Times New Roman" w:hAnsi="Times New Roman" w:eastAsia="宋体"/>
          <w:i w:val="0"/>
          <w:iCs w:val="0"/>
          <w:sz w:val="28"/>
          <w:szCs w:val="28"/>
        </w:rPr>
      </w:pPr>
      <w:r>
        <w:fldChar w:fldCharType="begin"/>
      </w:r>
      <w:r>
        <w:instrText xml:space="preserve">HYPERLINK  \l "_Toc76568826" </w:instrText>
      </w:r>
      <w:r>
        <w:fldChar w:fldCharType="separate"/>
      </w:r>
      <w:r>
        <w:rPr>
          <w:rStyle w:val="31"/>
          <w:rFonts w:ascii="Times New Roman" w:hAnsi="Times New Roman"/>
          <w:i w:val="0"/>
          <w:sz w:val="28"/>
          <w:szCs w:val="28"/>
        </w:rPr>
        <w:t>第六节  惠民利民，构建高质量农村现代能源体系</w:t>
      </w:r>
      <w:r>
        <w:rPr>
          <w:rFonts w:ascii="Times New Roman" w:hAnsi="Times New Roman"/>
          <w:i w:val="0"/>
          <w:sz w:val="28"/>
          <w:szCs w:val="28"/>
        </w:rPr>
        <w:tab/>
      </w:r>
      <w:r>
        <w:rPr>
          <w:rFonts w:ascii="Times New Roman" w:hAnsi="Times New Roman"/>
          <w:i w:val="0"/>
          <w:sz w:val="28"/>
          <w:szCs w:val="28"/>
        </w:rPr>
        <w:fldChar w:fldCharType="begin"/>
      </w:r>
      <w:r>
        <w:rPr>
          <w:rFonts w:ascii="Times New Roman" w:hAnsi="Times New Roman"/>
          <w:i w:val="0"/>
          <w:sz w:val="28"/>
          <w:szCs w:val="28"/>
        </w:rPr>
        <w:instrText xml:space="preserve"> PAGEREF _Toc76568826 \h </w:instrText>
      </w:r>
      <w:r>
        <w:rPr>
          <w:rFonts w:ascii="Times New Roman" w:hAnsi="Times New Roman"/>
          <w:i w:val="0"/>
          <w:sz w:val="28"/>
          <w:szCs w:val="28"/>
        </w:rPr>
        <w:fldChar w:fldCharType="separate"/>
      </w:r>
      <w:r>
        <w:rPr>
          <w:rFonts w:ascii="Times New Roman" w:hAnsi="Times New Roman"/>
          <w:i w:val="0"/>
          <w:sz w:val="28"/>
          <w:szCs w:val="28"/>
        </w:rPr>
        <w:t>32</w:t>
      </w:r>
      <w:r>
        <w:rPr>
          <w:rFonts w:ascii="Times New Roman" w:hAnsi="Times New Roman"/>
          <w:i w:val="0"/>
          <w:sz w:val="28"/>
          <w:szCs w:val="28"/>
        </w:rPr>
        <w:fldChar w:fldCharType="end"/>
      </w:r>
      <w:r>
        <w:fldChar w:fldCharType="end"/>
      </w:r>
    </w:p>
    <w:p>
      <w:pPr>
        <w:pStyle w:val="17"/>
        <w:tabs>
          <w:tab w:val="left" w:pos="1120"/>
          <w:tab w:val="right" w:leader="dot" w:pos="8302"/>
        </w:tabs>
        <w:rPr>
          <w:rFonts w:ascii="Times New Roman" w:hAnsi="Times New Roman" w:eastAsia="宋体"/>
          <w:b w:val="0"/>
          <w:bCs w:val="0"/>
          <w:szCs w:val="28"/>
        </w:rPr>
      </w:pPr>
      <w:r>
        <w:fldChar w:fldCharType="begin"/>
      </w:r>
      <w:r>
        <w:instrText xml:space="preserve">HYPERLINK  \l "_Toc76568827" </w:instrText>
      </w:r>
      <w:r>
        <w:fldChar w:fldCharType="separate"/>
      </w:r>
      <w:r>
        <w:rPr>
          <w:rStyle w:val="31"/>
          <w:rFonts w:ascii="Times New Roman" w:hAnsi="Times New Roman" w:eastAsia="黑体"/>
          <w:szCs w:val="28"/>
        </w:rPr>
        <w:t>第四章</w:t>
      </w:r>
      <w:r>
        <w:rPr>
          <w:rFonts w:ascii="Times New Roman" w:hAnsi="Times New Roman" w:eastAsia="宋体"/>
          <w:b w:val="0"/>
          <w:bCs w:val="0"/>
          <w:szCs w:val="28"/>
        </w:rPr>
        <w:tab/>
      </w:r>
      <w:r>
        <w:rPr>
          <w:rStyle w:val="31"/>
          <w:rFonts w:ascii="Times New Roman" w:hAnsi="Times New Roman" w:eastAsia="黑体"/>
          <w:szCs w:val="28"/>
        </w:rPr>
        <w:t>环境影响评价</w:t>
      </w:r>
      <w:r>
        <w:rPr>
          <w:rFonts w:ascii="Times New Roman" w:hAnsi="Times New Roman"/>
          <w:szCs w:val="28"/>
        </w:rPr>
        <w:tab/>
      </w:r>
      <w:r>
        <w:rPr>
          <w:rFonts w:ascii="Times New Roman" w:hAnsi="Times New Roman"/>
          <w:szCs w:val="28"/>
        </w:rPr>
        <w:fldChar w:fldCharType="begin"/>
      </w:r>
      <w:r>
        <w:rPr>
          <w:rFonts w:ascii="Times New Roman" w:hAnsi="Times New Roman"/>
          <w:szCs w:val="28"/>
        </w:rPr>
        <w:instrText xml:space="preserve"> PAGEREF _Toc76568827 \h </w:instrText>
      </w:r>
      <w:r>
        <w:rPr>
          <w:rFonts w:ascii="Times New Roman" w:hAnsi="Times New Roman"/>
          <w:szCs w:val="28"/>
        </w:rPr>
        <w:fldChar w:fldCharType="separate"/>
      </w:r>
      <w:r>
        <w:rPr>
          <w:rFonts w:ascii="Times New Roman" w:hAnsi="Times New Roman"/>
          <w:szCs w:val="28"/>
        </w:rPr>
        <w:t>34</w:t>
      </w:r>
      <w:r>
        <w:rPr>
          <w:rFonts w:ascii="Times New Roman" w:hAnsi="Times New Roman"/>
          <w:szCs w:val="28"/>
        </w:rPr>
        <w:fldChar w:fldCharType="end"/>
      </w:r>
      <w:r>
        <w:fldChar w:fldCharType="end"/>
      </w:r>
    </w:p>
    <w:p>
      <w:pPr>
        <w:pStyle w:val="21"/>
        <w:tabs>
          <w:tab w:val="right" w:leader="dot" w:pos="8302"/>
        </w:tabs>
        <w:rPr>
          <w:rFonts w:ascii="Times New Roman" w:hAnsi="Times New Roman" w:eastAsia="宋体"/>
          <w:i w:val="0"/>
          <w:iCs w:val="0"/>
          <w:sz w:val="28"/>
          <w:szCs w:val="28"/>
        </w:rPr>
      </w:pPr>
      <w:r>
        <w:fldChar w:fldCharType="begin"/>
      </w:r>
      <w:r>
        <w:instrText xml:space="preserve">HYPERLINK  \l "_Toc76568828" </w:instrText>
      </w:r>
      <w:r>
        <w:fldChar w:fldCharType="separate"/>
      </w:r>
      <w:r>
        <w:rPr>
          <w:rStyle w:val="31"/>
          <w:rFonts w:ascii="Times New Roman" w:hAnsi="Times New Roman"/>
          <w:i w:val="0"/>
          <w:sz w:val="28"/>
          <w:szCs w:val="28"/>
        </w:rPr>
        <w:t>第一节 环境影响分析</w:t>
      </w:r>
      <w:r>
        <w:rPr>
          <w:rFonts w:ascii="Times New Roman" w:hAnsi="Times New Roman"/>
          <w:i w:val="0"/>
          <w:sz w:val="28"/>
          <w:szCs w:val="28"/>
        </w:rPr>
        <w:tab/>
      </w:r>
      <w:r>
        <w:rPr>
          <w:rFonts w:ascii="Times New Roman" w:hAnsi="Times New Roman"/>
          <w:i w:val="0"/>
          <w:sz w:val="28"/>
          <w:szCs w:val="28"/>
        </w:rPr>
        <w:fldChar w:fldCharType="begin"/>
      </w:r>
      <w:r>
        <w:rPr>
          <w:rFonts w:ascii="Times New Roman" w:hAnsi="Times New Roman"/>
          <w:i w:val="0"/>
          <w:sz w:val="28"/>
          <w:szCs w:val="28"/>
        </w:rPr>
        <w:instrText xml:space="preserve"> PAGEREF _Toc76568828 \h </w:instrText>
      </w:r>
      <w:r>
        <w:rPr>
          <w:rFonts w:ascii="Times New Roman" w:hAnsi="Times New Roman"/>
          <w:i w:val="0"/>
          <w:sz w:val="28"/>
          <w:szCs w:val="28"/>
        </w:rPr>
        <w:fldChar w:fldCharType="separate"/>
      </w:r>
      <w:r>
        <w:rPr>
          <w:rFonts w:ascii="Times New Roman" w:hAnsi="Times New Roman"/>
          <w:i w:val="0"/>
          <w:sz w:val="28"/>
          <w:szCs w:val="28"/>
        </w:rPr>
        <w:t>34</w:t>
      </w:r>
      <w:r>
        <w:rPr>
          <w:rFonts w:ascii="Times New Roman" w:hAnsi="Times New Roman"/>
          <w:i w:val="0"/>
          <w:sz w:val="28"/>
          <w:szCs w:val="28"/>
        </w:rPr>
        <w:fldChar w:fldCharType="end"/>
      </w:r>
      <w:r>
        <w:fldChar w:fldCharType="end"/>
      </w:r>
    </w:p>
    <w:p>
      <w:pPr>
        <w:pStyle w:val="21"/>
        <w:tabs>
          <w:tab w:val="right" w:leader="dot" w:pos="8302"/>
        </w:tabs>
        <w:rPr>
          <w:rFonts w:ascii="Times New Roman" w:hAnsi="Times New Roman" w:eastAsia="宋体"/>
          <w:i w:val="0"/>
          <w:iCs w:val="0"/>
          <w:sz w:val="28"/>
          <w:szCs w:val="28"/>
        </w:rPr>
      </w:pPr>
      <w:r>
        <w:fldChar w:fldCharType="begin"/>
      </w:r>
      <w:r>
        <w:instrText xml:space="preserve">HYPERLINK  \l "_Toc76568829" </w:instrText>
      </w:r>
      <w:r>
        <w:fldChar w:fldCharType="separate"/>
      </w:r>
      <w:r>
        <w:rPr>
          <w:rStyle w:val="31"/>
          <w:rFonts w:ascii="Times New Roman" w:hAnsi="Times New Roman"/>
          <w:i w:val="0"/>
          <w:sz w:val="28"/>
          <w:szCs w:val="28"/>
        </w:rPr>
        <w:t>第二节 环境保护措施</w:t>
      </w:r>
      <w:r>
        <w:rPr>
          <w:rFonts w:ascii="Times New Roman" w:hAnsi="Times New Roman"/>
          <w:i w:val="0"/>
          <w:sz w:val="28"/>
          <w:szCs w:val="28"/>
        </w:rPr>
        <w:tab/>
      </w:r>
      <w:r>
        <w:rPr>
          <w:rFonts w:ascii="Times New Roman" w:hAnsi="Times New Roman"/>
          <w:i w:val="0"/>
          <w:sz w:val="28"/>
          <w:szCs w:val="28"/>
        </w:rPr>
        <w:fldChar w:fldCharType="begin"/>
      </w:r>
      <w:r>
        <w:rPr>
          <w:rFonts w:ascii="Times New Roman" w:hAnsi="Times New Roman"/>
          <w:i w:val="0"/>
          <w:sz w:val="28"/>
          <w:szCs w:val="28"/>
        </w:rPr>
        <w:instrText xml:space="preserve"> PAGEREF _Toc76568829 \h </w:instrText>
      </w:r>
      <w:r>
        <w:rPr>
          <w:rFonts w:ascii="Times New Roman" w:hAnsi="Times New Roman"/>
          <w:i w:val="0"/>
          <w:sz w:val="28"/>
          <w:szCs w:val="28"/>
        </w:rPr>
        <w:fldChar w:fldCharType="separate"/>
      </w:r>
      <w:r>
        <w:rPr>
          <w:rFonts w:ascii="Times New Roman" w:hAnsi="Times New Roman"/>
          <w:i w:val="0"/>
          <w:sz w:val="28"/>
          <w:szCs w:val="28"/>
        </w:rPr>
        <w:t>35</w:t>
      </w:r>
      <w:r>
        <w:rPr>
          <w:rFonts w:ascii="Times New Roman" w:hAnsi="Times New Roman"/>
          <w:i w:val="0"/>
          <w:sz w:val="28"/>
          <w:szCs w:val="28"/>
        </w:rPr>
        <w:fldChar w:fldCharType="end"/>
      </w:r>
      <w:r>
        <w:fldChar w:fldCharType="end"/>
      </w:r>
    </w:p>
    <w:p>
      <w:pPr>
        <w:pStyle w:val="17"/>
        <w:tabs>
          <w:tab w:val="left" w:pos="1120"/>
          <w:tab w:val="right" w:leader="dot" w:pos="8302"/>
        </w:tabs>
        <w:rPr>
          <w:rFonts w:ascii="Times New Roman" w:hAnsi="Times New Roman" w:eastAsia="宋体"/>
          <w:b w:val="0"/>
          <w:bCs w:val="0"/>
          <w:szCs w:val="28"/>
        </w:rPr>
      </w:pPr>
      <w:r>
        <w:fldChar w:fldCharType="begin"/>
      </w:r>
      <w:r>
        <w:instrText xml:space="preserve">HYPERLINK  \l "_Toc76568830" </w:instrText>
      </w:r>
      <w:r>
        <w:fldChar w:fldCharType="separate"/>
      </w:r>
      <w:r>
        <w:rPr>
          <w:rStyle w:val="31"/>
          <w:rFonts w:ascii="Times New Roman" w:hAnsi="Times New Roman" w:eastAsia="黑体"/>
          <w:szCs w:val="28"/>
        </w:rPr>
        <w:t>第五章</w:t>
      </w:r>
      <w:r>
        <w:rPr>
          <w:rFonts w:ascii="Times New Roman" w:hAnsi="Times New Roman" w:eastAsia="宋体"/>
          <w:b w:val="0"/>
          <w:bCs w:val="0"/>
          <w:szCs w:val="28"/>
        </w:rPr>
        <w:tab/>
      </w:r>
      <w:r>
        <w:rPr>
          <w:rStyle w:val="31"/>
          <w:rFonts w:ascii="Times New Roman" w:hAnsi="Times New Roman" w:eastAsia="黑体"/>
          <w:szCs w:val="28"/>
        </w:rPr>
        <w:t>保障措施</w:t>
      </w:r>
      <w:r>
        <w:rPr>
          <w:rFonts w:ascii="Times New Roman" w:hAnsi="Times New Roman"/>
          <w:szCs w:val="28"/>
        </w:rPr>
        <w:tab/>
      </w:r>
      <w:r>
        <w:rPr>
          <w:rFonts w:ascii="Times New Roman" w:hAnsi="Times New Roman"/>
          <w:szCs w:val="28"/>
        </w:rPr>
        <w:fldChar w:fldCharType="begin"/>
      </w:r>
      <w:r>
        <w:rPr>
          <w:rFonts w:ascii="Times New Roman" w:hAnsi="Times New Roman"/>
          <w:szCs w:val="28"/>
        </w:rPr>
        <w:instrText xml:space="preserve"> PAGEREF _Toc76568830 \h </w:instrText>
      </w:r>
      <w:r>
        <w:rPr>
          <w:rFonts w:ascii="Times New Roman" w:hAnsi="Times New Roman"/>
          <w:szCs w:val="28"/>
        </w:rPr>
        <w:fldChar w:fldCharType="separate"/>
      </w:r>
      <w:r>
        <w:rPr>
          <w:rFonts w:ascii="Times New Roman" w:hAnsi="Times New Roman"/>
          <w:szCs w:val="28"/>
        </w:rPr>
        <w:t>35</w:t>
      </w:r>
      <w:r>
        <w:rPr>
          <w:rFonts w:ascii="Times New Roman" w:hAnsi="Times New Roman"/>
          <w:szCs w:val="28"/>
        </w:rPr>
        <w:fldChar w:fldCharType="end"/>
      </w:r>
      <w:r>
        <w:fldChar w:fldCharType="end"/>
      </w:r>
    </w:p>
    <w:p>
      <w:pPr>
        <w:pStyle w:val="21"/>
        <w:tabs>
          <w:tab w:val="right" w:leader="dot" w:pos="8302"/>
        </w:tabs>
        <w:rPr>
          <w:rFonts w:ascii="Times New Roman" w:hAnsi="Times New Roman" w:eastAsia="宋体"/>
          <w:i w:val="0"/>
          <w:iCs w:val="0"/>
          <w:sz w:val="28"/>
          <w:szCs w:val="28"/>
        </w:rPr>
      </w:pPr>
      <w:r>
        <w:fldChar w:fldCharType="begin"/>
      </w:r>
      <w:r>
        <w:instrText xml:space="preserve">HYPERLINK  \l "_Toc76568831" </w:instrText>
      </w:r>
      <w:r>
        <w:fldChar w:fldCharType="separate"/>
      </w:r>
      <w:r>
        <w:rPr>
          <w:rStyle w:val="31"/>
          <w:rFonts w:ascii="Times New Roman" w:hAnsi="Times New Roman"/>
          <w:i w:val="0"/>
          <w:sz w:val="28"/>
          <w:szCs w:val="28"/>
        </w:rPr>
        <w:t>第一节  加强规划衔接</w:t>
      </w:r>
      <w:r>
        <w:rPr>
          <w:rFonts w:ascii="Times New Roman" w:hAnsi="Times New Roman"/>
          <w:i w:val="0"/>
          <w:sz w:val="28"/>
          <w:szCs w:val="28"/>
        </w:rPr>
        <w:tab/>
      </w:r>
      <w:r>
        <w:rPr>
          <w:rFonts w:ascii="Times New Roman" w:hAnsi="Times New Roman"/>
          <w:i w:val="0"/>
          <w:sz w:val="28"/>
          <w:szCs w:val="28"/>
        </w:rPr>
        <w:fldChar w:fldCharType="begin"/>
      </w:r>
      <w:r>
        <w:rPr>
          <w:rFonts w:ascii="Times New Roman" w:hAnsi="Times New Roman"/>
          <w:i w:val="0"/>
          <w:sz w:val="28"/>
          <w:szCs w:val="28"/>
        </w:rPr>
        <w:instrText xml:space="preserve"> PAGEREF _Toc76568831 \h </w:instrText>
      </w:r>
      <w:r>
        <w:rPr>
          <w:rFonts w:ascii="Times New Roman" w:hAnsi="Times New Roman"/>
          <w:i w:val="0"/>
          <w:sz w:val="28"/>
          <w:szCs w:val="28"/>
        </w:rPr>
        <w:fldChar w:fldCharType="separate"/>
      </w:r>
      <w:r>
        <w:rPr>
          <w:rFonts w:ascii="Times New Roman" w:hAnsi="Times New Roman"/>
          <w:i w:val="0"/>
          <w:sz w:val="28"/>
          <w:szCs w:val="28"/>
        </w:rPr>
        <w:t>35</w:t>
      </w:r>
      <w:r>
        <w:rPr>
          <w:rFonts w:ascii="Times New Roman" w:hAnsi="Times New Roman"/>
          <w:i w:val="0"/>
          <w:sz w:val="28"/>
          <w:szCs w:val="28"/>
        </w:rPr>
        <w:fldChar w:fldCharType="end"/>
      </w:r>
      <w:r>
        <w:fldChar w:fldCharType="end"/>
      </w:r>
    </w:p>
    <w:p>
      <w:pPr>
        <w:pStyle w:val="21"/>
        <w:tabs>
          <w:tab w:val="right" w:leader="dot" w:pos="8302"/>
        </w:tabs>
        <w:rPr>
          <w:rFonts w:ascii="Times New Roman" w:hAnsi="Times New Roman" w:eastAsia="宋体"/>
          <w:i w:val="0"/>
          <w:iCs w:val="0"/>
          <w:sz w:val="28"/>
          <w:szCs w:val="28"/>
        </w:rPr>
      </w:pPr>
      <w:r>
        <w:fldChar w:fldCharType="begin"/>
      </w:r>
      <w:r>
        <w:instrText xml:space="preserve">HYPERLINK  \l "_Toc76568832" </w:instrText>
      </w:r>
      <w:r>
        <w:fldChar w:fldCharType="separate"/>
      </w:r>
      <w:r>
        <w:rPr>
          <w:rStyle w:val="31"/>
          <w:rFonts w:ascii="Times New Roman" w:hAnsi="Times New Roman"/>
          <w:i w:val="0"/>
          <w:sz w:val="28"/>
          <w:szCs w:val="28"/>
        </w:rPr>
        <w:t>第二节  加强组织实施</w:t>
      </w:r>
      <w:r>
        <w:rPr>
          <w:rFonts w:ascii="Times New Roman" w:hAnsi="Times New Roman"/>
          <w:i w:val="0"/>
          <w:sz w:val="28"/>
          <w:szCs w:val="28"/>
        </w:rPr>
        <w:tab/>
      </w:r>
      <w:r>
        <w:rPr>
          <w:rFonts w:ascii="Times New Roman" w:hAnsi="Times New Roman"/>
          <w:i w:val="0"/>
          <w:sz w:val="28"/>
          <w:szCs w:val="28"/>
        </w:rPr>
        <w:fldChar w:fldCharType="begin"/>
      </w:r>
      <w:r>
        <w:rPr>
          <w:rFonts w:ascii="Times New Roman" w:hAnsi="Times New Roman"/>
          <w:i w:val="0"/>
          <w:sz w:val="28"/>
          <w:szCs w:val="28"/>
        </w:rPr>
        <w:instrText xml:space="preserve"> PAGEREF _Toc76568832 \h </w:instrText>
      </w:r>
      <w:r>
        <w:rPr>
          <w:rFonts w:ascii="Times New Roman" w:hAnsi="Times New Roman"/>
          <w:i w:val="0"/>
          <w:sz w:val="28"/>
          <w:szCs w:val="28"/>
        </w:rPr>
        <w:fldChar w:fldCharType="separate"/>
      </w:r>
      <w:r>
        <w:rPr>
          <w:rFonts w:ascii="Times New Roman" w:hAnsi="Times New Roman"/>
          <w:i w:val="0"/>
          <w:sz w:val="28"/>
          <w:szCs w:val="28"/>
        </w:rPr>
        <w:t>36</w:t>
      </w:r>
      <w:r>
        <w:rPr>
          <w:rFonts w:ascii="Times New Roman" w:hAnsi="Times New Roman"/>
          <w:i w:val="0"/>
          <w:sz w:val="28"/>
          <w:szCs w:val="28"/>
        </w:rPr>
        <w:fldChar w:fldCharType="end"/>
      </w:r>
      <w:r>
        <w:fldChar w:fldCharType="end"/>
      </w:r>
    </w:p>
    <w:p>
      <w:pPr>
        <w:pStyle w:val="21"/>
        <w:tabs>
          <w:tab w:val="right" w:leader="dot" w:pos="8302"/>
        </w:tabs>
        <w:rPr>
          <w:rFonts w:ascii="Times New Roman" w:hAnsi="Times New Roman" w:eastAsia="宋体"/>
          <w:i w:val="0"/>
          <w:iCs w:val="0"/>
          <w:sz w:val="28"/>
          <w:szCs w:val="28"/>
        </w:rPr>
      </w:pPr>
      <w:r>
        <w:fldChar w:fldCharType="begin"/>
      </w:r>
      <w:r>
        <w:instrText xml:space="preserve">HYPERLINK  \l "_Toc76568833" </w:instrText>
      </w:r>
      <w:r>
        <w:fldChar w:fldCharType="separate"/>
      </w:r>
      <w:r>
        <w:rPr>
          <w:rStyle w:val="31"/>
          <w:rFonts w:ascii="Times New Roman" w:hAnsi="Times New Roman"/>
          <w:i w:val="0"/>
          <w:sz w:val="28"/>
          <w:szCs w:val="28"/>
        </w:rPr>
        <w:t>第三节  加强政策支持</w:t>
      </w:r>
      <w:r>
        <w:rPr>
          <w:rFonts w:ascii="Times New Roman" w:hAnsi="Times New Roman"/>
          <w:i w:val="0"/>
          <w:sz w:val="28"/>
          <w:szCs w:val="28"/>
        </w:rPr>
        <w:tab/>
      </w:r>
      <w:r>
        <w:rPr>
          <w:rFonts w:ascii="Times New Roman" w:hAnsi="Times New Roman"/>
          <w:i w:val="0"/>
          <w:sz w:val="28"/>
          <w:szCs w:val="28"/>
        </w:rPr>
        <w:fldChar w:fldCharType="begin"/>
      </w:r>
      <w:r>
        <w:rPr>
          <w:rFonts w:ascii="Times New Roman" w:hAnsi="Times New Roman"/>
          <w:i w:val="0"/>
          <w:sz w:val="28"/>
          <w:szCs w:val="28"/>
        </w:rPr>
        <w:instrText xml:space="preserve"> PAGEREF _Toc76568833 \h </w:instrText>
      </w:r>
      <w:r>
        <w:rPr>
          <w:rFonts w:ascii="Times New Roman" w:hAnsi="Times New Roman"/>
          <w:i w:val="0"/>
          <w:sz w:val="28"/>
          <w:szCs w:val="28"/>
        </w:rPr>
        <w:fldChar w:fldCharType="separate"/>
      </w:r>
      <w:r>
        <w:rPr>
          <w:rFonts w:ascii="Times New Roman" w:hAnsi="Times New Roman"/>
          <w:i w:val="0"/>
          <w:sz w:val="28"/>
          <w:szCs w:val="28"/>
        </w:rPr>
        <w:t>36</w:t>
      </w:r>
      <w:r>
        <w:rPr>
          <w:rFonts w:ascii="Times New Roman" w:hAnsi="Times New Roman"/>
          <w:i w:val="0"/>
          <w:sz w:val="28"/>
          <w:szCs w:val="28"/>
        </w:rPr>
        <w:fldChar w:fldCharType="end"/>
      </w:r>
      <w:r>
        <w:fldChar w:fldCharType="end"/>
      </w:r>
    </w:p>
    <w:p>
      <w:pPr>
        <w:pStyle w:val="21"/>
        <w:tabs>
          <w:tab w:val="right" w:leader="dot" w:pos="8302"/>
        </w:tabs>
        <w:rPr>
          <w:rFonts w:ascii="Times New Roman" w:hAnsi="Times New Roman" w:eastAsia="宋体"/>
          <w:i w:val="0"/>
          <w:iCs w:val="0"/>
          <w:sz w:val="28"/>
          <w:szCs w:val="28"/>
        </w:rPr>
      </w:pPr>
      <w:r>
        <w:fldChar w:fldCharType="begin"/>
      </w:r>
      <w:r>
        <w:instrText xml:space="preserve">HYPERLINK  \l "_Toc76568834" </w:instrText>
      </w:r>
      <w:r>
        <w:fldChar w:fldCharType="separate"/>
      </w:r>
      <w:r>
        <w:rPr>
          <w:rStyle w:val="31"/>
          <w:rFonts w:ascii="Times New Roman" w:hAnsi="Times New Roman"/>
          <w:i w:val="0"/>
          <w:sz w:val="28"/>
          <w:szCs w:val="28"/>
        </w:rPr>
        <w:t>第四节  加强评估调整</w:t>
      </w:r>
      <w:r>
        <w:rPr>
          <w:rFonts w:ascii="Times New Roman" w:hAnsi="Times New Roman"/>
          <w:i w:val="0"/>
          <w:sz w:val="28"/>
          <w:szCs w:val="28"/>
        </w:rPr>
        <w:tab/>
      </w:r>
      <w:r>
        <w:rPr>
          <w:rFonts w:ascii="Times New Roman" w:hAnsi="Times New Roman"/>
          <w:i w:val="0"/>
          <w:sz w:val="28"/>
          <w:szCs w:val="28"/>
        </w:rPr>
        <w:fldChar w:fldCharType="begin"/>
      </w:r>
      <w:r>
        <w:rPr>
          <w:rFonts w:ascii="Times New Roman" w:hAnsi="Times New Roman"/>
          <w:i w:val="0"/>
          <w:sz w:val="28"/>
          <w:szCs w:val="28"/>
        </w:rPr>
        <w:instrText xml:space="preserve"> PAGEREF _Toc76568834 \h </w:instrText>
      </w:r>
      <w:r>
        <w:rPr>
          <w:rFonts w:ascii="Times New Roman" w:hAnsi="Times New Roman"/>
          <w:i w:val="0"/>
          <w:sz w:val="28"/>
          <w:szCs w:val="28"/>
        </w:rPr>
        <w:fldChar w:fldCharType="separate"/>
      </w:r>
      <w:r>
        <w:rPr>
          <w:rFonts w:ascii="Times New Roman" w:hAnsi="Times New Roman"/>
          <w:i w:val="0"/>
          <w:sz w:val="28"/>
          <w:szCs w:val="28"/>
        </w:rPr>
        <w:t>36</w:t>
      </w:r>
      <w:r>
        <w:rPr>
          <w:rFonts w:ascii="Times New Roman" w:hAnsi="Times New Roman"/>
          <w:i w:val="0"/>
          <w:sz w:val="28"/>
          <w:szCs w:val="28"/>
        </w:rPr>
        <w:fldChar w:fldCharType="end"/>
      </w:r>
      <w:r>
        <w:fldChar w:fldCharType="end"/>
      </w:r>
    </w:p>
    <w:p>
      <w:pPr>
        <w:pStyle w:val="21"/>
        <w:tabs>
          <w:tab w:val="right" w:leader="dot" w:pos="8302"/>
        </w:tabs>
        <w:rPr>
          <w:rFonts w:ascii="Times New Roman" w:hAnsi="Times New Roman" w:eastAsia="宋体"/>
          <w:i w:val="0"/>
          <w:iCs w:val="0"/>
          <w:sz w:val="28"/>
          <w:szCs w:val="28"/>
        </w:rPr>
      </w:pPr>
    </w:p>
    <w:p>
      <w:pPr>
        <w:rPr>
          <w:rFonts w:eastAsia="仿宋_GB2312"/>
          <w:bCs/>
          <w:szCs w:val="28"/>
        </w:rPr>
        <w:sectPr>
          <w:footerReference r:id="rId9" w:type="default"/>
          <w:pgSz w:w="11906" w:h="16838"/>
          <w:pgMar w:top="1440" w:right="1797" w:bottom="1440" w:left="1797" w:header="1021" w:footer="1021" w:gutter="0"/>
          <w:pgNumType w:fmt="upperRoman" w:start="1"/>
          <w:cols w:space="720" w:num="1"/>
          <w:docGrid w:linePitch="381" w:charSpace="0"/>
        </w:sectPr>
      </w:pPr>
      <w:r>
        <w:rPr>
          <w:rFonts w:eastAsia="仿宋_GB2312"/>
          <w:bCs/>
          <w:szCs w:val="28"/>
        </w:rPr>
        <w:fldChar w:fldCharType="end"/>
      </w:r>
    </w:p>
    <w:p>
      <w:pPr>
        <w:pStyle w:val="39"/>
        <w:ind w:firstLine="640"/>
      </w:pPr>
      <w:r>
        <w:rPr>
          <w:rFonts w:hint="eastAsia"/>
        </w:rPr>
        <w:t>能源是城市发展的基础和动力，是经济社会高质量发展的根本保障。“十四五”时期，是我国“两个一百年”奋斗目标的历史交汇期，是开启全面建设社会主义现代化国家新征程的重要机遇期，是广东省实现“四个走在全国前列”、当好“两个重要窗口”的关键时期，也</w:t>
      </w:r>
      <w:r>
        <w:t>是我市“入珠融湾”、加快建设“两市三区”</w:t>
      </w:r>
      <w:r>
        <w:rPr>
          <w:rFonts w:hint="eastAsia"/>
        </w:rPr>
        <w:t>、</w:t>
      </w:r>
      <w:r>
        <w:t>构建“一核一带一区”区域发展新格局、奋力开创改革开放和现代化建设新局面的重要时期。为指导我市“十四五”时期能源高质量发展，加快构建“清洁低碳、安全高效</w:t>
      </w:r>
      <w:r>
        <w:rPr>
          <w:rFonts w:hint="eastAsia"/>
        </w:rPr>
        <w:t>、智能创新</w:t>
      </w:r>
      <w:r>
        <w:t>”的现代能源体系，</w:t>
      </w:r>
      <w:r>
        <w:rPr>
          <w:rFonts w:hint="eastAsia"/>
        </w:rPr>
        <w:t>根据《清远市国民经济和社会发展第十四个五年规划和二</w:t>
      </w:r>
      <w:r>
        <w:rPr>
          <w:rFonts w:hint="eastAsia" w:ascii="微软雅黑" w:hAnsi="微软雅黑" w:eastAsia="微软雅黑" w:cs="微软雅黑"/>
        </w:rPr>
        <w:t>〇</w:t>
      </w:r>
      <w:r>
        <w:rPr>
          <w:rFonts w:hint="eastAsia" w:ascii="仿宋_GB2312" w:hAnsi="仿宋_GB2312" w:cs="仿宋_GB2312"/>
        </w:rPr>
        <w:t>三五年远景目标纲要》，</w:t>
      </w:r>
      <w:r>
        <w:t>制定本规划。</w:t>
      </w:r>
    </w:p>
    <w:p/>
    <w:p>
      <w:pPr>
        <w:pStyle w:val="2"/>
        <w:widowControl w:val="0"/>
        <w:numPr>
          <w:ilvl w:val="0"/>
          <w:numId w:val="1"/>
        </w:numPr>
        <w:spacing w:before="300" w:after="200" w:line="560" w:lineRule="exact"/>
        <w:ind w:left="0" w:firstLine="0"/>
        <w:jc w:val="center"/>
        <w:rPr>
          <w:rFonts w:eastAsia="黑体"/>
          <w:b w:val="0"/>
          <w:color w:val="auto"/>
          <w:sz w:val="36"/>
          <w:szCs w:val="44"/>
        </w:rPr>
      </w:pPr>
      <w:r>
        <w:rPr>
          <w:rFonts w:eastAsia="黑体"/>
          <w:b w:val="0"/>
          <w:color w:val="auto"/>
          <w:sz w:val="36"/>
          <w:szCs w:val="44"/>
        </w:rPr>
        <w:t xml:space="preserve"> </w:t>
      </w:r>
      <w:bookmarkStart w:id="4" w:name="_Toc76568812"/>
      <w:r>
        <w:rPr>
          <w:rFonts w:eastAsia="黑体"/>
          <w:b w:val="0"/>
          <w:color w:val="auto"/>
          <w:sz w:val="36"/>
          <w:szCs w:val="44"/>
        </w:rPr>
        <w:t>发展基础和形势</w:t>
      </w:r>
      <w:bookmarkEnd w:id="4"/>
    </w:p>
    <w:p>
      <w:pPr>
        <w:pStyle w:val="3"/>
        <w:rPr>
          <w:rFonts w:cs="Times New Roman"/>
        </w:rPr>
      </w:pPr>
      <w:bookmarkStart w:id="5" w:name="_Toc76568813"/>
      <w:r>
        <w:rPr>
          <w:rFonts w:cs="Times New Roman"/>
        </w:rPr>
        <w:t>第一节  发展</w:t>
      </w:r>
      <w:r>
        <w:rPr>
          <w:rFonts w:hint="eastAsia" w:cs="Times New Roman"/>
        </w:rPr>
        <w:t>基础</w:t>
      </w:r>
      <w:bookmarkEnd w:id="5"/>
    </w:p>
    <w:p>
      <w:pPr>
        <w:pStyle w:val="39"/>
        <w:ind w:firstLine="640"/>
      </w:pPr>
      <w:r>
        <w:t>“十三五”以来，</w:t>
      </w:r>
      <w:r>
        <w:rPr>
          <w:rFonts w:hint="eastAsia"/>
        </w:rPr>
        <w:t>我市深入贯彻落实“四个革命、一个合作”能源安全新战略，面对日益增长的能源需求，</w:t>
      </w:r>
      <w:r>
        <w:t>统筹兼顾经济和</w:t>
      </w:r>
      <w:r>
        <w:rPr>
          <w:rFonts w:hint="eastAsia"/>
        </w:rPr>
        <w:t>能源协调发展，控制能源消费总量保持在合理区间，不断完善能源基础设施短板，推动能源结构转型，提升能源普遍服务质量和水平，能源发展取得了积极进展，能源体系基本上呈现供应清洁多元、结构优化、效率提升的发展态势。</w:t>
      </w:r>
    </w:p>
    <w:bookmarkEnd w:id="0"/>
    <w:bookmarkEnd w:id="1"/>
    <w:p>
      <w:pPr>
        <w:pStyle w:val="4"/>
        <w:ind w:firstLine="643"/>
      </w:pPr>
      <w:bookmarkStart w:id="6" w:name="_Toc14791486"/>
      <w:r>
        <w:rPr>
          <w:rFonts w:hint="eastAsia"/>
        </w:rPr>
        <w:t>（一）供给保障能力稳步提升</w:t>
      </w:r>
    </w:p>
    <w:p>
      <w:pPr>
        <w:pStyle w:val="39"/>
        <w:ind w:firstLine="643"/>
      </w:pPr>
      <w:r>
        <w:rPr>
          <w:rFonts w:cs="等线"/>
          <w:b/>
        </w:rPr>
        <w:t>——</w:t>
      </w:r>
      <w:r>
        <w:rPr>
          <w:rFonts w:hint="eastAsia"/>
        </w:rPr>
        <w:t>本地</w:t>
      </w:r>
      <w:r>
        <w:t>电力装机规模持续扩大</w:t>
      </w:r>
      <w:r>
        <w:rPr>
          <w:rFonts w:hint="eastAsia"/>
        </w:rPr>
        <w:t>。建成投产华电顺德清远(英德)经济合作区热电联产、连州星子200兆瓦农业光伏、连州泉山风电场、阳山南电生物质发电等项目，开工建设神华国华清远发电工程项目。截至2020年底，</w:t>
      </w:r>
      <w:r>
        <w:t>我市电源总装机容量达</w:t>
      </w:r>
      <w:r>
        <w:rPr>
          <w:rFonts w:hint="eastAsia"/>
        </w:rPr>
        <w:t>55</w:t>
      </w:r>
      <w:r>
        <w:t>2万千瓦，</w:t>
      </w:r>
      <w:r>
        <w:rPr>
          <w:rFonts w:hint="eastAsia"/>
        </w:rPr>
        <w:t>其中水电装机</w:t>
      </w:r>
      <w:r>
        <w:t>189万千瓦</w:t>
      </w:r>
      <w:r>
        <w:rPr>
          <w:rFonts w:hint="eastAsia"/>
        </w:rPr>
        <w:t>、风电装机</w:t>
      </w:r>
      <w:r>
        <w:t>85万千瓦</w:t>
      </w:r>
      <w:r>
        <w:rPr>
          <w:rFonts w:hint="eastAsia"/>
        </w:rPr>
        <w:t>、光伏装机</w:t>
      </w:r>
      <w:r>
        <w:t>42万千瓦</w:t>
      </w:r>
      <w:r>
        <w:rPr>
          <w:rFonts w:hint="eastAsia"/>
        </w:rPr>
        <w:t>、气电装机92</w:t>
      </w:r>
      <w:r>
        <w:t>万千瓦</w:t>
      </w:r>
      <w:r>
        <w:rPr>
          <w:rFonts w:hint="eastAsia"/>
        </w:rPr>
        <w:t>、余热装机</w:t>
      </w:r>
      <w:r>
        <w:t>13万千瓦</w:t>
      </w:r>
      <w:r>
        <w:rPr>
          <w:rFonts w:hint="eastAsia"/>
        </w:rPr>
        <w:t>、生物质装机3</w:t>
      </w:r>
      <w:r>
        <w:t>万千瓦</w:t>
      </w:r>
      <w:r>
        <w:rPr>
          <w:rFonts w:hint="eastAsia"/>
        </w:rPr>
        <w:t>、抽水储能</w:t>
      </w:r>
      <w:r>
        <w:t>128万千瓦</w:t>
      </w:r>
      <w:r>
        <w:rPr>
          <w:rFonts w:hint="eastAsia"/>
        </w:rPr>
        <w:t>。</w:t>
      </w:r>
    </w:p>
    <w:p>
      <w:pPr>
        <w:pStyle w:val="39"/>
        <w:ind w:firstLine="643"/>
      </w:pPr>
      <w:r>
        <w:rPr>
          <w:rFonts w:cs="等线"/>
          <w:b/>
        </w:rPr>
        <w:t>——</w:t>
      </w:r>
      <w:r>
        <w:rPr>
          <w:rFonts w:hint="eastAsia"/>
        </w:rPr>
        <w:t>电力应急保障能力不断增强。2020年，已建成具备黑启动能力电源13座，总装机容量51.34万千瓦。其中，2座以220千伏电压层级接入，总装机容量21.2万千瓦；7座以110千伏电压层级接入，总装机容量26.81万千瓦；3座以35千伏电压层级接入，总装机容量3.38万千瓦。</w:t>
      </w:r>
    </w:p>
    <w:p>
      <w:pPr>
        <w:pStyle w:val="39"/>
        <w:ind w:firstLine="643"/>
      </w:pPr>
      <w:r>
        <w:rPr>
          <w:rFonts w:cs="等线"/>
          <w:b/>
        </w:rPr>
        <w:t>——</w:t>
      </w:r>
      <w:r>
        <w:t>电网网架结构不断完善</w:t>
      </w:r>
      <w:r>
        <w:rPr>
          <w:rFonts w:hint="eastAsia"/>
        </w:rPr>
        <w:t>。</w:t>
      </w:r>
      <w:r>
        <w:t>“十三五”期间</w:t>
      </w:r>
      <w:r>
        <w:rPr>
          <w:rFonts w:hint="eastAsia"/>
        </w:rPr>
        <w:t>，</w:t>
      </w:r>
      <w:r>
        <w:t>新建220千伏变电站1座，新建110千伏变电站14座，扩建110千伏变电站10座，</w:t>
      </w:r>
      <w:r>
        <w:rPr>
          <w:rFonts w:hint="eastAsia"/>
        </w:rPr>
        <w:t>截至2020年底，已建成500千伏变电站2座，主变4台，主变容量</w:t>
      </w:r>
      <w:r>
        <w:t>3500</w:t>
      </w:r>
      <w:r>
        <w:rPr>
          <w:rFonts w:hint="eastAsia"/>
        </w:rPr>
        <w:t>兆伏安，线路总长度</w:t>
      </w:r>
      <w:r>
        <w:t>751</w:t>
      </w:r>
      <w:r>
        <w:rPr>
          <w:rFonts w:hint="eastAsia"/>
        </w:rPr>
        <w:t>千米；</w:t>
      </w:r>
      <w:r>
        <w:t>已建成</w:t>
      </w:r>
      <w:r>
        <w:rPr>
          <w:rFonts w:hint="eastAsia"/>
        </w:rPr>
        <w:t>220千伏变电站</w:t>
      </w:r>
      <w:r>
        <w:t>16</w:t>
      </w:r>
      <w:r>
        <w:rPr>
          <w:rFonts w:hint="eastAsia"/>
        </w:rPr>
        <w:t>座，主变</w:t>
      </w:r>
      <w:r>
        <w:t>40</w:t>
      </w:r>
      <w:r>
        <w:rPr>
          <w:rFonts w:hint="eastAsia"/>
        </w:rPr>
        <w:t>台，主变容量6060兆伏安，线路长度</w:t>
      </w:r>
      <w:r>
        <w:t>2416</w:t>
      </w:r>
      <w:r>
        <w:rPr>
          <w:rFonts w:hint="eastAsia"/>
        </w:rPr>
        <w:t>千米；</w:t>
      </w:r>
      <w:r>
        <w:t>已建成</w:t>
      </w:r>
      <w:r>
        <w:rPr>
          <w:rFonts w:hint="eastAsia"/>
        </w:rPr>
        <w:t>110千伏变电站73座，主变</w:t>
      </w:r>
      <w:r>
        <w:t>147</w:t>
      </w:r>
      <w:r>
        <w:rPr>
          <w:rFonts w:hint="eastAsia"/>
        </w:rPr>
        <w:t>台，主变容量7023兆伏安，线路长度</w:t>
      </w:r>
      <w:r>
        <w:t>2503</w:t>
      </w:r>
      <w:r>
        <w:rPr>
          <w:rFonts w:hint="eastAsia"/>
        </w:rPr>
        <w:t>千米。</w:t>
      </w:r>
      <w:r>
        <w:t>电网基本上形成以500千伏贤令山、库湾站、花都站和曲江站位为供电中心，</w:t>
      </w:r>
      <w:r>
        <w:rPr>
          <w:rFonts w:hint="eastAsia"/>
        </w:rPr>
        <w:t>贤令山供电片区独立成片运行，库湾站、花都站和曲江站供电片区结构以链式接线为主，与周边地区220千伏电网联系紧密的网架结构。</w:t>
      </w:r>
    </w:p>
    <w:p>
      <w:pPr>
        <w:pStyle w:val="39"/>
        <w:ind w:firstLine="643"/>
      </w:pPr>
      <w:r>
        <w:rPr>
          <w:rFonts w:cs="等线"/>
          <w:b/>
        </w:rPr>
        <w:t>——</w:t>
      </w:r>
      <w:r>
        <w:t>油气储运能力不断提升</w:t>
      </w:r>
      <w:r>
        <w:rPr>
          <w:rFonts w:hint="eastAsia"/>
        </w:rPr>
        <w:t>。截至2020年底，</w:t>
      </w:r>
      <w:r>
        <w:t>天然气供应能力达到9.2亿立方米/年，</w:t>
      </w:r>
      <w:r>
        <w:rPr>
          <w:color w:val="000000"/>
        </w:rPr>
        <w:t>天然气储备能力</w:t>
      </w:r>
      <w:r>
        <w:rPr>
          <w:rFonts w:hint="eastAsia"/>
          <w:color w:val="000000"/>
        </w:rPr>
        <w:t>200万方（气态）</w:t>
      </w:r>
      <w:r>
        <w:rPr>
          <w:color w:val="000000"/>
        </w:rPr>
        <w:t>，</w:t>
      </w:r>
      <w:r>
        <w:t>建成天然气中低压管道1330公里、门站2个、调压站1座、气化站13座</w:t>
      </w:r>
      <w:r>
        <w:rPr>
          <w:rFonts w:hint="eastAsia"/>
        </w:rPr>
        <w:t>、应急气源站1个。</w:t>
      </w:r>
      <w:r>
        <w:t>建成加油站281座、成品油库1座、LPG储罐114个。</w:t>
      </w:r>
    </w:p>
    <w:p>
      <w:pPr>
        <w:pStyle w:val="4"/>
        <w:ind w:firstLine="643"/>
      </w:pPr>
      <w:r>
        <w:rPr>
          <w:rFonts w:hint="eastAsia"/>
        </w:rPr>
        <w:t>（二）清洁化水平进一步提高</w:t>
      </w:r>
    </w:p>
    <w:p>
      <w:pPr>
        <w:pStyle w:val="39"/>
        <w:ind w:firstLine="640"/>
      </w:pPr>
      <w:r>
        <w:t>“十三五”期间，</w:t>
      </w:r>
      <w:r>
        <w:rPr>
          <w:rFonts w:hint="eastAsia"/>
        </w:rPr>
        <w:t>我市推动能源发展转型升级，实施优化产业结构，淘汰落后产能，</w:t>
      </w:r>
      <w:r>
        <w:t>严格控制煤炭消费</w:t>
      </w:r>
      <w:r>
        <w:rPr>
          <w:rFonts w:hint="eastAsia"/>
        </w:rPr>
        <w:t>，全力推动陶瓷企业“煤改气”工作，整治分散燃煤锅炉，大力发展可再生能源，推动</w:t>
      </w:r>
      <w:r>
        <w:t>可再生能源消纳，大力</w:t>
      </w:r>
      <w:r>
        <w:rPr>
          <w:rFonts w:hint="eastAsia"/>
        </w:rPr>
        <w:t>扩大</w:t>
      </w:r>
      <w:r>
        <w:t>天然气利用</w:t>
      </w:r>
      <w:r>
        <w:rPr>
          <w:rFonts w:hint="eastAsia"/>
        </w:rPr>
        <w:t>，</w:t>
      </w:r>
      <w:r>
        <w:t>能源消费结构显著优化，清洁能源消费比重进一步提升。</w:t>
      </w:r>
    </w:p>
    <w:p>
      <w:pPr>
        <w:pStyle w:val="39"/>
        <w:ind w:firstLine="643"/>
      </w:pPr>
      <w:r>
        <w:rPr>
          <w:rFonts w:cs="等线"/>
          <w:b/>
        </w:rPr>
        <w:t>——</w:t>
      </w:r>
      <w:r>
        <w:rPr>
          <w:rFonts w:hint="eastAsia"/>
        </w:rPr>
        <w:t>清洁能源消费占比提升。</w:t>
      </w:r>
      <w:r>
        <w:t>2020</w:t>
      </w:r>
      <w:r>
        <w:rPr>
          <w:rFonts w:hint="eastAsia"/>
        </w:rPr>
        <w:t>年全市煤品</w:t>
      </w:r>
      <w:r>
        <w:t>、</w:t>
      </w:r>
      <w:r>
        <w:rPr>
          <w:rFonts w:hint="eastAsia"/>
        </w:rPr>
        <w:t>油品</w:t>
      </w:r>
      <w:r>
        <w:t>、天然气、一次电力及其他能源的比重为XX%、XX%、XX%、XX</w:t>
      </w:r>
      <w:r>
        <w:rPr>
          <w:rFonts w:hint="eastAsia"/>
        </w:rPr>
        <w:t>%</w:t>
      </w:r>
      <w:r>
        <w:t>。与2015年相比，</w:t>
      </w:r>
      <w:r>
        <w:rPr>
          <w:rFonts w:hint="eastAsia"/>
        </w:rPr>
        <w:t>煤品</w:t>
      </w:r>
      <w:r>
        <w:t>消费比重降低XX个百分点、</w:t>
      </w:r>
      <w:r>
        <w:rPr>
          <w:rFonts w:hint="eastAsia"/>
        </w:rPr>
        <w:t>油品</w:t>
      </w:r>
      <w:r>
        <w:t>消费比重降低</w:t>
      </w:r>
      <w:r>
        <w:rPr>
          <w:rFonts w:hint="eastAsia"/>
        </w:rPr>
        <w:t>约</w:t>
      </w:r>
      <w:r>
        <w:t>XX个百分点，天然气消费比重提高XX个百分点，一次</w:t>
      </w:r>
      <w:r>
        <w:rPr>
          <w:rFonts w:hint="eastAsia"/>
        </w:rPr>
        <w:t>能源</w:t>
      </w:r>
      <w:r>
        <w:t>及其他上升XX个百分点。</w:t>
      </w:r>
    </w:p>
    <w:p>
      <w:pPr>
        <w:pStyle w:val="39"/>
        <w:ind w:firstLine="640"/>
      </w:pPr>
      <w:r>
        <w:rPr>
          <w:rFonts w:cs="等线"/>
        </w:rPr>
        <w:t>——</w:t>
      </w:r>
      <w:r>
        <w:rPr>
          <w:rFonts w:hint="eastAsia" w:cs="等线"/>
        </w:rPr>
        <w:t>可再生能源发展良好</w:t>
      </w:r>
      <w:r>
        <w:rPr>
          <w:rFonts w:hint="eastAsia"/>
        </w:rPr>
        <w:t>。</w:t>
      </w:r>
      <w:r>
        <w:t>2020年，可再生能源电源装机占比为75%，其中，水电装机占比45%</w:t>
      </w:r>
      <w:r>
        <w:rPr>
          <w:rFonts w:hint="eastAsia"/>
        </w:rPr>
        <w:t>，</w:t>
      </w:r>
      <w:r>
        <w:t>风电装机占比20%</w:t>
      </w:r>
      <w:r>
        <w:rPr>
          <w:rFonts w:hint="eastAsia"/>
        </w:rPr>
        <w:t>，</w:t>
      </w:r>
      <w:r>
        <w:t>光伏装机</w:t>
      </w:r>
      <w:r>
        <w:rPr>
          <w:rFonts w:hint="eastAsia"/>
        </w:rPr>
        <w:t>占</w:t>
      </w:r>
      <w:r>
        <w:t>比10%</w:t>
      </w:r>
      <w:r>
        <w:rPr>
          <w:rFonts w:hint="eastAsia"/>
        </w:rPr>
        <w:t>，</w:t>
      </w:r>
      <w:r>
        <w:t>非水可再生能源发电装机占比30%，远高于全省平均水平。</w:t>
      </w:r>
    </w:p>
    <w:p>
      <w:pPr>
        <w:pStyle w:val="39"/>
        <w:ind w:firstLine="640"/>
      </w:pPr>
      <w:r>
        <w:rPr>
          <w:rFonts w:cs="等线"/>
        </w:rPr>
        <w:t>——</w:t>
      </w:r>
      <w:r>
        <w:rPr>
          <w:rFonts w:hint="eastAsia"/>
        </w:rPr>
        <w:t>全力推动可再生能源消纳。</w:t>
      </w:r>
      <w:r>
        <w:t>“十三五”期间，</w:t>
      </w:r>
      <w:r>
        <w:rPr>
          <w:rFonts w:hint="eastAsia"/>
        </w:rPr>
        <w:t>我市严格按照国家政策要求，积极落实可再生能源配套接网工程建设主体责任，全力支持风电光伏等可再生能源项目配套接网工程建设。截至2020年底，全市投产、核准在建和核准未建陆上风电共</w:t>
      </w:r>
      <w:r>
        <w:t>49</w:t>
      </w:r>
      <w:r>
        <w:rPr>
          <w:rFonts w:hint="eastAsia"/>
        </w:rPr>
        <w:t>个，其中已有</w:t>
      </w:r>
      <w:r>
        <w:t>11</w:t>
      </w:r>
      <w:r>
        <w:rPr>
          <w:rFonts w:hint="eastAsia"/>
        </w:rPr>
        <w:t>个并网投产，17个项目的配套接网工程可与电源项目一并建成投产。</w:t>
      </w:r>
    </w:p>
    <w:p>
      <w:pPr>
        <w:pStyle w:val="39"/>
        <w:ind w:firstLine="640"/>
      </w:pPr>
      <w:r>
        <w:rPr>
          <w:rFonts w:cs="等线"/>
        </w:rPr>
        <w:t>——</w:t>
      </w:r>
      <w:r>
        <w:t>有序扩大用气规模，工业企业“煤改气”扎实推进</w:t>
      </w:r>
      <w:r>
        <w:rPr>
          <w:rFonts w:hint="eastAsia"/>
        </w:rPr>
        <w:t>。2</w:t>
      </w:r>
      <w:r>
        <w:t>020</w:t>
      </w:r>
      <w:r>
        <w:rPr>
          <w:rFonts w:hint="eastAsia"/>
        </w:rPr>
        <w:t>年，</w:t>
      </w:r>
      <w:r>
        <w:t>34家陶瓷企业共169条生产线已全部完成“煤改气”工作</w:t>
      </w:r>
      <w:r>
        <w:rPr>
          <w:rFonts w:hint="eastAsia"/>
        </w:rPr>
        <w:t>。</w:t>
      </w:r>
      <w:r>
        <w:t>全面整治燃煤小锅炉，淘汰10蒸吨及以下工业燃煤锅炉38台</w:t>
      </w:r>
      <w:r>
        <w:rPr>
          <w:rFonts w:hint="eastAsia"/>
        </w:rPr>
        <w:t>，</w:t>
      </w:r>
      <w:r>
        <w:t>2020</w:t>
      </w:r>
      <w:r>
        <w:rPr>
          <w:rFonts w:hint="eastAsia"/>
        </w:rPr>
        <w:t>年相比2</w:t>
      </w:r>
      <w:r>
        <w:t>015</w:t>
      </w:r>
      <w:r>
        <w:rPr>
          <w:rFonts w:hint="eastAsia"/>
        </w:rPr>
        <w:t>年，全社会天然气消费增长</w:t>
      </w:r>
      <w:r>
        <w:t>3.66</w:t>
      </w:r>
      <w:r>
        <w:rPr>
          <w:rFonts w:hint="eastAsia"/>
        </w:rPr>
        <w:t>亿立方米（气态）。</w:t>
      </w:r>
    </w:p>
    <w:p>
      <w:pPr>
        <w:pStyle w:val="4"/>
        <w:ind w:firstLine="643"/>
      </w:pPr>
      <w:r>
        <w:rPr>
          <w:rFonts w:hint="eastAsia"/>
        </w:rPr>
        <w:t>（三）</w:t>
      </w:r>
      <w:r>
        <w:t>节能减排工作扎实推进</w:t>
      </w:r>
    </w:p>
    <w:p>
      <w:pPr>
        <w:pStyle w:val="39"/>
        <w:ind w:firstLine="640"/>
      </w:pPr>
      <w:r>
        <w:rPr>
          <w:rFonts w:cs="等线"/>
        </w:rPr>
        <w:t>——</w:t>
      </w:r>
      <w:r>
        <w:t>落实“双控”目标责任</w:t>
      </w:r>
      <w:r>
        <w:rPr>
          <w:rFonts w:hint="eastAsia"/>
        </w:rPr>
        <w:t>。</w:t>
      </w:r>
      <w:r>
        <w:t>认真贯彻省委省政府“双控”工作部署，</w:t>
      </w:r>
      <w:r>
        <w:rPr>
          <w:rFonts w:hint="eastAsia"/>
        </w:rPr>
        <w:t>发布了《清远市“十三五”节能规划》、《清远市能源消费总量控制工作方案》等一系列重要规划文件，对重点用能单位开展节能监察执法，扎实推进节能减排工作，控制能源消费总量保持合理区间。</w:t>
      </w:r>
    </w:p>
    <w:p>
      <w:pPr>
        <w:pStyle w:val="39"/>
        <w:ind w:firstLine="640"/>
      </w:pPr>
      <w:r>
        <w:rPr>
          <w:rFonts w:cs="等线"/>
        </w:rPr>
        <w:t>——</w:t>
      </w:r>
      <w:r>
        <w:rPr>
          <w:rFonts w:hint="eastAsia" w:cs="等线"/>
        </w:rPr>
        <w:t>能耗“双控”工作有序推进。</w:t>
      </w:r>
      <w:r>
        <w:t>2020</w:t>
      </w:r>
      <w:r>
        <w:rPr>
          <w:rFonts w:hint="eastAsia"/>
        </w:rPr>
        <w:t>年，全市能源消费总量约</w:t>
      </w:r>
      <w:r>
        <w:t>1393</w:t>
      </w:r>
      <w:r>
        <w:rPr>
          <w:rFonts w:hint="eastAsia"/>
        </w:rPr>
        <w:t>万吨标准煤，</w:t>
      </w:r>
      <w:r>
        <w:t>2015至2020年，以能源消费年均</w:t>
      </w:r>
      <w:r>
        <w:rPr>
          <w:rFonts w:hint="eastAsia"/>
        </w:rPr>
        <w:t>3.1</w:t>
      </w:r>
      <w:r>
        <w:t>%的增速支撑了国民经济年均5.2%的增长</w:t>
      </w:r>
      <w:r>
        <w:rPr>
          <w:rFonts w:hint="eastAsia"/>
        </w:rPr>
        <w:t>，“十三五”期间</w:t>
      </w:r>
      <w:r>
        <w:t>单位GDP能耗累计下降</w:t>
      </w:r>
      <w:r>
        <w:rPr>
          <w:rFonts w:hint="eastAsia"/>
        </w:rPr>
        <w:t>率</w:t>
      </w:r>
      <w:r>
        <w:t>10.32%。</w:t>
      </w:r>
    </w:p>
    <w:p>
      <w:pPr>
        <w:pStyle w:val="39"/>
        <w:ind w:firstLine="640"/>
      </w:pPr>
      <w:r>
        <w:rPr>
          <w:rFonts w:cs="等线"/>
        </w:rPr>
        <w:t>——</w:t>
      </w:r>
      <w:r>
        <w:t>持续淘汰落后产能</w:t>
      </w:r>
      <w:r>
        <w:rPr>
          <w:rFonts w:hint="eastAsia"/>
        </w:rPr>
        <w:t>。</w:t>
      </w:r>
      <w:r>
        <w:t>加强重点领域节能</w:t>
      </w:r>
      <w:r>
        <w:rPr>
          <w:rFonts w:hint="eastAsia"/>
        </w:rPr>
        <w:t>，</w:t>
      </w:r>
      <w:r>
        <w:t>工业领域电机能效提升约24万千瓦；累计淘汰落后水泥产能1049万吨，涉及企业63家；淘汰钢铁落后产能562万吨，涉及企业26家；淘汰造纸落后产能2.5万吨。</w:t>
      </w:r>
    </w:p>
    <w:p>
      <w:pPr>
        <w:pStyle w:val="39"/>
        <w:ind w:firstLine="640"/>
      </w:pPr>
      <w:r>
        <w:rPr>
          <w:rFonts w:cs="等线"/>
        </w:rPr>
        <w:t>——</w:t>
      </w:r>
      <w:r>
        <w:rPr>
          <w:rFonts w:hint="eastAsia"/>
        </w:rPr>
        <w:t>积极发展低碳循环经济和绿色制造。我市广州花都（清新）产业转移工业园、广东清远经济开发区、广东顺德清远（英德）经济合作区、广州（清远）产业转移工业园、广州白云（英德）产业转移工业园、广东省佛冈县产业转移工业园共6个省级园区被认定为广东省园区循环化改造试点。清远纳福娜陶瓷有限公司、清远市简一陶瓷有限公司、广东宏威陶瓷实业有限公司3家企业被国家工信部列入绿色工厂名单。</w:t>
      </w:r>
    </w:p>
    <w:p>
      <w:pPr>
        <w:pStyle w:val="4"/>
        <w:ind w:firstLine="643"/>
      </w:pPr>
      <w:r>
        <w:rPr>
          <w:rFonts w:hint="eastAsia"/>
        </w:rPr>
        <w:t>（四）能源惠民利民成效显著</w:t>
      </w:r>
    </w:p>
    <w:p>
      <w:pPr>
        <w:pStyle w:val="39"/>
        <w:ind w:firstLine="640"/>
      </w:pPr>
      <w:r>
        <w:t>“十三五”以来，</w:t>
      </w:r>
      <w:r>
        <w:rPr>
          <w:rFonts w:hint="eastAsia"/>
        </w:rPr>
        <w:t>我市坚持以人民为中心，加快推进能源惠民利民工作，快速提升能源普遍服务质量和水平，不断满足人民对美好生活的需要。</w:t>
      </w:r>
    </w:p>
    <w:p>
      <w:pPr>
        <w:pStyle w:val="39"/>
        <w:ind w:firstLine="640"/>
      </w:pPr>
      <w:r>
        <w:rPr>
          <w:rFonts w:cs="等线"/>
        </w:rPr>
        <w:t>——</w:t>
      </w:r>
      <w:r>
        <w:t>能源普惠程度明显提升。人均生活用能从2015年0.40吨标准煤/人提高至2020年的XX吨标准煤/人，居民人均生活用电量从2015年573千瓦时/人上升至2020年849千瓦时/人。</w:t>
      </w:r>
    </w:p>
    <w:p>
      <w:pPr>
        <w:pStyle w:val="39"/>
        <w:ind w:firstLine="640"/>
      </w:pPr>
      <w:r>
        <w:rPr>
          <w:rFonts w:cs="等线"/>
        </w:rPr>
        <w:t>——</w:t>
      </w:r>
      <w:r>
        <w:t>供电可靠性不断增强。“十三五”期间，</w:t>
      </w:r>
      <w:r>
        <w:rPr>
          <w:rFonts w:hint="eastAsia"/>
        </w:rPr>
        <w:t>通过</w:t>
      </w:r>
      <w:r>
        <w:t>重点改造电网网架</w:t>
      </w:r>
      <w:r>
        <w:rPr>
          <w:rFonts w:hint="eastAsia"/>
        </w:rPr>
        <w:t>、</w:t>
      </w:r>
      <w:r>
        <w:t>解决单线单变</w:t>
      </w:r>
      <w:r>
        <w:rPr>
          <w:rFonts w:hint="eastAsia"/>
        </w:rPr>
        <w:t>、</w:t>
      </w:r>
      <w:r>
        <w:t>提升配网自动化水平</w:t>
      </w:r>
      <w:r>
        <w:rPr>
          <w:rFonts w:hint="eastAsia"/>
        </w:rPr>
        <w:t>等措施</w:t>
      </w:r>
      <w:r>
        <w:t>。2020年，我市综合电压合格率达到99.993%，供电可靠率为99.909%，全市用户年平均停电时间7.99小时，</w:t>
      </w:r>
      <w:r>
        <w:rPr>
          <w:rFonts w:hint="eastAsia"/>
        </w:rPr>
        <w:t>“获得电力”服务水平进一步提升</w:t>
      </w:r>
      <w:r>
        <w:t>。</w:t>
      </w:r>
    </w:p>
    <w:p>
      <w:pPr>
        <w:pStyle w:val="39"/>
        <w:ind w:firstLine="640"/>
      </w:pPr>
      <w:r>
        <w:rPr>
          <w:rFonts w:cs="等线"/>
        </w:rPr>
        <w:t>——</w:t>
      </w:r>
      <w:r>
        <w:t>农网改造升级成效显著。2020年，农村电网综合电压合格率达到99.995%，供电可靠率达到99.895%，用户年平均停电时间9.16小时，完成185个中心村、127个贫困村农网改造工作，有效解决农村居民用户端电压偏低、不稳定问题，建设成果惠及95万农民群众。</w:t>
      </w:r>
    </w:p>
    <w:p>
      <w:pPr>
        <w:pStyle w:val="4"/>
        <w:ind w:firstLine="643"/>
      </w:pPr>
      <w:r>
        <w:rPr>
          <w:rFonts w:hint="eastAsia"/>
        </w:rPr>
        <w:t>（五）安全管理能力稳步提升</w:t>
      </w:r>
    </w:p>
    <w:p>
      <w:pPr>
        <w:pStyle w:val="39"/>
        <w:ind w:firstLine="640"/>
        <w:rPr>
          <w:rFonts w:cs="等线"/>
        </w:rPr>
      </w:pPr>
      <w:r>
        <w:rPr>
          <w:rFonts w:hint="eastAsia" w:cs="等线"/>
        </w:rPr>
        <w:t>“十三五”期间，我市坚持“安全第一、预防为主、综合治理”的方针，全面深化应急管理领域改革，务实做好油气管道保护、成品油综合整治和电力燃气应急预案工作，应急管理能力稳步提升。</w:t>
      </w:r>
    </w:p>
    <w:p>
      <w:pPr>
        <w:pStyle w:val="39"/>
        <w:ind w:firstLine="640"/>
        <w:rPr>
          <w:rFonts w:cs="等线"/>
        </w:rPr>
      </w:pPr>
      <w:r>
        <w:rPr>
          <w:rFonts w:cs="等线"/>
        </w:rPr>
        <w:t>——</w:t>
      </w:r>
      <w:r>
        <w:rPr>
          <w:rFonts w:hint="eastAsia" w:cs="等线"/>
        </w:rPr>
        <w:t>完成管道保护地方立法。</w:t>
      </w:r>
      <w:r>
        <w:rPr>
          <w:rFonts w:hint="eastAsia"/>
        </w:rPr>
        <w:t>印发《清远市天然气长输管道安全管理责任工作实施方案》并实施，落实管道安全责任制，完善管道设施保护工作长效机制，畅通沟通渠道，强化监管责任，规范监管行为，确保我市天然气长输管道安全运行。</w:t>
      </w:r>
    </w:p>
    <w:p>
      <w:pPr>
        <w:pStyle w:val="39"/>
        <w:ind w:firstLine="640"/>
      </w:pPr>
      <w:r>
        <w:rPr>
          <w:rFonts w:cs="等线"/>
        </w:rPr>
        <w:t>——</w:t>
      </w:r>
      <w:r>
        <w:rPr>
          <w:rFonts w:hint="eastAsia"/>
        </w:rPr>
        <w:t>完善成品油综合整治工作机制。印发《清远市成品油市场综合整治工作方案》修订稿，建立了分工明确、运转高效的成品油市场监管长效机制，形成了成品油市场各司其职、齐抓共管的局面。各县（市、区）政府已正式出台当地成品油综合整治工作方案，成立专项工作领导小组，完善成品油市场综合整治工作机制，为保障成品油市场健康发展打下坚实基础。</w:t>
      </w:r>
    </w:p>
    <w:p>
      <w:pPr>
        <w:pStyle w:val="39"/>
        <w:ind w:firstLine="640"/>
        <w:rPr>
          <w:rFonts w:cs="等线"/>
        </w:rPr>
      </w:pPr>
      <w:r>
        <w:rPr>
          <w:rFonts w:cs="等线"/>
        </w:rPr>
        <w:t>——</w:t>
      </w:r>
      <w:r>
        <w:rPr>
          <w:rFonts w:hint="eastAsia"/>
        </w:rPr>
        <w:t>修编电力和天然气应急预案。完成《清远市大面积停电事件应急预案》修订稿并印发，进一步完善电力应急组织体系、夯实了应急管理基础。完成《清远市燃气突发事件应急预案》修订稿并印发，进一步完善城镇燃气行业安全运行的管理机制。</w:t>
      </w:r>
    </w:p>
    <w:p>
      <w:pPr>
        <w:pStyle w:val="39"/>
        <w:ind w:firstLine="640"/>
      </w:pPr>
    </w:p>
    <w:tbl>
      <w:tblPr>
        <w:tblStyle w:val="26"/>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3"/>
        <w:gridCol w:w="1275"/>
        <w:gridCol w:w="1499"/>
        <w:gridCol w:w="1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296" w:type="dxa"/>
            <w:gridSpan w:val="4"/>
            <w:vAlign w:val="top"/>
          </w:tcPr>
          <w:p>
            <w:pPr>
              <w:pStyle w:val="39"/>
              <w:spacing w:line="240" w:lineRule="auto"/>
              <w:ind w:firstLine="0" w:firstLineChars="0"/>
              <w:jc w:val="center"/>
              <w:rPr>
                <w:b/>
                <w:sz w:val="24"/>
                <w:szCs w:val="24"/>
              </w:rPr>
            </w:pPr>
            <w:r>
              <w:rPr>
                <w:b/>
                <w:sz w:val="24"/>
                <w:szCs w:val="24"/>
              </w:rPr>
              <w:t>专栏1 清远市“十三五”能源发展成就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823" w:type="dxa"/>
            <w:vAlign w:val="top"/>
          </w:tcPr>
          <w:p>
            <w:pPr>
              <w:pStyle w:val="39"/>
              <w:spacing w:line="240" w:lineRule="auto"/>
              <w:ind w:firstLine="0" w:firstLineChars="0"/>
              <w:jc w:val="center"/>
              <w:rPr>
                <w:b/>
                <w:sz w:val="24"/>
                <w:szCs w:val="24"/>
              </w:rPr>
            </w:pPr>
            <w:r>
              <w:rPr>
                <w:b/>
                <w:sz w:val="24"/>
                <w:szCs w:val="24"/>
              </w:rPr>
              <w:t>指标</w:t>
            </w:r>
          </w:p>
        </w:tc>
        <w:tc>
          <w:tcPr>
            <w:tcW w:w="1275" w:type="dxa"/>
            <w:vAlign w:val="top"/>
          </w:tcPr>
          <w:p>
            <w:pPr>
              <w:pStyle w:val="39"/>
              <w:spacing w:line="240" w:lineRule="auto"/>
              <w:ind w:firstLine="0" w:firstLineChars="0"/>
              <w:jc w:val="center"/>
              <w:rPr>
                <w:b/>
                <w:sz w:val="24"/>
                <w:szCs w:val="24"/>
              </w:rPr>
            </w:pPr>
            <w:r>
              <w:rPr>
                <w:b/>
                <w:sz w:val="24"/>
                <w:szCs w:val="24"/>
              </w:rPr>
              <w:t>2015年</w:t>
            </w:r>
          </w:p>
        </w:tc>
        <w:tc>
          <w:tcPr>
            <w:tcW w:w="1499" w:type="dxa"/>
            <w:vAlign w:val="top"/>
          </w:tcPr>
          <w:p>
            <w:pPr>
              <w:pStyle w:val="39"/>
              <w:spacing w:line="240" w:lineRule="auto"/>
              <w:ind w:firstLine="0" w:firstLineChars="0"/>
              <w:jc w:val="center"/>
              <w:rPr>
                <w:b/>
                <w:sz w:val="24"/>
                <w:szCs w:val="24"/>
              </w:rPr>
            </w:pPr>
            <w:r>
              <w:rPr>
                <w:b/>
                <w:sz w:val="24"/>
                <w:szCs w:val="24"/>
              </w:rPr>
              <w:t>2020年</w:t>
            </w:r>
          </w:p>
        </w:tc>
        <w:tc>
          <w:tcPr>
            <w:tcW w:w="1699" w:type="dxa"/>
            <w:vAlign w:val="top"/>
          </w:tcPr>
          <w:p>
            <w:pPr>
              <w:pStyle w:val="39"/>
              <w:spacing w:line="240" w:lineRule="auto"/>
              <w:ind w:firstLine="0" w:firstLineChars="0"/>
              <w:jc w:val="center"/>
              <w:rPr>
                <w:b/>
                <w:sz w:val="24"/>
                <w:szCs w:val="24"/>
              </w:rPr>
            </w:pPr>
            <w:r>
              <w:rPr>
                <w:kern w:val="0"/>
                <w:sz w:val="24"/>
              </w:rPr>
              <w:t>年均增长率</w:t>
            </w:r>
            <w:r>
              <w:rPr>
                <w:kern w:val="0"/>
                <w:sz w:val="24"/>
              </w:rPr>
              <w:br w:type="textWrapping"/>
            </w:r>
            <w:r>
              <w:rPr>
                <w:kern w:val="0"/>
                <w:sz w:val="24"/>
              </w:rPr>
              <w:t>[累计]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296" w:type="dxa"/>
            <w:gridSpan w:val="4"/>
            <w:vAlign w:val="top"/>
          </w:tcPr>
          <w:p>
            <w:pPr>
              <w:pStyle w:val="39"/>
              <w:spacing w:line="240" w:lineRule="auto"/>
              <w:ind w:firstLine="0" w:firstLineChars="0"/>
              <w:rPr>
                <w:b/>
                <w:sz w:val="24"/>
                <w:szCs w:val="24"/>
              </w:rPr>
            </w:pPr>
            <w:r>
              <w:rPr>
                <w:b/>
                <w:sz w:val="24"/>
                <w:szCs w:val="24"/>
              </w:rPr>
              <w:t>一、总量控制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823" w:type="dxa"/>
            <w:vAlign w:val="top"/>
          </w:tcPr>
          <w:p>
            <w:pPr>
              <w:pStyle w:val="39"/>
              <w:spacing w:line="240" w:lineRule="auto"/>
              <w:ind w:firstLine="0" w:firstLineChars="0"/>
              <w:rPr>
                <w:b/>
                <w:sz w:val="24"/>
                <w:szCs w:val="24"/>
              </w:rPr>
            </w:pPr>
            <w:r>
              <w:rPr>
                <w:b/>
                <w:sz w:val="24"/>
                <w:szCs w:val="24"/>
              </w:rPr>
              <w:t>能源消费总量（万吨标准煤）</w:t>
            </w:r>
          </w:p>
        </w:tc>
        <w:tc>
          <w:tcPr>
            <w:tcW w:w="1275" w:type="dxa"/>
            <w:vAlign w:val="top"/>
          </w:tcPr>
          <w:p>
            <w:pPr>
              <w:pStyle w:val="39"/>
              <w:spacing w:line="240" w:lineRule="auto"/>
              <w:ind w:firstLine="0" w:firstLineChars="0"/>
              <w:jc w:val="center"/>
              <w:rPr>
                <w:sz w:val="24"/>
                <w:szCs w:val="24"/>
              </w:rPr>
            </w:pPr>
            <w:r>
              <w:rPr>
                <w:sz w:val="24"/>
                <w:szCs w:val="24"/>
              </w:rPr>
              <w:t>1196</w:t>
            </w:r>
          </w:p>
        </w:tc>
        <w:tc>
          <w:tcPr>
            <w:tcW w:w="1499" w:type="dxa"/>
            <w:vAlign w:val="top"/>
          </w:tcPr>
          <w:p>
            <w:pPr>
              <w:pStyle w:val="39"/>
              <w:spacing w:line="240" w:lineRule="auto"/>
              <w:ind w:firstLine="0" w:firstLineChars="0"/>
              <w:jc w:val="center"/>
              <w:rPr>
                <w:sz w:val="24"/>
                <w:szCs w:val="24"/>
              </w:rPr>
            </w:pPr>
            <w:r>
              <w:rPr>
                <w:sz w:val="24"/>
                <w:szCs w:val="24"/>
              </w:rPr>
              <w:t>1393</w:t>
            </w:r>
          </w:p>
        </w:tc>
        <w:tc>
          <w:tcPr>
            <w:tcW w:w="1699" w:type="dxa"/>
            <w:vAlign w:val="top"/>
          </w:tcPr>
          <w:p>
            <w:pPr>
              <w:pStyle w:val="39"/>
              <w:spacing w:line="240" w:lineRule="auto"/>
              <w:ind w:firstLine="0" w:firstLineChars="0"/>
              <w:jc w:val="center"/>
              <w:rPr>
                <w:sz w:val="24"/>
                <w:szCs w:val="24"/>
              </w:rPr>
            </w:pPr>
            <w:r>
              <w:rPr>
                <w:rFonts w:hint="eastAsia"/>
                <w:sz w:val="24"/>
                <w:szCs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823" w:type="dxa"/>
            <w:vAlign w:val="top"/>
          </w:tcPr>
          <w:p>
            <w:pPr>
              <w:pStyle w:val="39"/>
              <w:spacing w:line="240" w:lineRule="auto"/>
              <w:ind w:firstLine="199" w:firstLineChars="83"/>
              <w:rPr>
                <w:sz w:val="24"/>
                <w:szCs w:val="24"/>
              </w:rPr>
            </w:pPr>
            <w:r>
              <w:rPr>
                <w:sz w:val="24"/>
                <w:szCs w:val="24"/>
              </w:rPr>
              <w:t>煤品消费量（万吨）</w:t>
            </w:r>
          </w:p>
        </w:tc>
        <w:tc>
          <w:tcPr>
            <w:tcW w:w="1275" w:type="dxa"/>
            <w:vAlign w:val="top"/>
          </w:tcPr>
          <w:p>
            <w:pPr>
              <w:pStyle w:val="39"/>
              <w:spacing w:line="240" w:lineRule="auto"/>
              <w:ind w:firstLine="0" w:firstLineChars="0"/>
              <w:jc w:val="center"/>
              <w:rPr>
                <w:sz w:val="24"/>
                <w:szCs w:val="24"/>
              </w:rPr>
            </w:pPr>
            <w:r>
              <w:rPr>
                <w:sz w:val="24"/>
                <w:szCs w:val="24"/>
              </w:rPr>
              <w:t>668</w:t>
            </w:r>
          </w:p>
        </w:tc>
        <w:tc>
          <w:tcPr>
            <w:tcW w:w="1499" w:type="dxa"/>
            <w:vAlign w:val="top"/>
          </w:tcPr>
          <w:p>
            <w:pPr>
              <w:pStyle w:val="39"/>
              <w:spacing w:line="240" w:lineRule="auto"/>
              <w:ind w:firstLine="0" w:firstLineChars="0"/>
              <w:jc w:val="center"/>
              <w:rPr>
                <w:sz w:val="24"/>
                <w:szCs w:val="24"/>
              </w:rPr>
            </w:pPr>
            <w:r>
              <w:rPr>
                <w:sz w:val="24"/>
                <w:szCs w:val="24"/>
              </w:rPr>
              <w:t>581</w:t>
            </w:r>
          </w:p>
        </w:tc>
        <w:tc>
          <w:tcPr>
            <w:tcW w:w="1699" w:type="dxa"/>
            <w:vAlign w:val="top"/>
          </w:tcPr>
          <w:p>
            <w:pPr>
              <w:pStyle w:val="39"/>
              <w:spacing w:line="240" w:lineRule="auto"/>
              <w:ind w:firstLine="0" w:firstLineChars="0"/>
              <w:jc w:val="center"/>
              <w:rPr>
                <w:sz w:val="24"/>
                <w:szCs w:val="24"/>
              </w:rPr>
            </w:pPr>
            <w:r>
              <w:rPr>
                <w:sz w:val="24"/>
                <w:szCs w:val="24"/>
              </w:rPr>
              <w:t>-2.8</w:t>
            </w: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823" w:type="dxa"/>
            <w:vAlign w:val="top"/>
          </w:tcPr>
          <w:p>
            <w:pPr>
              <w:pStyle w:val="39"/>
              <w:spacing w:line="240" w:lineRule="auto"/>
              <w:ind w:firstLine="199" w:firstLineChars="83"/>
              <w:rPr>
                <w:sz w:val="24"/>
                <w:szCs w:val="24"/>
              </w:rPr>
            </w:pPr>
            <w:r>
              <w:rPr>
                <w:kern w:val="0"/>
                <w:sz w:val="24"/>
              </w:rPr>
              <w:t>油品消费量（万吨）</w:t>
            </w:r>
          </w:p>
        </w:tc>
        <w:tc>
          <w:tcPr>
            <w:tcW w:w="1275" w:type="dxa"/>
            <w:vAlign w:val="top"/>
          </w:tcPr>
          <w:p>
            <w:pPr>
              <w:pStyle w:val="39"/>
              <w:spacing w:line="240" w:lineRule="auto"/>
              <w:ind w:firstLine="0" w:firstLineChars="0"/>
              <w:jc w:val="center"/>
              <w:rPr>
                <w:sz w:val="24"/>
                <w:szCs w:val="24"/>
              </w:rPr>
            </w:pPr>
            <w:r>
              <w:rPr>
                <w:rFonts w:hint="eastAsia"/>
                <w:sz w:val="24"/>
                <w:szCs w:val="24"/>
              </w:rPr>
              <w:t>1</w:t>
            </w:r>
            <w:r>
              <w:rPr>
                <w:sz w:val="24"/>
                <w:szCs w:val="24"/>
              </w:rPr>
              <w:t>39</w:t>
            </w:r>
          </w:p>
        </w:tc>
        <w:tc>
          <w:tcPr>
            <w:tcW w:w="1499" w:type="dxa"/>
            <w:vAlign w:val="top"/>
          </w:tcPr>
          <w:p>
            <w:pPr>
              <w:pStyle w:val="39"/>
              <w:spacing w:line="240" w:lineRule="auto"/>
              <w:ind w:firstLine="0" w:firstLineChars="0"/>
              <w:jc w:val="center"/>
              <w:rPr>
                <w:sz w:val="24"/>
                <w:szCs w:val="24"/>
              </w:rPr>
            </w:pPr>
            <w:r>
              <w:rPr>
                <w:sz w:val="24"/>
                <w:szCs w:val="24"/>
              </w:rPr>
              <w:t>XX</w:t>
            </w:r>
          </w:p>
        </w:tc>
        <w:tc>
          <w:tcPr>
            <w:tcW w:w="1699" w:type="dxa"/>
            <w:vAlign w:val="top"/>
          </w:tcPr>
          <w:p>
            <w:pPr>
              <w:pStyle w:val="39"/>
              <w:spacing w:line="240" w:lineRule="auto"/>
              <w:ind w:firstLine="0" w:firstLineChars="0"/>
              <w:jc w:val="center"/>
              <w:rPr>
                <w:sz w:val="24"/>
                <w:szCs w:val="24"/>
              </w:rPr>
            </w:pPr>
            <w:r>
              <w:rPr>
                <w:sz w:val="24"/>
                <w:szCs w:val="24"/>
              </w:rPr>
              <w:t>XX</w:t>
            </w: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823" w:type="dxa"/>
            <w:vAlign w:val="top"/>
          </w:tcPr>
          <w:p>
            <w:pPr>
              <w:pStyle w:val="39"/>
              <w:spacing w:line="240" w:lineRule="auto"/>
              <w:ind w:firstLine="240" w:firstLineChars="100"/>
              <w:rPr>
                <w:sz w:val="24"/>
                <w:szCs w:val="24"/>
              </w:rPr>
            </w:pPr>
            <w:r>
              <w:rPr>
                <w:sz w:val="24"/>
                <w:szCs w:val="24"/>
              </w:rPr>
              <w:t>天然气消费量（亿立方米）</w:t>
            </w:r>
          </w:p>
        </w:tc>
        <w:tc>
          <w:tcPr>
            <w:tcW w:w="1275" w:type="dxa"/>
            <w:vAlign w:val="top"/>
          </w:tcPr>
          <w:p>
            <w:pPr>
              <w:pStyle w:val="39"/>
              <w:spacing w:line="240" w:lineRule="auto"/>
              <w:ind w:firstLine="0" w:firstLineChars="0"/>
              <w:jc w:val="center"/>
              <w:rPr>
                <w:sz w:val="24"/>
                <w:szCs w:val="24"/>
              </w:rPr>
            </w:pPr>
            <w:r>
              <w:rPr>
                <w:sz w:val="24"/>
                <w:szCs w:val="24"/>
              </w:rPr>
              <w:t>1.34</w:t>
            </w:r>
          </w:p>
        </w:tc>
        <w:tc>
          <w:tcPr>
            <w:tcW w:w="1499" w:type="dxa"/>
            <w:vAlign w:val="top"/>
          </w:tcPr>
          <w:p>
            <w:pPr>
              <w:pStyle w:val="39"/>
              <w:spacing w:line="240" w:lineRule="auto"/>
              <w:ind w:firstLine="0" w:firstLineChars="0"/>
              <w:jc w:val="center"/>
              <w:rPr>
                <w:sz w:val="24"/>
                <w:szCs w:val="24"/>
              </w:rPr>
            </w:pPr>
            <w:r>
              <w:rPr>
                <w:sz w:val="24"/>
                <w:szCs w:val="24"/>
              </w:rPr>
              <w:t>5</w:t>
            </w:r>
          </w:p>
        </w:tc>
        <w:tc>
          <w:tcPr>
            <w:tcW w:w="1699" w:type="dxa"/>
            <w:vAlign w:val="top"/>
          </w:tcPr>
          <w:p>
            <w:pPr>
              <w:pStyle w:val="39"/>
              <w:spacing w:line="240" w:lineRule="auto"/>
              <w:ind w:firstLine="0" w:firstLineChars="0"/>
              <w:jc w:val="center"/>
              <w:rPr>
                <w:sz w:val="24"/>
                <w:szCs w:val="24"/>
              </w:rPr>
            </w:pPr>
            <w:r>
              <w:rPr>
                <w:rFonts w:hint="eastAsia"/>
                <w:sz w:val="24"/>
                <w:szCs w:val="24"/>
              </w:rPr>
              <w:t>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823" w:type="dxa"/>
            <w:vAlign w:val="top"/>
          </w:tcPr>
          <w:p>
            <w:pPr>
              <w:pStyle w:val="39"/>
              <w:spacing w:line="240" w:lineRule="auto"/>
              <w:ind w:firstLine="240" w:firstLineChars="100"/>
              <w:rPr>
                <w:sz w:val="24"/>
                <w:szCs w:val="24"/>
              </w:rPr>
            </w:pPr>
            <w:r>
              <w:rPr>
                <w:sz w:val="24"/>
                <w:szCs w:val="24"/>
              </w:rPr>
              <w:t>全社会用电量（亿千瓦时）</w:t>
            </w:r>
          </w:p>
        </w:tc>
        <w:tc>
          <w:tcPr>
            <w:tcW w:w="1275" w:type="dxa"/>
            <w:vAlign w:val="top"/>
          </w:tcPr>
          <w:p>
            <w:pPr>
              <w:pStyle w:val="39"/>
              <w:spacing w:line="240" w:lineRule="auto"/>
              <w:ind w:firstLine="0" w:firstLineChars="0"/>
              <w:jc w:val="center"/>
              <w:rPr>
                <w:sz w:val="24"/>
                <w:szCs w:val="24"/>
              </w:rPr>
            </w:pPr>
            <w:r>
              <w:rPr>
                <w:sz w:val="24"/>
                <w:szCs w:val="24"/>
              </w:rPr>
              <w:t>179</w:t>
            </w:r>
          </w:p>
        </w:tc>
        <w:tc>
          <w:tcPr>
            <w:tcW w:w="1499" w:type="dxa"/>
            <w:vAlign w:val="top"/>
          </w:tcPr>
          <w:p>
            <w:pPr>
              <w:pStyle w:val="39"/>
              <w:spacing w:line="240" w:lineRule="auto"/>
              <w:ind w:firstLine="0" w:firstLineChars="0"/>
              <w:jc w:val="center"/>
              <w:rPr>
                <w:sz w:val="24"/>
                <w:szCs w:val="24"/>
              </w:rPr>
            </w:pPr>
            <w:r>
              <w:rPr>
                <w:rFonts w:hint="eastAsia"/>
                <w:sz w:val="24"/>
                <w:szCs w:val="24"/>
              </w:rPr>
              <w:t>241</w:t>
            </w:r>
          </w:p>
        </w:tc>
        <w:tc>
          <w:tcPr>
            <w:tcW w:w="1699" w:type="dxa"/>
            <w:vAlign w:val="top"/>
          </w:tcPr>
          <w:p>
            <w:pPr>
              <w:pStyle w:val="39"/>
              <w:spacing w:line="240" w:lineRule="auto"/>
              <w:ind w:firstLine="0" w:firstLineChars="0"/>
              <w:jc w:val="center"/>
              <w:rPr>
                <w:sz w:val="24"/>
                <w:szCs w:val="24"/>
              </w:rPr>
            </w:pPr>
            <w:r>
              <w:rPr>
                <w:rFonts w:hint="eastAsia"/>
                <w:sz w:val="24"/>
                <w:szCs w:val="24"/>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296" w:type="dxa"/>
            <w:gridSpan w:val="4"/>
            <w:vAlign w:val="top"/>
          </w:tcPr>
          <w:p>
            <w:pPr>
              <w:pStyle w:val="39"/>
              <w:spacing w:line="240" w:lineRule="auto"/>
              <w:ind w:firstLine="0" w:firstLineChars="0"/>
              <w:rPr>
                <w:b/>
                <w:sz w:val="24"/>
                <w:szCs w:val="24"/>
              </w:rPr>
            </w:pPr>
            <w:r>
              <w:rPr>
                <w:b/>
                <w:sz w:val="24"/>
                <w:szCs w:val="24"/>
              </w:rPr>
              <w:t>二、能源消费结构</w:t>
            </w:r>
            <w:r>
              <w:rPr>
                <w:b/>
                <w:bCs/>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823" w:type="dxa"/>
            <w:vAlign w:val="top"/>
          </w:tcPr>
          <w:p>
            <w:pPr>
              <w:pStyle w:val="39"/>
              <w:spacing w:line="240" w:lineRule="auto"/>
              <w:ind w:firstLine="0" w:firstLineChars="0"/>
              <w:rPr>
                <w:sz w:val="24"/>
                <w:szCs w:val="24"/>
              </w:rPr>
            </w:pPr>
            <w:r>
              <w:rPr>
                <w:rFonts w:hint="eastAsia"/>
                <w:sz w:val="24"/>
                <w:szCs w:val="24"/>
              </w:rPr>
              <w:t>其中：</w:t>
            </w:r>
            <w:r>
              <w:rPr>
                <w:sz w:val="24"/>
                <w:szCs w:val="24"/>
              </w:rPr>
              <w:t>煤品</w:t>
            </w:r>
            <w:r>
              <w:rPr>
                <w:bCs/>
                <w:kern w:val="0"/>
                <w:sz w:val="24"/>
              </w:rPr>
              <w:t>（%）</w:t>
            </w:r>
          </w:p>
        </w:tc>
        <w:tc>
          <w:tcPr>
            <w:tcW w:w="1275" w:type="dxa"/>
            <w:vAlign w:val="top"/>
          </w:tcPr>
          <w:p>
            <w:pPr>
              <w:pStyle w:val="39"/>
              <w:spacing w:line="240" w:lineRule="auto"/>
              <w:ind w:firstLine="0" w:firstLineChars="0"/>
              <w:jc w:val="center"/>
              <w:rPr>
                <w:sz w:val="24"/>
                <w:szCs w:val="24"/>
              </w:rPr>
            </w:pPr>
            <w:r>
              <w:rPr>
                <w:sz w:val="24"/>
                <w:szCs w:val="24"/>
              </w:rPr>
              <w:t>38.0</w:t>
            </w:r>
          </w:p>
        </w:tc>
        <w:tc>
          <w:tcPr>
            <w:tcW w:w="1499" w:type="dxa"/>
            <w:vAlign w:val="top"/>
          </w:tcPr>
          <w:p>
            <w:pPr>
              <w:pStyle w:val="39"/>
              <w:spacing w:line="240" w:lineRule="auto"/>
              <w:ind w:firstLine="0" w:firstLineChars="0"/>
              <w:jc w:val="center"/>
              <w:rPr>
                <w:sz w:val="24"/>
                <w:szCs w:val="24"/>
              </w:rPr>
            </w:pPr>
            <w:r>
              <w:rPr>
                <w:sz w:val="24"/>
                <w:szCs w:val="24"/>
              </w:rPr>
              <w:t>XX</w:t>
            </w:r>
          </w:p>
        </w:tc>
        <w:tc>
          <w:tcPr>
            <w:tcW w:w="1699" w:type="dxa"/>
            <w:vAlign w:val="top"/>
          </w:tcPr>
          <w:p>
            <w:pPr>
              <w:pStyle w:val="39"/>
              <w:spacing w:line="240" w:lineRule="auto"/>
              <w:ind w:firstLine="0" w:firstLineChars="0"/>
              <w:jc w:val="center"/>
              <w:rPr>
                <w:sz w:val="24"/>
                <w:szCs w:val="24"/>
              </w:rPr>
            </w:pPr>
            <w:r>
              <w:rPr>
                <w:sz w:val="24"/>
                <w:szCs w:val="24"/>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823" w:type="dxa"/>
            <w:vAlign w:val="top"/>
          </w:tcPr>
          <w:p>
            <w:pPr>
              <w:pStyle w:val="39"/>
              <w:spacing w:line="240" w:lineRule="auto"/>
              <w:ind w:firstLine="720" w:firstLineChars="300"/>
              <w:rPr>
                <w:sz w:val="24"/>
                <w:szCs w:val="24"/>
              </w:rPr>
            </w:pPr>
            <w:r>
              <w:rPr>
                <w:sz w:val="24"/>
                <w:szCs w:val="24"/>
              </w:rPr>
              <w:t>油品</w:t>
            </w:r>
            <w:r>
              <w:rPr>
                <w:bCs/>
                <w:kern w:val="0"/>
                <w:sz w:val="24"/>
              </w:rPr>
              <w:t>（%）</w:t>
            </w:r>
          </w:p>
        </w:tc>
        <w:tc>
          <w:tcPr>
            <w:tcW w:w="1275" w:type="dxa"/>
            <w:vAlign w:val="top"/>
          </w:tcPr>
          <w:p>
            <w:pPr>
              <w:pStyle w:val="39"/>
              <w:spacing w:line="240" w:lineRule="auto"/>
              <w:ind w:firstLine="0" w:firstLineChars="0"/>
              <w:jc w:val="center"/>
              <w:rPr>
                <w:sz w:val="24"/>
                <w:szCs w:val="24"/>
              </w:rPr>
            </w:pPr>
            <w:r>
              <w:rPr>
                <w:sz w:val="24"/>
                <w:szCs w:val="24"/>
              </w:rPr>
              <w:t>11.6</w:t>
            </w:r>
          </w:p>
        </w:tc>
        <w:tc>
          <w:tcPr>
            <w:tcW w:w="1499" w:type="dxa"/>
            <w:vAlign w:val="top"/>
          </w:tcPr>
          <w:p>
            <w:pPr>
              <w:pStyle w:val="39"/>
              <w:spacing w:line="240" w:lineRule="auto"/>
              <w:ind w:firstLine="0" w:firstLineChars="0"/>
              <w:jc w:val="center"/>
              <w:rPr>
                <w:sz w:val="24"/>
                <w:szCs w:val="24"/>
              </w:rPr>
            </w:pPr>
            <w:r>
              <w:rPr>
                <w:sz w:val="24"/>
                <w:szCs w:val="24"/>
              </w:rPr>
              <w:t>XX</w:t>
            </w:r>
          </w:p>
        </w:tc>
        <w:tc>
          <w:tcPr>
            <w:tcW w:w="1699" w:type="dxa"/>
            <w:vAlign w:val="top"/>
          </w:tcPr>
          <w:p>
            <w:pPr>
              <w:pStyle w:val="39"/>
              <w:spacing w:line="240" w:lineRule="auto"/>
              <w:ind w:firstLine="0" w:firstLineChars="0"/>
              <w:jc w:val="center"/>
              <w:rPr>
                <w:sz w:val="24"/>
                <w:szCs w:val="24"/>
              </w:rPr>
            </w:pPr>
            <w:r>
              <w:rPr>
                <w:sz w:val="24"/>
                <w:szCs w:val="24"/>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823" w:type="dxa"/>
            <w:vAlign w:val="top"/>
          </w:tcPr>
          <w:p>
            <w:pPr>
              <w:pStyle w:val="39"/>
              <w:spacing w:line="240" w:lineRule="auto"/>
              <w:ind w:firstLine="720" w:firstLineChars="300"/>
              <w:rPr>
                <w:sz w:val="24"/>
                <w:szCs w:val="24"/>
              </w:rPr>
            </w:pPr>
            <w:r>
              <w:rPr>
                <w:sz w:val="24"/>
                <w:szCs w:val="24"/>
              </w:rPr>
              <w:t>天然气</w:t>
            </w:r>
            <w:r>
              <w:rPr>
                <w:bCs/>
                <w:kern w:val="0"/>
                <w:sz w:val="24"/>
              </w:rPr>
              <w:t>（%）</w:t>
            </w:r>
          </w:p>
        </w:tc>
        <w:tc>
          <w:tcPr>
            <w:tcW w:w="1275" w:type="dxa"/>
            <w:vAlign w:val="top"/>
          </w:tcPr>
          <w:p>
            <w:pPr>
              <w:pStyle w:val="39"/>
              <w:spacing w:line="240" w:lineRule="auto"/>
              <w:ind w:firstLine="0" w:firstLineChars="0"/>
              <w:jc w:val="center"/>
              <w:rPr>
                <w:sz w:val="24"/>
                <w:szCs w:val="24"/>
              </w:rPr>
            </w:pPr>
            <w:r>
              <w:rPr>
                <w:sz w:val="24"/>
                <w:szCs w:val="24"/>
              </w:rPr>
              <w:t>1.80</w:t>
            </w:r>
          </w:p>
        </w:tc>
        <w:tc>
          <w:tcPr>
            <w:tcW w:w="1499" w:type="dxa"/>
            <w:vAlign w:val="top"/>
          </w:tcPr>
          <w:p>
            <w:pPr>
              <w:pStyle w:val="39"/>
              <w:spacing w:line="240" w:lineRule="auto"/>
              <w:ind w:firstLine="0" w:firstLineChars="0"/>
              <w:jc w:val="center"/>
              <w:rPr>
                <w:sz w:val="24"/>
                <w:szCs w:val="24"/>
              </w:rPr>
            </w:pPr>
            <w:r>
              <w:rPr>
                <w:sz w:val="24"/>
                <w:szCs w:val="24"/>
              </w:rPr>
              <w:t>XX</w:t>
            </w:r>
          </w:p>
        </w:tc>
        <w:tc>
          <w:tcPr>
            <w:tcW w:w="1699" w:type="dxa"/>
            <w:vAlign w:val="top"/>
          </w:tcPr>
          <w:p>
            <w:pPr>
              <w:pStyle w:val="39"/>
              <w:spacing w:line="240" w:lineRule="auto"/>
              <w:ind w:firstLine="0" w:firstLineChars="0"/>
              <w:jc w:val="center"/>
              <w:rPr>
                <w:sz w:val="24"/>
                <w:szCs w:val="24"/>
              </w:rPr>
            </w:pPr>
            <w:r>
              <w:rPr>
                <w:sz w:val="24"/>
                <w:szCs w:val="24"/>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823" w:type="dxa"/>
            <w:vAlign w:val="top"/>
          </w:tcPr>
          <w:p>
            <w:pPr>
              <w:pStyle w:val="39"/>
              <w:spacing w:line="240" w:lineRule="auto"/>
              <w:ind w:firstLine="720" w:firstLineChars="300"/>
              <w:rPr>
                <w:sz w:val="24"/>
                <w:szCs w:val="24"/>
              </w:rPr>
            </w:pPr>
            <w:r>
              <w:rPr>
                <w:sz w:val="24"/>
                <w:szCs w:val="24"/>
              </w:rPr>
              <w:t>一次电力及其他</w:t>
            </w:r>
            <w:r>
              <w:rPr>
                <w:bCs/>
                <w:kern w:val="0"/>
                <w:sz w:val="24"/>
              </w:rPr>
              <w:t>（%）</w:t>
            </w:r>
          </w:p>
        </w:tc>
        <w:tc>
          <w:tcPr>
            <w:tcW w:w="1275" w:type="dxa"/>
            <w:vAlign w:val="top"/>
          </w:tcPr>
          <w:p>
            <w:pPr>
              <w:pStyle w:val="39"/>
              <w:spacing w:line="240" w:lineRule="auto"/>
              <w:ind w:firstLine="0" w:firstLineChars="0"/>
              <w:jc w:val="center"/>
              <w:rPr>
                <w:sz w:val="24"/>
                <w:szCs w:val="24"/>
              </w:rPr>
            </w:pPr>
            <w:r>
              <w:rPr>
                <w:sz w:val="24"/>
                <w:szCs w:val="24"/>
              </w:rPr>
              <w:t>48.6</w:t>
            </w:r>
          </w:p>
        </w:tc>
        <w:tc>
          <w:tcPr>
            <w:tcW w:w="1499" w:type="dxa"/>
            <w:vAlign w:val="top"/>
          </w:tcPr>
          <w:p>
            <w:pPr>
              <w:pStyle w:val="39"/>
              <w:spacing w:line="240" w:lineRule="auto"/>
              <w:ind w:firstLine="0" w:firstLineChars="0"/>
              <w:jc w:val="center"/>
              <w:rPr>
                <w:sz w:val="24"/>
                <w:szCs w:val="24"/>
              </w:rPr>
            </w:pPr>
            <w:r>
              <w:rPr>
                <w:sz w:val="24"/>
                <w:szCs w:val="24"/>
              </w:rPr>
              <w:t>XX</w:t>
            </w:r>
          </w:p>
        </w:tc>
        <w:tc>
          <w:tcPr>
            <w:tcW w:w="1699" w:type="dxa"/>
            <w:vAlign w:val="top"/>
          </w:tcPr>
          <w:p>
            <w:pPr>
              <w:pStyle w:val="39"/>
              <w:spacing w:line="240" w:lineRule="auto"/>
              <w:ind w:firstLine="0" w:firstLineChars="0"/>
              <w:jc w:val="center"/>
              <w:rPr>
                <w:sz w:val="24"/>
                <w:szCs w:val="24"/>
              </w:rPr>
            </w:pPr>
            <w:r>
              <w:rPr>
                <w:sz w:val="24"/>
                <w:szCs w:val="24"/>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296" w:type="dxa"/>
            <w:gridSpan w:val="4"/>
            <w:vAlign w:val="top"/>
          </w:tcPr>
          <w:p>
            <w:pPr>
              <w:pStyle w:val="39"/>
              <w:spacing w:line="240" w:lineRule="auto"/>
              <w:ind w:firstLine="0" w:firstLineChars="0"/>
              <w:rPr>
                <w:b/>
                <w:sz w:val="24"/>
                <w:szCs w:val="24"/>
              </w:rPr>
            </w:pPr>
            <w:r>
              <w:rPr>
                <w:b/>
                <w:sz w:val="24"/>
                <w:szCs w:val="24"/>
              </w:rPr>
              <w:t>三、供应能力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823" w:type="dxa"/>
            <w:vAlign w:val="top"/>
          </w:tcPr>
          <w:p>
            <w:pPr>
              <w:pStyle w:val="39"/>
              <w:spacing w:line="240" w:lineRule="auto"/>
              <w:ind w:firstLine="0" w:firstLineChars="0"/>
              <w:rPr>
                <w:b/>
                <w:sz w:val="24"/>
                <w:szCs w:val="24"/>
              </w:rPr>
            </w:pPr>
            <w:r>
              <w:rPr>
                <w:b/>
                <w:sz w:val="24"/>
                <w:szCs w:val="24"/>
              </w:rPr>
              <w:t>发电装机（万千瓦）</w:t>
            </w:r>
          </w:p>
        </w:tc>
        <w:tc>
          <w:tcPr>
            <w:tcW w:w="1275" w:type="dxa"/>
            <w:vAlign w:val="top"/>
          </w:tcPr>
          <w:p>
            <w:pPr>
              <w:pStyle w:val="39"/>
              <w:spacing w:line="240" w:lineRule="auto"/>
              <w:ind w:firstLine="0" w:firstLineChars="0"/>
              <w:jc w:val="center"/>
              <w:rPr>
                <w:sz w:val="24"/>
                <w:szCs w:val="24"/>
              </w:rPr>
            </w:pPr>
            <w:r>
              <w:rPr>
                <w:sz w:val="24"/>
                <w:szCs w:val="24"/>
              </w:rPr>
              <w:t>288</w:t>
            </w:r>
          </w:p>
        </w:tc>
        <w:tc>
          <w:tcPr>
            <w:tcW w:w="1499" w:type="dxa"/>
            <w:vAlign w:val="top"/>
          </w:tcPr>
          <w:p>
            <w:pPr>
              <w:pStyle w:val="39"/>
              <w:spacing w:line="240" w:lineRule="auto"/>
              <w:ind w:firstLine="0" w:firstLineChars="0"/>
              <w:jc w:val="center"/>
              <w:rPr>
                <w:sz w:val="24"/>
                <w:szCs w:val="24"/>
              </w:rPr>
            </w:pPr>
            <w:r>
              <w:rPr>
                <w:sz w:val="24"/>
                <w:szCs w:val="24"/>
              </w:rPr>
              <w:t>552</w:t>
            </w:r>
          </w:p>
        </w:tc>
        <w:tc>
          <w:tcPr>
            <w:tcW w:w="1699" w:type="dxa"/>
            <w:vAlign w:val="top"/>
          </w:tcPr>
          <w:p>
            <w:pPr>
              <w:pStyle w:val="39"/>
              <w:spacing w:line="240" w:lineRule="auto"/>
              <w:ind w:firstLine="0" w:firstLineChars="0"/>
              <w:jc w:val="center"/>
              <w:rPr>
                <w:sz w:val="24"/>
                <w:szCs w:val="24"/>
              </w:rPr>
            </w:pPr>
            <w:r>
              <w:rPr>
                <w:kern w:val="0"/>
                <w:sz w:val="24"/>
              </w:rPr>
              <w:t>[264]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823" w:type="dxa"/>
            <w:vAlign w:val="top"/>
          </w:tcPr>
          <w:p>
            <w:pPr>
              <w:pStyle w:val="39"/>
              <w:spacing w:line="240" w:lineRule="auto"/>
              <w:ind w:firstLine="0" w:firstLineChars="0"/>
              <w:rPr>
                <w:sz w:val="24"/>
                <w:szCs w:val="24"/>
              </w:rPr>
            </w:pPr>
            <w:r>
              <w:rPr>
                <w:sz w:val="24"/>
                <w:szCs w:val="24"/>
              </w:rPr>
              <w:t>其中：水电（万千瓦）</w:t>
            </w:r>
          </w:p>
        </w:tc>
        <w:tc>
          <w:tcPr>
            <w:tcW w:w="1275" w:type="dxa"/>
            <w:vAlign w:val="top"/>
          </w:tcPr>
          <w:p>
            <w:pPr>
              <w:pStyle w:val="39"/>
              <w:spacing w:line="240" w:lineRule="auto"/>
              <w:ind w:firstLine="0" w:firstLineChars="0"/>
              <w:jc w:val="center"/>
              <w:rPr>
                <w:sz w:val="24"/>
                <w:szCs w:val="24"/>
              </w:rPr>
            </w:pPr>
            <w:r>
              <w:rPr>
                <w:sz w:val="24"/>
                <w:szCs w:val="24"/>
              </w:rPr>
              <w:t>145</w:t>
            </w:r>
          </w:p>
        </w:tc>
        <w:tc>
          <w:tcPr>
            <w:tcW w:w="1499" w:type="dxa"/>
            <w:vAlign w:val="top"/>
          </w:tcPr>
          <w:p>
            <w:pPr>
              <w:pStyle w:val="39"/>
              <w:spacing w:line="240" w:lineRule="auto"/>
              <w:ind w:firstLine="0" w:firstLineChars="0"/>
              <w:jc w:val="center"/>
              <w:rPr>
                <w:sz w:val="24"/>
                <w:szCs w:val="24"/>
              </w:rPr>
            </w:pPr>
            <w:r>
              <w:rPr>
                <w:sz w:val="24"/>
                <w:szCs w:val="24"/>
              </w:rPr>
              <w:t>189</w:t>
            </w:r>
          </w:p>
        </w:tc>
        <w:tc>
          <w:tcPr>
            <w:tcW w:w="1699" w:type="dxa"/>
            <w:vAlign w:val="top"/>
          </w:tcPr>
          <w:p>
            <w:pPr>
              <w:pStyle w:val="39"/>
              <w:spacing w:line="240" w:lineRule="auto"/>
              <w:ind w:firstLine="0" w:firstLineChars="0"/>
              <w:jc w:val="center"/>
              <w:rPr>
                <w:sz w:val="24"/>
                <w:szCs w:val="24"/>
              </w:rPr>
            </w:pPr>
            <w:r>
              <w:rPr>
                <w:kern w:val="0"/>
                <w:sz w:val="24"/>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823" w:type="dxa"/>
            <w:vAlign w:val="top"/>
          </w:tcPr>
          <w:p>
            <w:pPr>
              <w:pStyle w:val="39"/>
              <w:spacing w:line="240" w:lineRule="auto"/>
              <w:ind w:firstLine="720" w:firstLineChars="300"/>
              <w:rPr>
                <w:sz w:val="24"/>
                <w:szCs w:val="24"/>
              </w:rPr>
            </w:pPr>
            <w:r>
              <w:rPr>
                <w:rFonts w:hint="eastAsia"/>
                <w:sz w:val="24"/>
                <w:szCs w:val="24"/>
              </w:rPr>
              <w:t>气电</w:t>
            </w:r>
            <w:r>
              <w:rPr>
                <w:sz w:val="24"/>
                <w:szCs w:val="24"/>
              </w:rPr>
              <w:t>（万千瓦）</w:t>
            </w:r>
            <w:r>
              <w:rPr>
                <w:rFonts w:hint="eastAsia"/>
                <w:sz w:val="24"/>
                <w:szCs w:val="24"/>
              </w:rPr>
              <w:t xml:space="preserve"> </w:t>
            </w:r>
          </w:p>
        </w:tc>
        <w:tc>
          <w:tcPr>
            <w:tcW w:w="1275" w:type="dxa"/>
            <w:vAlign w:val="top"/>
          </w:tcPr>
          <w:p>
            <w:pPr>
              <w:pStyle w:val="39"/>
              <w:spacing w:line="240" w:lineRule="auto"/>
              <w:ind w:firstLine="0" w:firstLineChars="0"/>
              <w:jc w:val="center"/>
              <w:rPr>
                <w:sz w:val="24"/>
                <w:szCs w:val="24"/>
              </w:rPr>
            </w:pPr>
            <w:r>
              <w:rPr>
                <w:rFonts w:hint="eastAsia"/>
                <w:sz w:val="24"/>
                <w:szCs w:val="24"/>
              </w:rPr>
              <w:t>0</w:t>
            </w:r>
          </w:p>
        </w:tc>
        <w:tc>
          <w:tcPr>
            <w:tcW w:w="1499" w:type="dxa"/>
            <w:vAlign w:val="top"/>
          </w:tcPr>
          <w:p>
            <w:pPr>
              <w:pStyle w:val="39"/>
              <w:spacing w:line="240" w:lineRule="auto"/>
              <w:ind w:firstLine="0" w:firstLineChars="0"/>
              <w:jc w:val="center"/>
              <w:rPr>
                <w:sz w:val="24"/>
                <w:szCs w:val="24"/>
              </w:rPr>
            </w:pPr>
            <w:r>
              <w:rPr>
                <w:rFonts w:hint="eastAsia"/>
                <w:sz w:val="24"/>
                <w:szCs w:val="24"/>
              </w:rPr>
              <w:t>9</w:t>
            </w:r>
            <w:r>
              <w:rPr>
                <w:sz w:val="24"/>
                <w:szCs w:val="24"/>
              </w:rPr>
              <w:t>2</w:t>
            </w:r>
          </w:p>
        </w:tc>
        <w:tc>
          <w:tcPr>
            <w:tcW w:w="1699" w:type="dxa"/>
            <w:vAlign w:val="top"/>
          </w:tcPr>
          <w:p>
            <w:pPr>
              <w:pStyle w:val="39"/>
              <w:spacing w:line="240" w:lineRule="auto"/>
              <w:ind w:firstLine="0" w:firstLineChars="0"/>
              <w:jc w:val="center"/>
              <w:rPr>
                <w:sz w:val="24"/>
                <w:szCs w:val="24"/>
              </w:rPr>
            </w:pPr>
            <w:r>
              <w:rPr>
                <w:kern w:val="0"/>
                <w:sz w:val="24"/>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823" w:type="dxa"/>
            <w:vAlign w:val="top"/>
          </w:tcPr>
          <w:p>
            <w:pPr>
              <w:pStyle w:val="39"/>
              <w:spacing w:line="240" w:lineRule="auto"/>
              <w:ind w:firstLine="720" w:firstLineChars="300"/>
              <w:rPr>
                <w:sz w:val="24"/>
                <w:szCs w:val="24"/>
              </w:rPr>
            </w:pPr>
            <w:r>
              <w:rPr>
                <w:sz w:val="24"/>
                <w:szCs w:val="24"/>
              </w:rPr>
              <w:t>风电（万千瓦）</w:t>
            </w:r>
          </w:p>
        </w:tc>
        <w:tc>
          <w:tcPr>
            <w:tcW w:w="1275" w:type="dxa"/>
            <w:vAlign w:val="top"/>
          </w:tcPr>
          <w:p>
            <w:pPr>
              <w:pStyle w:val="39"/>
              <w:spacing w:line="240" w:lineRule="auto"/>
              <w:ind w:firstLine="0" w:firstLineChars="0"/>
              <w:jc w:val="center"/>
              <w:rPr>
                <w:sz w:val="24"/>
                <w:szCs w:val="24"/>
              </w:rPr>
            </w:pPr>
            <w:r>
              <w:rPr>
                <w:sz w:val="24"/>
                <w:szCs w:val="24"/>
              </w:rPr>
              <w:t>13</w:t>
            </w:r>
          </w:p>
        </w:tc>
        <w:tc>
          <w:tcPr>
            <w:tcW w:w="1499" w:type="dxa"/>
            <w:vAlign w:val="top"/>
          </w:tcPr>
          <w:p>
            <w:pPr>
              <w:pStyle w:val="39"/>
              <w:spacing w:line="240" w:lineRule="auto"/>
              <w:ind w:firstLine="0" w:firstLineChars="0"/>
              <w:jc w:val="center"/>
              <w:rPr>
                <w:sz w:val="24"/>
                <w:szCs w:val="24"/>
              </w:rPr>
            </w:pPr>
            <w:r>
              <w:rPr>
                <w:sz w:val="24"/>
                <w:szCs w:val="24"/>
              </w:rPr>
              <w:t>85</w:t>
            </w:r>
          </w:p>
        </w:tc>
        <w:tc>
          <w:tcPr>
            <w:tcW w:w="1699" w:type="dxa"/>
            <w:vAlign w:val="top"/>
          </w:tcPr>
          <w:p>
            <w:pPr>
              <w:pStyle w:val="39"/>
              <w:spacing w:line="240" w:lineRule="auto"/>
              <w:ind w:firstLine="0" w:firstLineChars="0"/>
              <w:jc w:val="center"/>
              <w:rPr>
                <w:sz w:val="24"/>
                <w:szCs w:val="24"/>
              </w:rPr>
            </w:pPr>
            <w:r>
              <w:rPr>
                <w:kern w:val="0"/>
                <w:sz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823" w:type="dxa"/>
            <w:vAlign w:val="top"/>
          </w:tcPr>
          <w:p>
            <w:pPr>
              <w:pStyle w:val="39"/>
              <w:spacing w:line="240" w:lineRule="auto"/>
              <w:ind w:firstLine="720" w:firstLineChars="300"/>
              <w:rPr>
                <w:sz w:val="24"/>
                <w:szCs w:val="24"/>
              </w:rPr>
            </w:pPr>
            <w:r>
              <w:rPr>
                <w:sz w:val="24"/>
                <w:szCs w:val="24"/>
              </w:rPr>
              <w:t>光伏（万千瓦）</w:t>
            </w:r>
          </w:p>
        </w:tc>
        <w:tc>
          <w:tcPr>
            <w:tcW w:w="1275" w:type="dxa"/>
            <w:vAlign w:val="top"/>
          </w:tcPr>
          <w:p>
            <w:pPr>
              <w:pStyle w:val="39"/>
              <w:spacing w:line="240" w:lineRule="auto"/>
              <w:ind w:firstLine="0" w:firstLineChars="0"/>
              <w:jc w:val="center"/>
              <w:rPr>
                <w:sz w:val="24"/>
                <w:szCs w:val="24"/>
              </w:rPr>
            </w:pPr>
            <w:r>
              <w:rPr>
                <w:sz w:val="24"/>
                <w:szCs w:val="24"/>
              </w:rPr>
              <w:t>2</w:t>
            </w:r>
          </w:p>
        </w:tc>
        <w:tc>
          <w:tcPr>
            <w:tcW w:w="1499" w:type="dxa"/>
            <w:vAlign w:val="top"/>
          </w:tcPr>
          <w:p>
            <w:pPr>
              <w:pStyle w:val="39"/>
              <w:spacing w:line="240" w:lineRule="auto"/>
              <w:ind w:firstLine="0" w:firstLineChars="0"/>
              <w:jc w:val="center"/>
              <w:rPr>
                <w:sz w:val="24"/>
                <w:szCs w:val="24"/>
              </w:rPr>
            </w:pPr>
            <w:r>
              <w:rPr>
                <w:sz w:val="24"/>
                <w:szCs w:val="24"/>
              </w:rPr>
              <w:t>42</w:t>
            </w:r>
          </w:p>
        </w:tc>
        <w:tc>
          <w:tcPr>
            <w:tcW w:w="1699" w:type="dxa"/>
            <w:vAlign w:val="top"/>
          </w:tcPr>
          <w:p>
            <w:pPr>
              <w:pStyle w:val="39"/>
              <w:spacing w:line="240" w:lineRule="auto"/>
              <w:ind w:firstLine="0" w:firstLineChars="0"/>
              <w:jc w:val="center"/>
              <w:rPr>
                <w:sz w:val="24"/>
                <w:szCs w:val="24"/>
              </w:rPr>
            </w:pPr>
            <w:r>
              <w:rPr>
                <w:kern w:val="0"/>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823" w:type="dxa"/>
            <w:vAlign w:val="top"/>
          </w:tcPr>
          <w:p>
            <w:pPr>
              <w:pStyle w:val="39"/>
              <w:spacing w:line="240" w:lineRule="auto"/>
              <w:ind w:firstLine="720" w:firstLineChars="300"/>
              <w:rPr>
                <w:sz w:val="24"/>
                <w:szCs w:val="24"/>
              </w:rPr>
            </w:pPr>
            <w:r>
              <w:rPr>
                <w:sz w:val="24"/>
                <w:szCs w:val="24"/>
              </w:rPr>
              <w:t>生物质（万千瓦）</w:t>
            </w:r>
          </w:p>
        </w:tc>
        <w:tc>
          <w:tcPr>
            <w:tcW w:w="1275" w:type="dxa"/>
            <w:vAlign w:val="top"/>
          </w:tcPr>
          <w:p>
            <w:pPr>
              <w:pStyle w:val="39"/>
              <w:spacing w:line="240" w:lineRule="auto"/>
              <w:ind w:firstLine="0" w:firstLineChars="0"/>
              <w:jc w:val="center"/>
              <w:rPr>
                <w:sz w:val="24"/>
                <w:szCs w:val="24"/>
              </w:rPr>
            </w:pPr>
            <w:r>
              <w:rPr>
                <w:rFonts w:hint="eastAsia"/>
                <w:sz w:val="24"/>
                <w:szCs w:val="24"/>
              </w:rPr>
              <w:t>0</w:t>
            </w:r>
          </w:p>
        </w:tc>
        <w:tc>
          <w:tcPr>
            <w:tcW w:w="1499" w:type="dxa"/>
            <w:vAlign w:val="top"/>
          </w:tcPr>
          <w:p>
            <w:pPr>
              <w:pStyle w:val="39"/>
              <w:spacing w:line="240" w:lineRule="auto"/>
              <w:ind w:firstLine="0" w:firstLineChars="0"/>
              <w:jc w:val="center"/>
              <w:rPr>
                <w:sz w:val="24"/>
                <w:szCs w:val="24"/>
              </w:rPr>
            </w:pPr>
            <w:r>
              <w:rPr>
                <w:sz w:val="24"/>
                <w:szCs w:val="24"/>
              </w:rPr>
              <w:t>3</w:t>
            </w:r>
          </w:p>
        </w:tc>
        <w:tc>
          <w:tcPr>
            <w:tcW w:w="1699" w:type="dxa"/>
            <w:vAlign w:val="top"/>
          </w:tcPr>
          <w:p>
            <w:pPr>
              <w:pStyle w:val="39"/>
              <w:spacing w:line="240" w:lineRule="auto"/>
              <w:ind w:firstLine="0" w:firstLineChars="0"/>
              <w:jc w:val="center"/>
              <w:rPr>
                <w:sz w:val="24"/>
                <w:szCs w:val="24"/>
              </w:rPr>
            </w:pPr>
            <w:r>
              <w:rPr>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823" w:type="dxa"/>
            <w:vAlign w:val="top"/>
          </w:tcPr>
          <w:p>
            <w:pPr>
              <w:pStyle w:val="39"/>
              <w:spacing w:line="240" w:lineRule="auto"/>
              <w:ind w:firstLine="720" w:firstLineChars="300"/>
              <w:rPr>
                <w:sz w:val="24"/>
                <w:szCs w:val="24"/>
              </w:rPr>
            </w:pPr>
            <w:r>
              <w:rPr>
                <w:sz w:val="24"/>
                <w:szCs w:val="24"/>
              </w:rPr>
              <w:t>余热（万千瓦）</w:t>
            </w:r>
          </w:p>
        </w:tc>
        <w:tc>
          <w:tcPr>
            <w:tcW w:w="1275" w:type="dxa"/>
            <w:vAlign w:val="top"/>
          </w:tcPr>
          <w:p>
            <w:pPr>
              <w:pStyle w:val="39"/>
              <w:spacing w:line="240" w:lineRule="auto"/>
              <w:ind w:firstLine="0" w:firstLineChars="0"/>
              <w:jc w:val="center"/>
              <w:rPr>
                <w:sz w:val="24"/>
                <w:szCs w:val="24"/>
              </w:rPr>
            </w:pPr>
            <w:r>
              <w:rPr>
                <w:rFonts w:hint="eastAsia"/>
                <w:sz w:val="24"/>
                <w:szCs w:val="24"/>
              </w:rPr>
              <w:t>0</w:t>
            </w:r>
          </w:p>
        </w:tc>
        <w:tc>
          <w:tcPr>
            <w:tcW w:w="1499" w:type="dxa"/>
            <w:vAlign w:val="top"/>
          </w:tcPr>
          <w:p>
            <w:pPr>
              <w:pStyle w:val="39"/>
              <w:spacing w:line="240" w:lineRule="auto"/>
              <w:ind w:firstLine="0" w:firstLineChars="0"/>
              <w:jc w:val="center"/>
              <w:rPr>
                <w:sz w:val="24"/>
                <w:szCs w:val="24"/>
              </w:rPr>
            </w:pPr>
            <w:r>
              <w:rPr>
                <w:sz w:val="24"/>
                <w:szCs w:val="24"/>
              </w:rPr>
              <w:t>13</w:t>
            </w:r>
          </w:p>
        </w:tc>
        <w:tc>
          <w:tcPr>
            <w:tcW w:w="1699" w:type="dxa"/>
            <w:vAlign w:val="top"/>
          </w:tcPr>
          <w:p>
            <w:pPr>
              <w:pStyle w:val="39"/>
              <w:spacing w:line="240" w:lineRule="auto"/>
              <w:ind w:firstLine="0" w:firstLineChars="0"/>
              <w:jc w:val="center"/>
              <w:rPr>
                <w:sz w:val="24"/>
                <w:szCs w:val="24"/>
              </w:rPr>
            </w:pPr>
            <w:r>
              <w:rPr>
                <w:kern w:val="0"/>
                <w:sz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823" w:type="dxa"/>
            <w:vAlign w:val="top"/>
          </w:tcPr>
          <w:p>
            <w:pPr>
              <w:pStyle w:val="39"/>
              <w:spacing w:line="240" w:lineRule="auto"/>
              <w:ind w:firstLine="0" w:firstLineChars="0"/>
              <w:jc w:val="center"/>
              <w:rPr>
                <w:sz w:val="24"/>
                <w:szCs w:val="24"/>
              </w:rPr>
            </w:pPr>
            <w:r>
              <w:rPr>
                <w:rFonts w:hint="eastAsia"/>
                <w:sz w:val="24"/>
                <w:szCs w:val="24"/>
              </w:rPr>
              <w:t>抽水储能（万千瓦）</w:t>
            </w:r>
          </w:p>
        </w:tc>
        <w:tc>
          <w:tcPr>
            <w:tcW w:w="1275" w:type="dxa"/>
            <w:vAlign w:val="top"/>
          </w:tcPr>
          <w:p>
            <w:pPr>
              <w:pStyle w:val="39"/>
              <w:spacing w:line="240" w:lineRule="auto"/>
              <w:ind w:firstLine="0" w:firstLineChars="0"/>
              <w:jc w:val="center"/>
              <w:rPr>
                <w:sz w:val="24"/>
                <w:szCs w:val="24"/>
              </w:rPr>
            </w:pPr>
            <w:r>
              <w:rPr>
                <w:sz w:val="24"/>
                <w:szCs w:val="24"/>
              </w:rPr>
              <w:t>128</w:t>
            </w:r>
          </w:p>
        </w:tc>
        <w:tc>
          <w:tcPr>
            <w:tcW w:w="1499" w:type="dxa"/>
            <w:vAlign w:val="top"/>
          </w:tcPr>
          <w:p>
            <w:pPr>
              <w:pStyle w:val="39"/>
              <w:spacing w:line="240" w:lineRule="auto"/>
              <w:ind w:firstLine="0" w:firstLineChars="0"/>
              <w:jc w:val="center"/>
              <w:rPr>
                <w:sz w:val="24"/>
                <w:szCs w:val="24"/>
              </w:rPr>
            </w:pPr>
            <w:r>
              <w:rPr>
                <w:sz w:val="24"/>
                <w:szCs w:val="24"/>
              </w:rPr>
              <w:t>128</w:t>
            </w:r>
          </w:p>
        </w:tc>
        <w:tc>
          <w:tcPr>
            <w:tcW w:w="1699" w:type="dxa"/>
            <w:vAlign w:val="top"/>
          </w:tcPr>
          <w:p>
            <w:pPr>
              <w:pStyle w:val="39"/>
              <w:spacing w:line="240" w:lineRule="auto"/>
              <w:ind w:firstLine="0" w:firstLineChars="0"/>
              <w:jc w:val="center"/>
              <w:rPr>
                <w:kern w:val="0"/>
                <w:sz w:val="24"/>
              </w:rPr>
            </w:pPr>
            <w:r>
              <w:rPr>
                <w:kern w:val="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823" w:type="dxa"/>
            <w:vAlign w:val="top"/>
          </w:tcPr>
          <w:p>
            <w:pPr>
              <w:pStyle w:val="39"/>
              <w:spacing w:line="240" w:lineRule="auto"/>
              <w:ind w:firstLine="0" w:firstLineChars="0"/>
              <w:rPr>
                <w:sz w:val="24"/>
                <w:szCs w:val="24"/>
              </w:rPr>
            </w:pPr>
            <w:r>
              <w:rPr>
                <w:sz w:val="24"/>
                <w:szCs w:val="24"/>
              </w:rPr>
              <w:t>天然气供应能力（亿方/年）</w:t>
            </w:r>
          </w:p>
        </w:tc>
        <w:tc>
          <w:tcPr>
            <w:tcW w:w="1275" w:type="dxa"/>
            <w:vAlign w:val="top"/>
          </w:tcPr>
          <w:p>
            <w:pPr>
              <w:pStyle w:val="39"/>
              <w:spacing w:line="240" w:lineRule="auto"/>
              <w:ind w:firstLine="0" w:firstLineChars="0"/>
              <w:jc w:val="center"/>
              <w:rPr>
                <w:sz w:val="24"/>
                <w:szCs w:val="24"/>
              </w:rPr>
            </w:pPr>
            <w:r>
              <w:rPr>
                <w:rFonts w:hint="eastAsia"/>
                <w:sz w:val="24"/>
                <w:szCs w:val="24"/>
              </w:rPr>
              <w:t>-</w:t>
            </w:r>
          </w:p>
        </w:tc>
        <w:tc>
          <w:tcPr>
            <w:tcW w:w="1499" w:type="dxa"/>
            <w:vAlign w:val="top"/>
          </w:tcPr>
          <w:p>
            <w:pPr>
              <w:pStyle w:val="39"/>
              <w:spacing w:line="240" w:lineRule="auto"/>
              <w:ind w:firstLine="0" w:firstLineChars="0"/>
              <w:jc w:val="center"/>
              <w:rPr>
                <w:sz w:val="24"/>
                <w:szCs w:val="24"/>
              </w:rPr>
            </w:pPr>
            <w:r>
              <w:rPr>
                <w:sz w:val="24"/>
                <w:szCs w:val="24"/>
              </w:rPr>
              <w:t>9.2</w:t>
            </w:r>
          </w:p>
        </w:tc>
        <w:tc>
          <w:tcPr>
            <w:tcW w:w="1699" w:type="dxa"/>
            <w:vAlign w:val="top"/>
          </w:tcPr>
          <w:p>
            <w:pPr>
              <w:pStyle w:val="39"/>
              <w:spacing w:line="240" w:lineRule="auto"/>
              <w:ind w:firstLine="0" w:firstLineChars="0"/>
              <w:jc w:val="center"/>
              <w:rPr>
                <w:sz w:val="24"/>
                <w:szCs w:val="24"/>
              </w:rPr>
            </w:pPr>
            <w:r>
              <w:rPr>
                <w:kern w:val="0"/>
                <w:sz w:val="24"/>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296" w:type="dxa"/>
            <w:gridSpan w:val="4"/>
            <w:vAlign w:val="top"/>
          </w:tcPr>
          <w:p>
            <w:pPr>
              <w:pStyle w:val="39"/>
              <w:spacing w:line="240" w:lineRule="auto"/>
              <w:ind w:firstLine="0" w:firstLineChars="0"/>
              <w:jc w:val="left"/>
              <w:rPr>
                <w:b/>
                <w:kern w:val="0"/>
                <w:sz w:val="24"/>
              </w:rPr>
            </w:pPr>
            <w:r>
              <w:rPr>
                <w:rFonts w:hint="eastAsia"/>
                <w:b/>
                <w:sz w:val="24"/>
                <w:szCs w:val="24"/>
              </w:rPr>
              <w:t>四、民生用能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823" w:type="dxa"/>
            <w:vAlign w:val="top"/>
          </w:tcPr>
          <w:p>
            <w:pPr>
              <w:pStyle w:val="39"/>
              <w:spacing w:line="240" w:lineRule="auto"/>
              <w:ind w:firstLine="0" w:firstLineChars="0"/>
              <w:rPr>
                <w:sz w:val="24"/>
                <w:szCs w:val="24"/>
              </w:rPr>
            </w:pPr>
            <w:r>
              <w:rPr>
                <w:rFonts w:hint="eastAsia"/>
                <w:sz w:val="24"/>
                <w:szCs w:val="24"/>
              </w:rPr>
              <w:t>人均生活用能（吨标煤/人·年)</w:t>
            </w:r>
          </w:p>
        </w:tc>
        <w:tc>
          <w:tcPr>
            <w:tcW w:w="1275" w:type="dxa"/>
            <w:vAlign w:val="top"/>
          </w:tcPr>
          <w:p>
            <w:pPr>
              <w:pStyle w:val="39"/>
              <w:spacing w:line="240" w:lineRule="auto"/>
              <w:ind w:firstLine="0" w:firstLineChars="0"/>
              <w:jc w:val="center"/>
              <w:rPr>
                <w:sz w:val="24"/>
                <w:szCs w:val="24"/>
              </w:rPr>
            </w:pPr>
            <w:r>
              <w:rPr>
                <w:rFonts w:hint="eastAsia"/>
                <w:sz w:val="24"/>
                <w:szCs w:val="24"/>
              </w:rPr>
              <w:t>0</w:t>
            </w:r>
            <w:r>
              <w:rPr>
                <w:sz w:val="24"/>
                <w:szCs w:val="24"/>
              </w:rPr>
              <w:t>.40</w:t>
            </w:r>
          </w:p>
        </w:tc>
        <w:tc>
          <w:tcPr>
            <w:tcW w:w="1499" w:type="dxa"/>
            <w:vAlign w:val="top"/>
          </w:tcPr>
          <w:p>
            <w:pPr>
              <w:pStyle w:val="39"/>
              <w:spacing w:line="240" w:lineRule="auto"/>
              <w:ind w:firstLine="0" w:firstLineChars="0"/>
              <w:jc w:val="center"/>
              <w:rPr>
                <w:sz w:val="24"/>
                <w:szCs w:val="24"/>
              </w:rPr>
            </w:pPr>
            <w:r>
              <w:rPr>
                <w:sz w:val="24"/>
                <w:szCs w:val="24"/>
              </w:rPr>
              <w:t>XX</w:t>
            </w:r>
          </w:p>
        </w:tc>
        <w:tc>
          <w:tcPr>
            <w:tcW w:w="1699" w:type="dxa"/>
            <w:vAlign w:val="top"/>
          </w:tcPr>
          <w:p>
            <w:pPr>
              <w:pStyle w:val="39"/>
              <w:spacing w:line="240" w:lineRule="auto"/>
              <w:ind w:firstLine="0" w:firstLineChars="0"/>
              <w:jc w:val="center"/>
              <w:rPr>
                <w:kern w:val="0"/>
                <w:sz w:val="24"/>
              </w:rPr>
            </w:pPr>
            <w:r>
              <w:rPr>
                <w:kern w:val="0"/>
                <w:sz w:val="24"/>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823" w:type="dxa"/>
            <w:vAlign w:val="top"/>
          </w:tcPr>
          <w:p>
            <w:pPr>
              <w:pStyle w:val="39"/>
              <w:spacing w:line="240" w:lineRule="auto"/>
              <w:ind w:firstLine="0" w:firstLineChars="0"/>
              <w:rPr>
                <w:sz w:val="24"/>
                <w:szCs w:val="24"/>
              </w:rPr>
            </w:pPr>
            <w:r>
              <w:rPr>
                <w:rFonts w:hint="eastAsia"/>
                <w:sz w:val="24"/>
                <w:szCs w:val="24"/>
              </w:rPr>
              <w:t>人均生活用电量（千瓦时/人·年)</w:t>
            </w:r>
          </w:p>
        </w:tc>
        <w:tc>
          <w:tcPr>
            <w:tcW w:w="1275" w:type="dxa"/>
            <w:vAlign w:val="top"/>
          </w:tcPr>
          <w:p>
            <w:pPr>
              <w:pStyle w:val="39"/>
              <w:spacing w:line="240" w:lineRule="auto"/>
              <w:ind w:firstLine="0" w:firstLineChars="0"/>
              <w:jc w:val="center"/>
              <w:rPr>
                <w:sz w:val="24"/>
                <w:szCs w:val="24"/>
              </w:rPr>
            </w:pPr>
            <w:r>
              <w:rPr>
                <w:rFonts w:hint="eastAsia"/>
                <w:sz w:val="24"/>
                <w:szCs w:val="24"/>
              </w:rPr>
              <w:t>5</w:t>
            </w:r>
            <w:r>
              <w:rPr>
                <w:sz w:val="24"/>
                <w:szCs w:val="24"/>
              </w:rPr>
              <w:t>73</w:t>
            </w:r>
          </w:p>
        </w:tc>
        <w:tc>
          <w:tcPr>
            <w:tcW w:w="1499" w:type="dxa"/>
            <w:vAlign w:val="top"/>
          </w:tcPr>
          <w:p>
            <w:pPr>
              <w:pStyle w:val="39"/>
              <w:spacing w:line="240" w:lineRule="auto"/>
              <w:ind w:firstLine="0" w:firstLineChars="0"/>
              <w:jc w:val="center"/>
              <w:rPr>
                <w:sz w:val="24"/>
                <w:szCs w:val="24"/>
              </w:rPr>
            </w:pPr>
            <w:r>
              <w:rPr>
                <w:sz w:val="24"/>
                <w:szCs w:val="24"/>
              </w:rPr>
              <w:t>849</w:t>
            </w:r>
          </w:p>
        </w:tc>
        <w:tc>
          <w:tcPr>
            <w:tcW w:w="1699" w:type="dxa"/>
            <w:vAlign w:val="top"/>
          </w:tcPr>
          <w:p>
            <w:pPr>
              <w:pStyle w:val="39"/>
              <w:spacing w:line="240" w:lineRule="auto"/>
              <w:ind w:firstLine="0" w:firstLineChars="0"/>
              <w:jc w:val="center"/>
              <w:rPr>
                <w:kern w:val="0"/>
                <w:sz w:val="24"/>
              </w:rPr>
            </w:pPr>
            <w:r>
              <w:rPr>
                <w:kern w:val="0"/>
                <w:sz w:val="24"/>
              </w:rPr>
              <w:t>8.2</w:t>
            </w:r>
            <w:r>
              <w:rPr>
                <w:rFonts w:hint="eastAsia"/>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823" w:type="dxa"/>
            <w:vAlign w:val="top"/>
          </w:tcPr>
          <w:p>
            <w:pPr>
              <w:pStyle w:val="39"/>
              <w:spacing w:line="240" w:lineRule="auto"/>
              <w:ind w:firstLine="0" w:firstLineChars="0"/>
              <w:rPr>
                <w:b/>
                <w:sz w:val="24"/>
                <w:szCs w:val="24"/>
              </w:rPr>
            </w:pPr>
            <w:r>
              <w:rPr>
                <w:rFonts w:hint="eastAsia"/>
                <w:b/>
                <w:sz w:val="24"/>
                <w:szCs w:val="24"/>
              </w:rPr>
              <w:t>五</w:t>
            </w:r>
            <w:r>
              <w:rPr>
                <w:b/>
                <w:sz w:val="24"/>
                <w:szCs w:val="24"/>
              </w:rPr>
              <w:t>、单位GDP能耗累计降低（%）</w:t>
            </w:r>
          </w:p>
        </w:tc>
        <w:tc>
          <w:tcPr>
            <w:tcW w:w="1275" w:type="dxa"/>
            <w:vAlign w:val="top"/>
          </w:tcPr>
          <w:p>
            <w:pPr>
              <w:pStyle w:val="39"/>
              <w:spacing w:line="240" w:lineRule="auto"/>
              <w:ind w:firstLine="0" w:firstLineChars="0"/>
              <w:jc w:val="center"/>
              <w:rPr>
                <w:sz w:val="24"/>
                <w:szCs w:val="24"/>
              </w:rPr>
            </w:pPr>
            <w:r>
              <w:rPr>
                <w:rFonts w:hint="eastAsia"/>
                <w:sz w:val="24"/>
                <w:szCs w:val="24"/>
              </w:rPr>
              <w:t>/</w:t>
            </w:r>
          </w:p>
        </w:tc>
        <w:tc>
          <w:tcPr>
            <w:tcW w:w="1499" w:type="dxa"/>
            <w:vAlign w:val="top"/>
          </w:tcPr>
          <w:p>
            <w:pPr>
              <w:pStyle w:val="39"/>
              <w:spacing w:line="240" w:lineRule="auto"/>
              <w:ind w:firstLine="0" w:firstLineChars="0"/>
              <w:jc w:val="center"/>
              <w:rPr>
                <w:sz w:val="24"/>
                <w:szCs w:val="24"/>
              </w:rPr>
            </w:pPr>
            <w:r>
              <w:rPr>
                <w:rFonts w:hint="eastAsia"/>
                <w:sz w:val="24"/>
                <w:szCs w:val="24"/>
              </w:rPr>
              <w:t>/</w:t>
            </w:r>
          </w:p>
        </w:tc>
        <w:tc>
          <w:tcPr>
            <w:tcW w:w="1699" w:type="dxa"/>
            <w:vAlign w:val="top"/>
          </w:tcPr>
          <w:p>
            <w:pPr>
              <w:pStyle w:val="39"/>
              <w:spacing w:line="240" w:lineRule="auto"/>
              <w:ind w:firstLine="0" w:firstLineChars="0"/>
              <w:jc w:val="center"/>
              <w:rPr>
                <w:sz w:val="24"/>
                <w:szCs w:val="24"/>
              </w:rPr>
            </w:pPr>
            <w:r>
              <w:rPr>
                <w:sz w:val="24"/>
                <w:szCs w:val="24"/>
              </w:rPr>
              <w:t>[10.32]</w:t>
            </w:r>
          </w:p>
        </w:tc>
      </w:tr>
    </w:tbl>
    <w:p>
      <w:bookmarkStart w:id="7" w:name="_Toc30169928"/>
    </w:p>
    <w:p>
      <w:pPr>
        <w:pStyle w:val="3"/>
        <w:rPr>
          <w:rFonts w:cs="Times New Roman"/>
        </w:rPr>
      </w:pPr>
      <w:bookmarkStart w:id="8" w:name="_Toc76568814"/>
      <w:r>
        <w:rPr>
          <w:rFonts w:cs="Times New Roman"/>
        </w:rPr>
        <w:t xml:space="preserve">第二节  </w:t>
      </w:r>
      <w:r>
        <w:rPr>
          <w:rFonts w:hint="eastAsia" w:cs="Times New Roman"/>
        </w:rPr>
        <w:t>发展形势</w:t>
      </w:r>
      <w:bookmarkEnd w:id="8"/>
    </w:p>
    <w:p>
      <w:pPr>
        <w:pStyle w:val="39"/>
        <w:ind w:firstLine="640"/>
      </w:pPr>
      <w:r>
        <w:rPr>
          <w:rFonts w:hint="eastAsia"/>
        </w:rPr>
        <w:t>当今世界正经历百年未有之大变局，全球能源供需格局深刻调整，能源安全形势日趋复杂，绿色低碳发展已成大势。</w:t>
      </w:r>
      <w:r>
        <w:t>“十四五”时期是我国经济由高速增长向高质量发展转型的攻坚期，也是</w:t>
      </w:r>
      <w:r>
        <w:rPr>
          <w:rFonts w:hint="eastAsia"/>
        </w:rPr>
        <w:t>能源转型升级</w:t>
      </w:r>
      <w:r>
        <w:t>和能源行业全面深化改革的关键期。</w:t>
      </w:r>
      <w:r>
        <w:rPr>
          <w:rFonts w:hint="eastAsia"/>
        </w:rPr>
        <w:t>在碳达峰、碳中和目标约束下，我国能源发展将加速呈现低碳化、电气化、智能化趋势，对我国构建现代能源体系提出了更高要求。</w:t>
      </w:r>
    </w:p>
    <w:p>
      <w:pPr>
        <w:pStyle w:val="39"/>
        <w:ind w:firstLine="640"/>
      </w:pPr>
      <w:r>
        <w:t>广东省作为全国经济大省，能源需求总量大，但本身资源条件不足，对外依存度高，能源效率有待提高，能源结构不尽合理，能源利用成本居高不下，能源发展面临着经济发展需求和生态环保约束的双重压力。当前，广东省正处于经济发展动能转换、经济结构加速转型、能源革命深入推进的关键阶段。随着粤港澳大湾区、深圳中国特色社会主义先行示范区和广东“一核一带一区”的建设，广东省</w:t>
      </w:r>
      <w:r>
        <w:rPr>
          <w:rFonts w:hint="eastAsia"/>
        </w:rPr>
        <w:t>区位</w:t>
      </w:r>
      <w:r>
        <w:t>优势日益凸显，能源发展呈现机遇与挑战并存的格局。</w:t>
      </w:r>
    </w:p>
    <w:p>
      <w:pPr>
        <w:pStyle w:val="39"/>
        <w:ind w:firstLine="640"/>
      </w:pPr>
      <w:r>
        <w:t>“十四五”时期是我市</w:t>
      </w:r>
      <w:r>
        <w:rPr>
          <w:rFonts w:hint="eastAsia"/>
        </w:rPr>
        <w:t>抢抓“双区”发展重大机遇、全方位深化广清一体化和全面推进乡村振兴</w:t>
      </w:r>
      <w:r>
        <w:t>的关键时期</w:t>
      </w:r>
      <w:r>
        <w:rPr>
          <w:rFonts w:hint="eastAsia"/>
        </w:rPr>
        <w:t>，“双区”和“一核一带一区”的建设为我市能源结构转型、科技创新和体制机制改革创造了良好的机遇，有利于解决</w:t>
      </w:r>
      <w:r>
        <w:t>我市经济</w:t>
      </w:r>
      <w:r>
        <w:rPr>
          <w:rFonts w:hint="eastAsia"/>
        </w:rPr>
        <w:t>增长</w:t>
      </w:r>
      <w:r>
        <w:t>与能耗双控目标不协调</w:t>
      </w:r>
      <w:r>
        <w:rPr>
          <w:rFonts w:hint="eastAsia"/>
        </w:rPr>
        <w:t>，</w:t>
      </w:r>
      <w:r>
        <w:t>可再生能源开发与消纳机制不匹配</w:t>
      </w:r>
      <w:r>
        <w:rPr>
          <w:rFonts w:hint="eastAsia"/>
        </w:rPr>
        <w:t>，</w:t>
      </w:r>
      <w:r>
        <w:t>工业燃料升级</w:t>
      </w:r>
      <w:r>
        <w:rPr>
          <w:rFonts w:hint="eastAsia"/>
        </w:rPr>
        <w:t>带动</w:t>
      </w:r>
      <w:r>
        <w:t>用能成本上升</w:t>
      </w:r>
      <w:r>
        <w:rPr>
          <w:rFonts w:hint="eastAsia"/>
        </w:rPr>
        <w:t>、</w:t>
      </w:r>
      <w:r>
        <w:t>城乡能源发展不平衡</w:t>
      </w:r>
      <w:r>
        <w:rPr>
          <w:rFonts w:hint="eastAsia"/>
        </w:rPr>
        <w:t>等</w:t>
      </w:r>
      <w:r>
        <w:t>一系列</w:t>
      </w:r>
      <w:r>
        <w:rPr>
          <w:rFonts w:hint="eastAsia"/>
        </w:rPr>
        <w:t>能源发展</w:t>
      </w:r>
      <w:r>
        <w:t>问题。</w:t>
      </w:r>
    </w:p>
    <w:p>
      <w:pPr>
        <w:pStyle w:val="4"/>
        <w:ind w:firstLine="643"/>
      </w:pPr>
      <w:r>
        <w:rPr>
          <w:rFonts w:hint="eastAsia"/>
        </w:rPr>
        <w:t>（一）</w:t>
      </w:r>
      <w:r>
        <w:t>能源</w:t>
      </w:r>
      <w:r>
        <w:rPr>
          <w:rFonts w:hint="eastAsia"/>
        </w:rPr>
        <w:t>战略转型创造新环境</w:t>
      </w:r>
    </w:p>
    <w:p>
      <w:pPr>
        <w:pStyle w:val="39"/>
        <w:ind w:firstLine="640"/>
      </w:pPr>
      <w:r>
        <w:t>“四个革命，一个合作”能源安全新战略指明了我国现代能源体系建设的方向和路径，提供了能源发展、转型、改革的巨大动力，有利于我市立足本土资源禀赋，优化用能结构和水平，构建</w:t>
      </w:r>
      <w:r>
        <w:rPr>
          <w:rFonts w:hint="eastAsia"/>
        </w:rPr>
        <w:t>“</w:t>
      </w:r>
      <w:r>
        <w:t>清洁低碳、安全高效</w:t>
      </w:r>
      <w:r>
        <w:rPr>
          <w:rFonts w:hint="eastAsia"/>
        </w:rPr>
        <w:t>、智能创新”</w:t>
      </w:r>
      <w:r>
        <w:t>的能源体系。国家乡村振兴战略，为我市加强农村</w:t>
      </w:r>
      <w:r>
        <w:rPr>
          <w:rFonts w:hint="eastAsia"/>
        </w:rPr>
        <w:t>能源</w:t>
      </w:r>
      <w:r>
        <w:t>基础设施建设，构建农村现代能源体系，探索建设农村能源革命示范区等提供了指导思想和政策保障。</w:t>
      </w:r>
      <w:r>
        <w:rPr>
          <w:rFonts w:hint="eastAsia"/>
        </w:rPr>
        <w:t>随着双碳工作的推进，“十四五”时期是全面加快推动“碳达峰”工作的关键期、窗口期，高比例可再生能源接入将成为未来能源电力系统发展的必然趋势，为我市保障大规模可再生能源经济、高效、安全并网提供了政策支持，有利于我市加快推进清洁能源发展。</w:t>
      </w:r>
    </w:p>
    <w:p>
      <w:pPr>
        <w:pStyle w:val="4"/>
        <w:ind w:firstLine="643"/>
      </w:pPr>
      <w:r>
        <w:rPr>
          <w:rFonts w:hint="eastAsia"/>
        </w:rPr>
        <w:t>（二）能源</w:t>
      </w:r>
      <w:r>
        <w:t>政策改革</w:t>
      </w:r>
      <w:r>
        <w:rPr>
          <w:rFonts w:hint="eastAsia"/>
        </w:rPr>
        <w:t>创造新机遇</w:t>
      </w:r>
    </w:p>
    <w:p>
      <w:pPr>
        <w:pStyle w:val="39"/>
        <w:ind w:firstLine="640"/>
      </w:pPr>
      <w:r>
        <w:t>“十四五”时期能源体制改革迈进深水区，国家加快构建有效竞争的市场结构和市场体系，形成主要由市场决定能源价格的机制。</w:t>
      </w:r>
      <w:r>
        <w:rPr>
          <w:rFonts w:hint="eastAsia"/>
        </w:rPr>
        <w:t>“放开两头、管住中间”的</w:t>
      </w:r>
      <w:r>
        <w:t>油气体制机制改革</w:t>
      </w:r>
      <w:r>
        <w:rPr>
          <w:rFonts w:hint="eastAsia"/>
        </w:rPr>
        <w:t>，有利于我市梳理辖区内城镇燃气管道供气环节，推动城镇燃气企业整合重组，积极纳入全市“一张网”布局，打造我市“X+1+X”的天然气市场体系。全省“县县通”工程建设，有利于我市全面加快油气基础设施建设，完善油气储运网络，同时为我市依法依规突破特许经营权限改善燃气营商环境，加快工业管道燃气建设，有序扩大用气规模，促进供需两侧双向降低用气成本提供了有利条件。电力市场建设等改革政策，</w:t>
      </w:r>
      <w:r>
        <w:t>有利于</w:t>
      </w:r>
      <w:r>
        <w:rPr>
          <w:rFonts w:hint="eastAsia"/>
        </w:rPr>
        <w:t>我市</w:t>
      </w:r>
      <w:r>
        <w:t>进一步</w:t>
      </w:r>
      <w:r>
        <w:rPr>
          <w:rFonts w:hint="eastAsia"/>
        </w:rPr>
        <w:t>完善</w:t>
      </w:r>
      <w:r>
        <w:t>用电定价机制</w:t>
      </w:r>
      <w:r>
        <w:rPr>
          <w:rFonts w:hint="eastAsia"/>
        </w:rPr>
        <w:t>，进一步减低用电成本</w:t>
      </w:r>
      <w:r>
        <w:t>。</w:t>
      </w:r>
    </w:p>
    <w:p>
      <w:pPr>
        <w:pStyle w:val="4"/>
        <w:ind w:firstLine="643"/>
      </w:pPr>
      <w:r>
        <w:rPr>
          <w:rFonts w:hint="eastAsia"/>
        </w:rPr>
        <w:t>（三）能源</w:t>
      </w:r>
      <w:r>
        <w:t>科技创新</w:t>
      </w:r>
      <w:r>
        <w:rPr>
          <w:rFonts w:hint="eastAsia"/>
        </w:rPr>
        <w:t>提供新动能</w:t>
      </w:r>
    </w:p>
    <w:p>
      <w:pPr>
        <w:pStyle w:val="39"/>
        <w:ind w:firstLine="640"/>
      </w:pPr>
      <w:r>
        <w:t>当前能源技术创新进入高度活跃期，新兴能源技术加快迭代，能源科技成果不断涌现，新能源发电、先进储能、氢能利用、能源互联网等具有重大产业变革前景的技术应运而生。未来随着技术创新进一步提高，光伏、风电成本将迅速下降，优势将明显体现</w:t>
      </w:r>
      <w:r>
        <w:rPr>
          <w:rFonts w:hint="eastAsia"/>
        </w:rPr>
        <w:t>，我市可再生能源资源条件优越，有较好的水能、风能、太阳能、生物质能资源，科学统筹协调好资源开发和环境保护的关系，</w:t>
      </w:r>
      <w:r>
        <w:t>把握</w:t>
      </w:r>
      <w:r>
        <w:rPr>
          <w:rFonts w:hint="eastAsia"/>
        </w:rPr>
        <w:t>能源低碳供应和</w:t>
      </w:r>
      <w:r>
        <w:t>可再生能源技术进步契机，</w:t>
      </w:r>
      <w:r>
        <w:rPr>
          <w:rFonts w:hint="eastAsia"/>
        </w:rPr>
        <w:t>挖掘可再生能源发展潜力</w:t>
      </w:r>
      <w:r>
        <w:t>。</w:t>
      </w:r>
    </w:p>
    <w:p>
      <w:pPr>
        <w:pStyle w:val="4"/>
        <w:ind w:firstLine="643"/>
      </w:pPr>
      <w:r>
        <w:rPr>
          <w:rFonts w:hint="eastAsia"/>
        </w:rPr>
        <w:t>（四）</w:t>
      </w:r>
      <w:r>
        <w:t>区位</w:t>
      </w:r>
      <w:r>
        <w:rPr>
          <w:rFonts w:hint="eastAsia"/>
        </w:rPr>
        <w:t>良好</w:t>
      </w:r>
      <w:r>
        <w:t>条件</w:t>
      </w:r>
      <w:r>
        <w:rPr>
          <w:rFonts w:hint="eastAsia"/>
        </w:rPr>
        <w:t>创造新保障</w:t>
      </w:r>
    </w:p>
    <w:p>
      <w:pPr>
        <w:pStyle w:val="39"/>
        <w:ind w:firstLine="640"/>
      </w:pPr>
      <w:r>
        <w:t>我市接壤广佛，紧邻粤港澳大湾区，具有优越的区位条件。广清两地交通和能源基础设施连接紧密，广清一体化发展具有天然优势，未来我市与周边地市的天然气管网、电网等连接不断加强，将有力保障清远能源的供应稳定和安全。以“广清一体化”多种产业协同发展模式为基础，充分利用湾区人才、科技、资本等优秀产业要素优势，有利于引领我市产业结构和用能结构转型升级，加快开发利用风、光、生物质等清洁能源，规模化发展清洁能源产业，培育新的增长点。</w:t>
      </w:r>
    </w:p>
    <w:p>
      <w:pPr>
        <w:pStyle w:val="39"/>
        <w:ind w:firstLine="640"/>
      </w:pPr>
    </w:p>
    <w:p>
      <w:pPr>
        <w:pStyle w:val="3"/>
        <w:rPr>
          <w:rFonts w:cs="Times New Roman"/>
        </w:rPr>
      </w:pPr>
      <w:bookmarkStart w:id="9" w:name="_Toc76568815"/>
      <w:r>
        <w:rPr>
          <w:rFonts w:cs="Times New Roman"/>
        </w:rPr>
        <w:t>第</w:t>
      </w:r>
      <w:r>
        <w:rPr>
          <w:rFonts w:hint="eastAsia" w:cs="Times New Roman"/>
        </w:rPr>
        <w:t>三</w:t>
      </w:r>
      <w:r>
        <w:rPr>
          <w:rFonts w:cs="Times New Roman"/>
        </w:rPr>
        <w:t>节  主要问题和挑战</w:t>
      </w:r>
      <w:bookmarkEnd w:id="9"/>
    </w:p>
    <w:p>
      <w:pPr>
        <w:pStyle w:val="4"/>
        <w:ind w:firstLine="643"/>
      </w:pPr>
      <w:r>
        <w:rPr>
          <w:rFonts w:hint="eastAsia"/>
        </w:rPr>
        <w:t>（一）</w:t>
      </w:r>
      <w:r>
        <w:t>能源供应保障压力长期存在</w:t>
      </w:r>
    </w:p>
    <w:p>
      <w:pPr>
        <w:pStyle w:val="39"/>
        <w:ind w:firstLine="640"/>
      </w:pPr>
      <w:r>
        <w:rPr>
          <w:rFonts w:hint="eastAsia"/>
        </w:rPr>
        <w:t>我市未来对能源的刚性需求仍然巨大，同时</w:t>
      </w:r>
      <w:r>
        <w:t>能源对外依存度高，</w:t>
      </w:r>
      <w:r>
        <w:rPr>
          <w:rFonts w:hint="eastAsia"/>
        </w:rPr>
        <w:t>煤、油、气均由市外调入，</w:t>
      </w:r>
      <w:r>
        <w:t>能源供应易受外部影响</w:t>
      </w:r>
      <w:r>
        <w:rPr>
          <w:rFonts w:hint="eastAsia"/>
        </w:rPr>
        <w:t>。</w:t>
      </w:r>
      <w:r>
        <w:t>电力需求稳步增长，</w:t>
      </w:r>
      <w:r>
        <w:rPr>
          <w:rFonts w:hint="eastAsia"/>
        </w:rPr>
        <w:t>但</w:t>
      </w:r>
      <w:r>
        <w:t>本土缺少骨干电源，近四分之三电力需求依靠外部电网保障；市内北部与南部出现电源与负荷分布错位，具有北部电网外送通道压力大与南部供电通道容量紧张、潮流控制困难并存的矛盾</w:t>
      </w:r>
      <w:r>
        <w:rPr>
          <w:rFonts w:hint="eastAsia"/>
        </w:rPr>
        <w:t>。天然气供应保障仍面临压力，随着气电的投产运行和陶瓷行业“煤改气”的完成，天然气消费量迅速上升，天然气的供应和价格易受外部因素影响；</w:t>
      </w:r>
      <w:r>
        <w:t>天然气管网规划统筹不足，工程</w:t>
      </w:r>
      <w:r>
        <w:rPr>
          <w:rFonts w:hint="eastAsia"/>
        </w:rPr>
        <w:t>协调工作量大</w:t>
      </w:r>
      <w:r>
        <w:t>，管网建设滞后</w:t>
      </w:r>
      <w:r>
        <w:rPr>
          <w:rFonts w:hint="eastAsia"/>
        </w:rPr>
        <w:t>，天然气应急储备能力不足</w:t>
      </w:r>
      <w:r>
        <w:t>。</w:t>
      </w:r>
    </w:p>
    <w:p>
      <w:pPr>
        <w:pStyle w:val="4"/>
        <w:ind w:firstLine="643"/>
      </w:pPr>
      <w:r>
        <w:rPr>
          <w:rFonts w:hint="eastAsia"/>
        </w:rPr>
        <w:t>（二）</w:t>
      </w:r>
      <w:r>
        <w:t>节能提效空间进一步压缩</w:t>
      </w:r>
    </w:p>
    <w:p>
      <w:pPr>
        <w:pStyle w:val="39"/>
        <w:ind w:firstLine="640"/>
      </w:pPr>
      <w:r>
        <w:rPr>
          <w:rFonts w:hint="eastAsia"/>
        </w:rPr>
        <w:t>我市</w:t>
      </w:r>
      <w:r>
        <w:t>能源消费存在持续增长与相对低产值之间的矛盾</w:t>
      </w:r>
      <w:r>
        <w:rPr>
          <w:rFonts w:hint="eastAsia"/>
        </w:rPr>
        <w:t>，</w:t>
      </w:r>
      <w:r>
        <w:t>节能提效空间有限</w:t>
      </w:r>
      <w:r>
        <w:rPr>
          <w:rFonts w:hint="eastAsia"/>
        </w:rPr>
        <w:t>，同时</w:t>
      </w:r>
      <w:r>
        <w:t>传统节能技术效用递减，未来技术节能空间面临挑战，节能效率的成本将急剧增加。钢铁等产业行业去产能工作临近收尾，存在诱发能耗快速反弹的较大风险。“十四五”期间神华国华200万千瓦电厂建成投产，减煤压力进一步增大。</w:t>
      </w:r>
    </w:p>
    <w:p>
      <w:pPr>
        <w:pStyle w:val="4"/>
        <w:ind w:firstLine="643"/>
      </w:pPr>
      <w:r>
        <w:rPr>
          <w:rFonts w:hint="eastAsia"/>
        </w:rPr>
        <w:t>（三）能源与生态环境协同发展有待提升</w:t>
      </w:r>
    </w:p>
    <w:p>
      <w:pPr>
        <w:pStyle w:val="39"/>
        <w:ind w:firstLine="640"/>
      </w:pPr>
      <w:r>
        <w:t>我国生态文明建设要求能源发展趋势按绿色发展方式演进，能源设施建设在用地、用水、排污、自然资源保护等方面会受到更多管控。在广东省“一核一带一区”区域发展新格局理念中，我市定位为北部生态发展区，是全省重要的生态屏障，主要以保护和修复生态环境、提供生态产品为首要任务，</w:t>
      </w:r>
      <w:r>
        <w:rPr>
          <w:rFonts w:hint="eastAsia"/>
        </w:rPr>
        <w:t>在不断强化的生态环保要求下，</w:t>
      </w:r>
      <w:r>
        <w:t>能源发展布局受到生态环境保护的严格约束。</w:t>
      </w:r>
    </w:p>
    <w:p>
      <w:pPr>
        <w:pStyle w:val="4"/>
        <w:ind w:firstLine="643"/>
      </w:pPr>
      <w:r>
        <w:rPr>
          <w:rFonts w:hint="eastAsia"/>
        </w:rPr>
        <w:t>（四）</w:t>
      </w:r>
      <w:r>
        <w:t>能源发展不平衡不充分问题突出</w:t>
      </w:r>
    </w:p>
    <w:p>
      <w:pPr>
        <w:pStyle w:val="39"/>
        <w:ind w:firstLine="640"/>
      </w:pPr>
      <w:r>
        <w:t>我市农村能源基础设施存在短板和瓶颈，区域</w:t>
      </w:r>
      <w:r>
        <w:rPr>
          <w:rFonts w:hint="eastAsia"/>
        </w:rPr>
        <w:t>之间</w:t>
      </w:r>
      <w:r>
        <w:t>能源发展不平衡，用能水平较低，未能</w:t>
      </w:r>
      <w:r>
        <w:rPr>
          <w:rFonts w:hint="eastAsia"/>
        </w:rPr>
        <w:t>充分</w:t>
      </w:r>
      <w:r>
        <w:t>共享能源普遍服务成果，现有能源设施水平和供应能力已不能充分满足人民群众日益增长的优质能源需求。受农村居民收入水平和能源技术制约，偏远农村生活能源仍以秸秆和薪柴等原始形态生物质低效利用为主，粗放的能源使用方式不仅导致了能源使用效率低下，也导致了大量的环境污染问题。近年来农村沼气综合利用和太阳能热水器利用取得了显著成绩，但在农村生活能源消费比例中所占比例很低，且增长乏力。天然气供应管道集中在市中心城区，北部“三连一阳”地区和广大农村地区尚欠缺管道燃气企业，天然气使用城乡差距明显，同时液化石油气供应</w:t>
      </w:r>
      <w:r>
        <w:rPr>
          <w:rFonts w:hint="eastAsia"/>
        </w:rPr>
        <w:t>还未充分覆盖</w:t>
      </w:r>
      <w:r>
        <w:t>。</w:t>
      </w:r>
    </w:p>
    <w:p>
      <w:pPr>
        <w:pStyle w:val="4"/>
        <w:ind w:firstLine="643"/>
      </w:pPr>
      <w:r>
        <w:rPr>
          <w:rFonts w:hint="eastAsia"/>
        </w:rPr>
        <w:t>（五）可再生能源发展和天然气价格体制不完善</w:t>
      </w:r>
    </w:p>
    <w:p>
      <w:pPr>
        <w:pStyle w:val="39"/>
        <w:ind w:firstLine="640"/>
      </w:pPr>
      <w:r>
        <w:rPr>
          <w:rFonts w:hint="eastAsia"/>
        </w:rPr>
        <w:t>现阶段，</w:t>
      </w:r>
      <w:r>
        <w:t>可再生能源电源建设和电网建设项目分别独立核准，规划协调机制不畅，电网送出工程建设在制度上滞后于可再生能源电源项目建设，建设周期不同造成电力送出困难</w:t>
      </w:r>
      <w:r>
        <w:rPr>
          <w:rFonts w:hint="eastAsia"/>
        </w:rPr>
        <w:t>，阻碍我市新能源进一步发展</w:t>
      </w:r>
      <w:r>
        <w:t>。</w:t>
      </w:r>
      <w:r>
        <w:rPr>
          <w:rFonts w:hint="eastAsia"/>
        </w:rPr>
        <w:t>我市天然气利用成本偏高，压缩企业生存空间，阻碍了天然气利用市场的扩大</w:t>
      </w:r>
      <w:r>
        <w:t>，未来需积极研究降低天然气价格的可行性途径。</w:t>
      </w:r>
    </w:p>
    <w:p>
      <w:pPr>
        <w:pStyle w:val="39"/>
        <w:ind w:firstLine="640"/>
      </w:pPr>
    </w:p>
    <w:bookmarkEnd w:id="7"/>
    <w:p>
      <w:pPr>
        <w:pStyle w:val="2"/>
        <w:widowControl w:val="0"/>
        <w:numPr>
          <w:ilvl w:val="0"/>
          <w:numId w:val="1"/>
        </w:numPr>
        <w:spacing w:before="300" w:after="200" w:line="560" w:lineRule="exact"/>
        <w:ind w:left="0" w:firstLine="0"/>
        <w:jc w:val="center"/>
        <w:rPr>
          <w:rFonts w:eastAsia="黑体"/>
          <w:b w:val="0"/>
          <w:color w:val="auto"/>
          <w:sz w:val="36"/>
          <w:szCs w:val="44"/>
        </w:rPr>
      </w:pPr>
      <w:r>
        <w:rPr>
          <w:rFonts w:hint="eastAsia" w:eastAsia="黑体"/>
          <w:b w:val="0"/>
          <w:color w:val="auto"/>
          <w:sz w:val="36"/>
          <w:szCs w:val="44"/>
        </w:rPr>
        <w:t xml:space="preserve"> </w:t>
      </w:r>
      <w:bookmarkStart w:id="10" w:name="_Toc76568816"/>
      <w:r>
        <w:rPr>
          <w:rFonts w:hint="eastAsia" w:eastAsia="黑体"/>
          <w:b w:val="0"/>
          <w:color w:val="auto"/>
          <w:sz w:val="36"/>
          <w:szCs w:val="44"/>
        </w:rPr>
        <w:t>总体要求</w:t>
      </w:r>
      <w:bookmarkEnd w:id="10"/>
    </w:p>
    <w:p>
      <w:pPr>
        <w:pStyle w:val="3"/>
        <w:rPr>
          <w:rFonts w:cs="Times New Roman"/>
        </w:rPr>
      </w:pPr>
      <w:bookmarkStart w:id="11" w:name="_Toc76568817"/>
      <w:r>
        <w:rPr>
          <w:rFonts w:cs="Times New Roman"/>
        </w:rPr>
        <w:t>第一节  指导思想</w:t>
      </w:r>
      <w:bookmarkEnd w:id="11"/>
    </w:p>
    <w:p>
      <w:pPr>
        <w:pStyle w:val="39"/>
        <w:ind w:firstLine="640"/>
      </w:pPr>
      <w:r>
        <w:rPr>
          <w:rFonts w:hint="eastAsia"/>
        </w:rPr>
        <w:t>坚持以习近平新时代中国特色社会主义思想为指导，全面贯彻党的十九大和十九届二中、三中、四中、五中全会精神，</w:t>
      </w:r>
      <w:r>
        <w:t>落实习近平总书记清远调研讲话精神，牢固树立“创新、协调、绿色、开发、共享”的</w:t>
      </w:r>
      <w:r>
        <w:rPr>
          <w:rFonts w:hint="eastAsia"/>
        </w:rPr>
        <w:t>新</w:t>
      </w:r>
      <w:r>
        <w:t>发展理念，落实“四个革命、一个合作”战略思想，</w:t>
      </w:r>
      <w:r>
        <w:rPr>
          <w:rFonts w:hint="eastAsia"/>
        </w:rPr>
        <w:t>积极响应并落实能源行业碳达峰、碳中和要求，</w:t>
      </w:r>
      <w:r>
        <w:t>紧密结合</w:t>
      </w:r>
      <w:r>
        <w:rPr>
          <w:rFonts w:hint="eastAsia"/>
        </w:rPr>
        <w:t>“双区”</w:t>
      </w:r>
      <w:r>
        <w:t>建设和“一核一带一区”新格局</w:t>
      </w:r>
      <w:bookmarkStart w:id="12" w:name="_Toc30169946"/>
      <w:r>
        <w:rPr>
          <w:rFonts w:hint="eastAsia"/>
        </w:rPr>
        <w:t>，抢抓</w:t>
      </w:r>
      <w:r>
        <w:t>广清一体化、入珠融湾的时代机遇</w:t>
      </w:r>
      <w:r>
        <w:rPr>
          <w:rFonts w:hint="eastAsia"/>
        </w:rPr>
        <w:t>，</w:t>
      </w:r>
      <w:r>
        <w:t>以提高能源自给水平和抗风险能力为主要抓手，</w:t>
      </w:r>
      <w:r>
        <w:rPr>
          <w:rFonts w:hint="eastAsia"/>
        </w:rPr>
        <w:t>补齐能源基础设施短板；以能源绿色低碳发展为关键，提高能源利用效率，优化能源结构；以创新为主要驱动力，积极推动能源技术创新和体制机制变革；</w:t>
      </w:r>
      <w:r>
        <w:t>以实施乡村振兴战略为契机，建设农村现代能源体系</w:t>
      </w:r>
      <w:r>
        <w:rPr>
          <w:rFonts w:hint="eastAsia"/>
        </w:rPr>
        <w:t>；全方位构建“清洁低碳、安全高效、智能创新”的现代能源体系，为清远市建成“环珠三角新兴产业与绿色产业聚集区、国际旅游悠闲城市和山水生态宜居城市”提供坚实支撑和保障。</w:t>
      </w:r>
    </w:p>
    <w:p>
      <w:pPr>
        <w:pStyle w:val="3"/>
        <w:rPr>
          <w:rFonts w:cs="Times New Roman"/>
        </w:rPr>
      </w:pPr>
      <w:bookmarkStart w:id="13" w:name="_Toc76568818"/>
      <w:r>
        <w:rPr>
          <w:rFonts w:cs="Times New Roman"/>
        </w:rPr>
        <w:t>第二节  基本原则</w:t>
      </w:r>
      <w:bookmarkEnd w:id="12"/>
      <w:bookmarkEnd w:id="13"/>
    </w:p>
    <w:p>
      <w:pPr>
        <w:pStyle w:val="4"/>
        <w:ind w:firstLine="643"/>
      </w:pPr>
      <w:r>
        <w:t>——保障供应，安全发展</w:t>
      </w:r>
    </w:p>
    <w:p>
      <w:pPr>
        <w:pStyle w:val="39"/>
        <w:ind w:firstLine="640"/>
      </w:pPr>
      <w:r>
        <w:t>着力补强能源供应链的短板和弱项，抓紧抓实抓细保供措施，完善能源应急保障机制，切实提高能源安全保障能力和风险管控应对能力。切实保障经济社会发展的合理用能需求，尤其要重点保障关乎民生的重点领域、基础产业和公共服务单位等方面的能源供应。</w:t>
      </w:r>
    </w:p>
    <w:p>
      <w:pPr>
        <w:pStyle w:val="4"/>
        <w:ind w:firstLine="643"/>
      </w:pPr>
      <w:r>
        <w:t>——多能互补，多元发展</w:t>
      </w:r>
    </w:p>
    <w:p>
      <w:pPr>
        <w:pStyle w:val="39"/>
        <w:ind w:firstLine="640"/>
      </w:pPr>
      <w:r>
        <w:t>加强能源供应基础设施建设，科学有序发展煤电、扩大天然气利用规模，高质量多元化发展可再生能源，实现传统能源与新能源</w:t>
      </w:r>
      <w:r>
        <w:rPr>
          <w:rFonts w:hint="eastAsia"/>
        </w:rPr>
        <w:t>并行</w:t>
      </w:r>
      <w:r>
        <w:t>发展，构建多元化能源供应体系。</w:t>
      </w:r>
    </w:p>
    <w:p>
      <w:pPr>
        <w:pStyle w:val="4"/>
        <w:ind w:firstLine="643"/>
      </w:pPr>
      <w:r>
        <w:t>——高效利用、绿色发展</w:t>
      </w:r>
    </w:p>
    <w:p>
      <w:pPr>
        <w:pStyle w:val="39"/>
        <w:ind w:firstLine="640"/>
      </w:pPr>
      <w:r>
        <w:t>加快产业结构转型，提高能源利用效率，促进结构性、系统性节能和产业化、设备化降耗全面发展，带动生产生活节能意识主动化、常规化转变。坚持清洁低碳战略方向不动摇，坚持开发利用与经济、社会和环境相协调</w:t>
      </w:r>
      <w:r>
        <w:rPr>
          <w:rFonts w:hint="eastAsia"/>
        </w:rPr>
        <w:t>，</w:t>
      </w:r>
      <w:r>
        <w:t>积极探索，先行先试，构建以绿色低碳为特征的能源生产消费模式，推动绿色低碳的生产生活方式。</w:t>
      </w:r>
    </w:p>
    <w:p>
      <w:pPr>
        <w:pStyle w:val="4"/>
        <w:ind w:firstLine="643"/>
      </w:pPr>
      <w:r>
        <w:t>——开放共享、融合发展</w:t>
      </w:r>
    </w:p>
    <w:p>
      <w:pPr>
        <w:pStyle w:val="39"/>
        <w:ind w:firstLine="640"/>
      </w:pPr>
      <w:bookmarkStart w:id="14" w:name="_Toc30169947"/>
      <w:r>
        <w:t>抓住广清一体化、入珠融湾的时代机遇，进一步拓宽地区间能源合作领域，构建开放共赢，互利互惠的能源合作利益共同体。</w:t>
      </w:r>
      <w:r>
        <w:rPr>
          <w:rFonts w:hint="eastAsia"/>
        </w:rPr>
        <w:t>推进能源科技创新，增强能源发展的动力，加强基础设施智慧融合，推动能源和与信息、交通、建筑等基础设施的融合共建，促进能源发展转型升级。</w:t>
      </w:r>
    </w:p>
    <w:p>
      <w:pPr>
        <w:pStyle w:val="4"/>
        <w:ind w:firstLine="643"/>
      </w:pPr>
      <w:r>
        <w:t>——民生优先，惠民利民</w:t>
      </w:r>
    </w:p>
    <w:p>
      <w:pPr>
        <w:pStyle w:val="39"/>
        <w:ind w:firstLine="640"/>
      </w:pPr>
      <w:r>
        <w:t>牢记初心使命，以满足人民群众美好生活需要为出发点和落脚点，深入推进贫困地区能源资源开发利用，加大民生用能基础设施投入，加快能源惠民利民工程建设，推动能源公共服务向农村延伸、向贫困地区延伸，统筹做好能源领域脱贫攻坚和乡村振兴各项工作。</w:t>
      </w:r>
    </w:p>
    <w:p>
      <w:pPr>
        <w:pStyle w:val="3"/>
        <w:rPr>
          <w:rFonts w:cs="Times New Roman"/>
        </w:rPr>
      </w:pPr>
      <w:bookmarkStart w:id="15" w:name="_Toc76568819"/>
      <w:r>
        <w:rPr>
          <w:rFonts w:cs="Times New Roman"/>
        </w:rPr>
        <w:t>第三节  发展目标</w:t>
      </w:r>
      <w:bookmarkEnd w:id="2"/>
      <w:bookmarkEnd w:id="3"/>
      <w:bookmarkEnd w:id="6"/>
      <w:bookmarkEnd w:id="14"/>
      <w:bookmarkEnd w:id="15"/>
    </w:p>
    <w:p>
      <w:pPr>
        <w:pStyle w:val="39"/>
        <w:ind w:firstLine="640"/>
      </w:pPr>
      <w:r>
        <w:t>经过“十四五”时期的建设及发展，全市能源基础设施进一步完善，能源供应安全保障显著增强，能源利用更加高效，能源消费总量得到有效控制，进一步建成以“清洁低碳、安全高效</w:t>
      </w:r>
      <w:r>
        <w:rPr>
          <w:rFonts w:hint="eastAsia"/>
        </w:rPr>
        <w:t>、智能创新</w:t>
      </w:r>
      <w:r>
        <w:t>”为总目标的现代能源体系。</w:t>
      </w:r>
    </w:p>
    <w:p>
      <w:pPr>
        <w:pStyle w:val="39"/>
        <w:ind w:firstLine="643"/>
        <w:rPr>
          <w:highlight w:val="none"/>
        </w:rPr>
      </w:pPr>
      <w:r>
        <w:rPr>
          <w:b/>
        </w:rPr>
        <w:t>——能源总</w:t>
      </w:r>
      <w:r>
        <w:rPr>
          <w:b/>
          <w:highlight w:val="none"/>
        </w:rPr>
        <w:t>量</w:t>
      </w:r>
      <w:r>
        <w:rPr>
          <w:rFonts w:hint="eastAsia"/>
          <w:b/>
          <w:highlight w:val="none"/>
        </w:rPr>
        <w:t>方面</w:t>
      </w:r>
      <w:r>
        <w:rPr>
          <w:b/>
          <w:highlight w:val="none"/>
        </w:rPr>
        <w:t>。</w:t>
      </w:r>
      <w:r>
        <w:rPr>
          <w:highlight w:val="none"/>
        </w:rPr>
        <w:t>全市能源消费总量控制在</w:t>
      </w:r>
      <w:r>
        <w:rPr>
          <w:rFonts w:hint="eastAsia"/>
          <w:highlight w:val="none"/>
        </w:rPr>
        <w:t>1595</w:t>
      </w:r>
      <w:r>
        <w:rPr>
          <w:highlight w:val="none"/>
        </w:rPr>
        <w:t>万吨标准煤以内，煤炭消费总量控制在</w:t>
      </w:r>
      <w:r>
        <w:rPr>
          <w:rFonts w:hint="eastAsia"/>
          <w:color w:val="auto"/>
          <w:highlight w:val="none"/>
        </w:rPr>
        <w:t>785</w:t>
      </w:r>
      <w:r>
        <w:rPr>
          <w:color w:val="auto"/>
          <w:highlight w:val="none"/>
        </w:rPr>
        <w:t>万</w:t>
      </w:r>
      <w:r>
        <w:rPr>
          <w:highlight w:val="none"/>
        </w:rPr>
        <w:t>吨以内，天然气消费量预计27亿立方米，全社会用电量预计334亿千瓦时。</w:t>
      </w:r>
    </w:p>
    <w:p>
      <w:pPr>
        <w:pStyle w:val="39"/>
        <w:ind w:firstLine="643"/>
        <w:rPr>
          <w:highlight w:val="none"/>
        </w:rPr>
      </w:pPr>
      <w:r>
        <w:rPr>
          <w:b/>
          <w:highlight w:val="none"/>
        </w:rPr>
        <w:t>——能源效率</w:t>
      </w:r>
      <w:r>
        <w:rPr>
          <w:rFonts w:hint="eastAsia"/>
          <w:b/>
          <w:highlight w:val="none"/>
        </w:rPr>
        <w:t>方面</w:t>
      </w:r>
      <w:r>
        <w:rPr>
          <w:b/>
          <w:highlight w:val="none"/>
        </w:rPr>
        <w:t>。</w:t>
      </w:r>
      <w:r>
        <w:rPr>
          <w:rFonts w:hint="eastAsia"/>
          <w:highlight w:val="none"/>
        </w:rPr>
        <w:t>“十四五”期间，</w:t>
      </w:r>
      <w:r>
        <w:rPr>
          <w:highlight w:val="none"/>
        </w:rPr>
        <w:t>单位GDP能耗</w:t>
      </w:r>
      <w:r>
        <w:rPr>
          <w:rFonts w:hint="eastAsia"/>
          <w:highlight w:val="none"/>
        </w:rPr>
        <w:t>累计</w:t>
      </w:r>
      <w:r>
        <w:rPr>
          <w:highlight w:val="none"/>
        </w:rPr>
        <w:t>下降</w:t>
      </w:r>
      <w:r>
        <w:rPr>
          <w:rFonts w:hint="eastAsia"/>
          <w:highlight w:val="none"/>
        </w:rPr>
        <w:t>率完成广东省分解任务</w:t>
      </w:r>
      <w:r>
        <w:rPr>
          <w:highlight w:val="none"/>
        </w:rPr>
        <w:t>。</w:t>
      </w:r>
    </w:p>
    <w:p>
      <w:pPr>
        <w:pStyle w:val="39"/>
        <w:ind w:firstLine="643"/>
        <w:rPr>
          <w:highlight w:val="none"/>
        </w:rPr>
      </w:pPr>
      <w:r>
        <w:rPr>
          <w:b/>
          <w:highlight w:val="none"/>
        </w:rPr>
        <w:t>——</w:t>
      </w:r>
      <w:r>
        <w:rPr>
          <w:rFonts w:hint="eastAsia"/>
          <w:b/>
          <w:highlight w:val="none"/>
        </w:rPr>
        <w:t>低碳目标方面</w:t>
      </w:r>
      <w:r>
        <w:rPr>
          <w:b/>
          <w:highlight w:val="none"/>
        </w:rPr>
        <w:t>。</w:t>
      </w:r>
      <w:r>
        <w:rPr>
          <w:highlight w:val="none"/>
        </w:rPr>
        <w:t>“十四五”期间，</w:t>
      </w:r>
      <w:r>
        <w:rPr>
          <w:rFonts w:hint="eastAsia"/>
          <w:highlight w:val="none"/>
        </w:rPr>
        <w:t>单位GDP二氧化碳排放量累计下降率完成广东省分解任务。</w:t>
      </w:r>
    </w:p>
    <w:p>
      <w:pPr>
        <w:pStyle w:val="39"/>
        <w:ind w:firstLine="643"/>
        <w:rPr>
          <w:highlight w:val="none"/>
        </w:rPr>
      </w:pPr>
      <w:r>
        <w:rPr>
          <w:b/>
          <w:highlight w:val="none"/>
        </w:rPr>
        <w:t>——能源结构</w:t>
      </w:r>
      <w:r>
        <w:rPr>
          <w:rFonts w:hint="eastAsia"/>
          <w:b/>
          <w:highlight w:val="none"/>
        </w:rPr>
        <w:t>方面</w:t>
      </w:r>
      <w:r>
        <w:rPr>
          <w:b/>
          <w:highlight w:val="none"/>
        </w:rPr>
        <w:t>。</w:t>
      </w:r>
      <w:r>
        <w:rPr>
          <w:rFonts w:hint="eastAsia"/>
          <w:highlight w:val="none"/>
        </w:rPr>
        <w:t>到2025年，能源消费总量中</w:t>
      </w:r>
      <w:r>
        <w:rPr>
          <w:highlight w:val="none"/>
        </w:rPr>
        <w:t>天然气消费比重力争达到22%，煤品消费比重控制在35%以内，</w:t>
      </w:r>
      <w:r>
        <w:rPr>
          <w:rFonts w:hint="eastAsia"/>
          <w:highlight w:val="none"/>
        </w:rPr>
        <w:t>非化石能源占比达到35%。</w:t>
      </w:r>
    </w:p>
    <w:p>
      <w:pPr>
        <w:pStyle w:val="39"/>
        <w:ind w:firstLine="643"/>
      </w:pPr>
      <w:r>
        <w:rPr>
          <w:b/>
          <w:highlight w:val="none"/>
        </w:rPr>
        <w:t>——能源</w:t>
      </w:r>
      <w:r>
        <w:rPr>
          <w:rFonts w:hint="eastAsia"/>
          <w:b/>
          <w:highlight w:val="none"/>
        </w:rPr>
        <w:t>保障方面</w:t>
      </w:r>
      <w:r>
        <w:rPr>
          <w:b/>
          <w:highlight w:val="none"/>
        </w:rPr>
        <w:t>。</w:t>
      </w:r>
      <w:r>
        <w:rPr>
          <w:highlight w:val="none"/>
        </w:rPr>
        <w:t>能源供应稳步增长，能源基础设施更加完善，能源综合生产能力达到</w:t>
      </w:r>
      <w:r>
        <w:rPr>
          <w:rFonts w:hint="eastAsia"/>
          <w:highlight w:val="none"/>
        </w:rPr>
        <w:t>300</w:t>
      </w:r>
      <w:r>
        <w:rPr>
          <w:highlight w:val="none"/>
        </w:rPr>
        <w:t>万吨标准煤，</w:t>
      </w:r>
      <w:r>
        <w:rPr>
          <w:rFonts w:hint="eastAsia"/>
          <w:highlight w:val="none"/>
        </w:rPr>
        <w:t>全市电力装机容量达到</w:t>
      </w:r>
      <w:r>
        <w:rPr>
          <w:highlight w:val="none"/>
        </w:rPr>
        <w:t>1207万千瓦，天然气供应能力达到3</w:t>
      </w:r>
      <w:r>
        <w:t>0亿立方米/年</w:t>
      </w:r>
      <w:r>
        <w:rPr>
          <w:rFonts w:hint="eastAsia"/>
        </w:rPr>
        <w:t>，天然气储备能力达到</w:t>
      </w:r>
      <w:r>
        <w:t>500</w:t>
      </w:r>
      <w:r>
        <w:rPr>
          <w:rFonts w:hint="eastAsia"/>
        </w:rPr>
        <w:t>万立方米，</w:t>
      </w:r>
      <w:r>
        <w:t>供电可靠性达到99.95%。</w:t>
      </w:r>
    </w:p>
    <w:p>
      <w:pPr>
        <w:pStyle w:val="39"/>
        <w:ind w:firstLine="643"/>
      </w:pPr>
      <w:r>
        <w:rPr>
          <w:b/>
        </w:rPr>
        <w:t>——民生用能</w:t>
      </w:r>
      <w:r>
        <w:rPr>
          <w:rFonts w:hint="eastAsia"/>
          <w:b/>
        </w:rPr>
        <w:t>方面</w:t>
      </w:r>
      <w:r>
        <w:rPr>
          <w:b/>
        </w:rPr>
        <w:t>。</w:t>
      </w:r>
      <w:r>
        <w:t>人均生活用能达到0.52吨标准煤/人·年，人均生活用电量达到1125千瓦时/人·年，人均生活用气达到20立方米/人·年。在市内各区域及城际高速公路服务区建成约2000个充电桩。</w:t>
      </w:r>
    </w:p>
    <w:p>
      <w:pPr>
        <w:spacing w:line="240" w:lineRule="auto"/>
        <w:jc w:val="left"/>
        <w:rPr>
          <w:rFonts w:eastAsia="仿宋_GB2312"/>
          <w:color w:val="000000"/>
          <w:sz w:val="32"/>
          <w:szCs w:val="32"/>
        </w:rPr>
      </w:pPr>
      <w:r>
        <w:br w:type="page"/>
      </w:r>
    </w:p>
    <w:p>
      <w:pPr>
        <w:pStyle w:val="39"/>
        <w:ind w:firstLine="640"/>
      </w:pPr>
    </w:p>
    <w:tbl>
      <w:tblPr>
        <w:tblStyle w:val="25"/>
        <w:tblW w:w="9073"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409"/>
        <w:gridCol w:w="1559"/>
        <w:gridCol w:w="993"/>
        <w:gridCol w:w="993"/>
        <w:gridCol w:w="1417"/>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073" w:type="dxa"/>
            <w:gridSpan w:val="7"/>
            <w:vAlign w:val="center"/>
          </w:tcPr>
          <w:p>
            <w:pPr>
              <w:widowControl w:val="0"/>
              <w:adjustRightInd w:val="0"/>
              <w:snapToGrid w:val="0"/>
              <w:spacing w:line="240" w:lineRule="auto"/>
              <w:ind w:firstLine="482" w:firstLineChars="200"/>
              <w:jc w:val="center"/>
              <w:rPr>
                <w:rFonts w:eastAsia="仿宋_GB2312"/>
                <w:b/>
                <w:color w:val="000000"/>
                <w:sz w:val="24"/>
              </w:rPr>
            </w:pPr>
            <w:r>
              <w:rPr>
                <w:rFonts w:eastAsia="仿宋_GB2312"/>
                <w:b/>
                <w:color w:val="000000"/>
                <w:sz w:val="24"/>
              </w:rPr>
              <w:t>专栏2 “十四五”清远市能源发展主要指标体系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pStyle w:val="80"/>
              <w:widowControl w:val="0"/>
              <w:spacing w:line="240" w:lineRule="atLeast"/>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类别</w:t>
            </w:r>
          </w:p>
        </w:tc>
        <w:tc>
          <w:tcPr>
            <w:tcW w:w="2409" w:type="dxa"/>
            <w:vAlign w:val="center"/>
          </w:tcPr>
          <w:p>
            <w:pPr>
              <w:pStyle w:val="80"/>
              <w:widowControl w:val="0"/>
              <w:spacing w:line="240" w:lineRule="atLeast"/>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指标</w:t>
            </w:r>
          </w:p>
        </w:tc>
        <w:tc>
          <w:tcPr>
            <w:tcW w:w="1559" w:type="dxa"/>
            <w:vAlign w:val="center"/>
          </w:tcPr>
          <w:p>
            <w:pPr>
              <w:pStyle w:val="80"/>
              <w:widowControl w:val="0"/>
              <w:spacing w:line="240" w:lineRule="atLeast"/>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单位</w:t>
            </w:r>
          </w:p>
        </w:tc>
        <w:tc>
          <w:tcPr>
            <w:tcW w:w="993" w:type="dxa"/>
            <w:vAlign w:val="center"/>
          </w:tcPr>
          <w:p>
            <w:pPr>
              <w:pStyle w:val="80"/>
              <w:widowControl w:val="0"/>
              <w:spacing w:line="240" w:lineRule="atLeast"/>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2020年</w:t>
            </w:r>
          </w:p>
        </w:tc>
        <w:tc>
          <w:tcPr>
            <w:tcW w:w="993" w:type="dxa"/>
            <w:vAlign w:val="center"/>
          </w:tcPr>
          <w:p>
            <w:pPr>
              <w:pStyle w:val="80"/>
              <w:widowControl w:val="0"/>
              <w:spacing w:line="240" w:lineRule="atLeast"/>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2025年</w:t>
            </w:r>
          </w:p>
        </w:tc>
        <w:tc>
          <w:tcPr>
            <w:tcW w:w="1417" w:type="dxa"/>
            <w:vAlign w:val="center"/>
          </w:tcPr>
          <w:p>
            <w:pPr>
              <w:pStyle w:val="80"/>
              <w:widowControl w:val="0"/>
              <w:spacing w:line="240" w:lineRule="atLeast"/>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年均增长[累计]</w:t>
            </w:r>
          </w:p>
        </w:tc>
        <w:tc>
          <w:tcPr>
            <w:tcW w:w="993" w:type="dxa"/>
            <w:vAlign w:val="center"/>
          </w:tcPr>
          <w:p>
            <w:pPr>
              <w:pStyle w:val="80"/>
              <w:widowControl w:val="0"/>
              <w:spacing w:line="240" w:lineRule="atLeast"/>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指标属性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Merge w:val="restart"/>
            <w:vAlign w:val="center"/>
          </w:tcPr>
          <w:p>
            <w:pPr>
              <w:pStyle w:val="80"/>
              <w:widowControl w:val="0"/>
              <w:spacing w:line="240" w:lineRule="atLeast"/>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总量目标</w:t>
            </w:r>
          </w:p>
        </w:tc>
        <w:tc>
          <w:tcPr>
            <w:tcW w:w="2409" w:type="dxa"/>
            <w:vAlign w:val="center"/>
          </w:tcPr>
          <w:p>
            <w:pPr>
              <w:pStyle w:val="80"/>
              <w:widowControl w:val="0"/>
              <w:spacing w:line="240" w:lineRule="atLeast"/>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能源消费总量</w:t>
            </w:r>
          </w:p>
        </w:tc>
        <w:tc>
          <w:tcPr>
            <w:tcW w:w="1559" w:type="dxa"/>
            <w:vAlign w:val="center"/>
          </w:tcPr>
          <w:p>
            <w:pPr>
              <w:pStyle w:val="80"/>
              <w:widowControl w:val="0"/>
              <w:spacing w:line="240" w:lineRule="atLeast"/>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万吨标准煤</w:t>
            </w:r>
          </w:p>
        </w:tc>
        <w:tc>
          <w:tcPr>
            <w:tcW w:w="993" w:type="dxa"/>
            <w:vAlign w:val="center"/>
          </w:tcPr>
          <w:p>
            <w:pPr>
              <w:pStyle w:val="80"/>
              <w:widowControl w:val="0"/>
              <w:spacing w:line="240" w:lineRule="atLeast"/>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1393</w:t>
            </w:r>
          </w:p>
        </w:tc>
        <w:tc>
          <w:tcPr>
            <w:tcW w:w="993" w:type="dxa"/>
            <w:vAlign w:val="center"/>
          </w:tcPr>
          <w:p>
            <w:pPr>
              <w:pStyle w:val="80"/>
              <w:widowControl w:val="0"/>
              <w:spacing w:line="240" w:lineRule="atLeast"/>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1595</w:t>
            </w:r>
          </w:p>
        </w:tc>
        <w:tc>
          <w:tcPr>
            <w:tcW w:w="1417" w:type="dxa"/>
            <w:vAlign w:val="center"/>
          </w:tcPr>
          <w:p>
            <w:pPr>
              <w:pStyle w:val="80"/>
              <w:widowControl w:val="0"/>
              <w:spacing w:line="240" w:lineRule="atLeast"/>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3</w:t>
            </w:r>
            <w:r>
              <w:rPr>
                <w:rFonts w:hint="eastAsia" w:ascii="Times New Roman" w:hAnsi="Times New Roman" w:eastAsia="仿宋_GB2312" w:cs="Times New Roman"/>
                <w:sz w:val="24"/>
                <w:szCs w:val="24"/>
                <w:lang w:eastAsia="zh-CN"/>
              </w:rPr>
              <w:t>%</w:t>
            </w:r>
          </w:p>
        </w:tc>
        <w:tc>
          <w:tcPr>
            <w:tcW w:w="993" w:type="dxa"/>
            <w:vAlign w:val="center"/>
          </w:tcPr>
          <w:p>
            <w:pPr>
              <w:pStyle w:val="80"/>
              <w:widowControl w:val="0"/>
              <w:spacing w:line="240" w:lineRule="atLeast"/>
              <w:jc w:val="center"/>
              <w:rPr>
                <w:rFonts w:ascii="Times New Roman" w:hAnsi="Times New Roman" w:eastAsia="仿宋_GB2312" w:cs="Times New Roman"/>
                <w:b/>
                <w:sz w:val="24"/>
                <w:szCs w:val="24"/>
                <w:lang w:eastAsia="zh-CN"/>
              </w:rPr>
            </w:pPr>
            <w:r>
              <w:rPr>
                <w:rFonts w:ascii="Times New Roman" w:hAnsi="Times New Roman" w:eastAsia="仿宋_GB2312" w:cs="Times New Roman"/>
                <w:sz w:val="24"/>
                <w:szCs w:val="24"/>
                <w:lang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Merge w:val="continue"/>
            <w:vAlign w:val="center"/>
          </w:tcPr>
          <w:p>
            <w:pPr>
              <w:pStyle w:val="80"/>
              <w:widowControl w:val="0"/>
              <w:spacing w:line="240" w:lineRule="atLeast"/>
              <w:jc w:val="center"/>
              <w:rPr>
                <w:rFonts w:ascii="Times New Roman" w:hAnsi="Times New Roman" w:eastAsia="仿宋_GB2312" w:cs="Times New Roman"/>
                <w:sz w:val="24"/>
                <w:szCs w:val="24"/>
                <w:lang w:eastAsia="zh-CN"/>
              </w:rPr>
            </w:pPr>
          </w:p>
        </w:tc>
        <w:tc>
          <w:tcPr>
            <w:tcW w:w="2409" w:type="dxa"/>
            <w:vAlign w:val="center"/>
          </w:tcPr>
          <w:p>
            <w:pPr>
              <w:pStyle w:val="80"/>
              <w:widowControl w:val="0"/>
              <w:spacing w:line="240" w:lineRule="atLeast"/>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煤炭消费总量</w:t>
            </w:r>
          </w:p>
        </w:tc>
        <w:tc>
          <w:tcPr>
            <w:tcW w:w="1559" w:type="dxa"/>
            <w:vAlign w:val="center"/>
          </w:tcPr>
          <w:p>
            <w:pPr>
              <w:pStyle w:val="80"/>
              <w:widowControl w:val="0"/>
              <w:spacing w:line="240" w:lineRule="atLeast"/>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万吨</w:t>
            </w:r>
          </w:p>
        </w:tc>
        <w:tc>
          <w:tcPr>
            <w:tcW w:w="993" w:type="dxa"/>
            <w:vAlign w:val="center"/>
          </w:tcPr>
          <w:p>
            <w:pPr>
              <w:pStyle w:val="80"/>
              <w:widowControl w:val="0"/>
              <w:spacing w:line="240" w:lineRule="atLeast"/>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581</w:t>
            </w:r>
          </w:p>
        </w:tc>
        <w:tc>
          <w:tcPr>
            <w:tcW w:w="993" w:type="dxa"/>
            <w:vAlign w:val="center"/>
          </w:tcPr>
          <w:p>
            <w:pPr>
              <w:pStyle w:val="80"/>
              <w:widowControl w:val="0"/>
              <w:spacing w:line="240" w:lineRule="atLeast"/>
              <w:jc w:val="center"/>
              <w:rPr>
                <w:rFonts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785</w:t>
            </w:r>
          </w:p>
        </w:tc>
        <w:tc>
          <w:tcPr>
            <w:tcW w:w="1417" w:type="dxa"/>
            <w:vAlign w:val="center"/>
          </w:tcPr>
          <w:p>
            <w:pPr>
              <w:pStyle w:val="80"/>
              <w:widowControl w:val="0"/>
              <w:spacing w:line="240" w:lineRule="atLeast"/>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[204]</w:t>
            </w:r>
          </w:p>
        </w:tc>
        <w:tc>
          <w:tcPr>
            <w:tcW w:w="993" w:type="dxa"/>
            <w:vAlign w:val="center"/>
          </w:tcPr>
          <w:p>
            <w:pPr>
              <w:pStyle w:val="80"/>
              <w:widowControl w:val="0"/>
              <w:spacing w:line="240" w:lineRule="atLeast"/>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Merge w:val="continue"/>
            <w:vAlign w:val="center"/>
          </w:tcPr>
          <w:p>
            <w:pPr>
              <w:pStyle w:val="80"/>
              <w:widowControl w:val="0"/>
              <w:spacing w:line="240" w:lineRule="atLeast"/>
              <w:jc w:val="center"/>
              <w:rPr>
                <w:rFonts w:ascii="Times New Roman" w:hAnsi="Times New Roman" w:eastAsia="仿宋_GB2312" w:cs="Times New Roman"/>
                <w:sz w:val="24"/>
                <w:szCs w:val="24"/>
                <w:lang w:eastAsia="zh-CN"/>
              </w:rPr>
            </w:pPr>
          </w:p>
        </w:tc>
        <w:tc>
          <w:tcPr>
            <w:tcW w:w="2409" w:type="dxa"/>
            <w:vAlign w:val="center"/>
          </w:tcPr>
          <w:p>
            <w:pPr>
              <w:pStyle w:val="80"/>
              <w:widowControl w:val="0"/>
              <w:spacing w:line="240" w:lineRule="atLeast"/>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天然气消费总量</w:t>
            </w:r>
          </w:p>
        </w:tc>
        <w:tc>
          <w:tcPr>
            <w:tcW w:w="1559" w:type="dxa"/>
            <w:vAlign w:val="center"/>
          </w:tcPr>
          <w:p>
            <w:pPr>
              <w:pStyle w:val="80"/>
              <w:widowControl w:val="0"/>
              <w:spacing w:line="240" w:lineRule="atLeast"/>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亿立方米</w:t>
            </w:r>
          </w:p>
        </w:tc>
        <w:tc>
          <w:tcPr>
            <w:tcW w:w="993" w:type="dxa"/>
            <w:vAlign w:val="center"/>
          </w:tcPr>
          <w:p>
            <w:pPr>
              <w:pStyle w:val="80"/>
              <w:widowControl w:val="0"/>
              <w:spacing w:line="240" w:lineRule="atLeast"/>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5</w:t>
            </w:r>
          </w:p>
        </w:tc>
        <w:tc>
          <w:tcPr>
            <w:tcW w:w="993" w:type="dxa"/>
            <w:vAlign w:val="center"/>
          </w:tcPr>
          <w:p>
            <w:pPr>
              <w:pStyle w:val="80"/>
              <w:widowControl w:val="0"/>
              <w:spacing w:line="240" w:lineRule="atLeast"/>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27</w:t>
            </w:r>
          </w:p>
        </w:tc>
        <w:tc>
          <w:tcPr>
            <w:tcW w:w="1417" w:type="dxa"/>
            <w:vAlign w:val="center"/>
          </w:tcPr>
          <w:p>
            <w:pPr>
              <w:pStyle w:val="80"/>
              <w:widowControl w:val="0"/>
              <w:spacing w:line="240" w:lineRule="atLeast"/>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[22]</w:t>
            </w:r>
          </w:p>
        </w:tc>
        <w:tc>
          <w:tcPr>
            <w:tcW w:w="993" w:type="dxa"/>
            <w:vAlign w:val="center"/>
          </w:tcPr>
          <w:p>
            <w:pPr>
              <w:pStyle w:val="80"/>
              <w:widowControl w:val="0"/>
              <w:spacing w:line="240" w:lineRule="atLeast"/>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Merge w:val="continue"/>
            <w:vAlign w:val="center"/>
          </w:tcPr>
          <w:p>
            <w:pPr>
              <w:pStyle w:val="80"/>
              <w:widowControl w:val="0"/>
              <w:spacing w:line="240" w:lineRule="atLeast"/>
              <w:jc w:val="center"/>
              <w:rPr>
                <w:rFonts w:ascii="Times New Roman" w:hAnsi="Times New Roman" w:eastAsia="仿宋_GB2312" w:cs="Times New Roman"/>
                <w:sz w:val="24"/>
                <w:szCs w:val="24"/>
                <w:lang w:eastAsia="zh-CN"/>
              </w:rPr>
            </w:pPr>
          </w:p>
        </w:tc>
        <w:tc>
          <w:tcPr>
            <w:tcW w:w="2409" w:type="dxa"/>
            <w:vAlign w:val="center"/>
          </w:tcPr>
          <w:p>
            <w:pPr>
              <w:pStyle w:val="80"/>
              <w:widowControl w:val="0"/>
              <w:spacing w:line="240" w:lineRule="atLeast"/>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全社会用电量</w:t>
            </w:r>
          </w:p>
        </w:tc>
        <w:tc>
          <w:tcPr>
            <w:tcW w:w="1559" w:type="dxa"/>
            <w:vAlign w:val="center"/>
          </w:tcPr>
          <w:p>
            <w:pPr>
              <w:pStyle w:val="80"/>
              <w:widowControl w:val="0"/>
              <w:spacing w:line="240" w:lineRule="atLeast"/>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亿千瓦时</w:t>
            </w:r>
          </w:p>
        </w:tc>
        <w:tc>
          <w:tcPr>
            <w:tcW w:w="993" w:type="dxa"/>
            <w:vAlign w:val="center"/>
          </w:tcPr>
          <w:p>
            <w:pPr>
              <w:pStyle w:val="80"/>
              <w:widowControl w:val="0"/>
              <w:spacing w:line="240" w:lineRule="atLeast"/>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241</w:t>
            </w:r>
          </w:p>
        </w:tc>
        <w:tc>
          <w:tcPr>
            <w:tcW w:w="993" w:type="dxa"/>
            <w:vAlign w:val="center"/>
          </w:tcPr>
          <w:p>
            <w:pPr>
              <w:pStyle w:val="80"/>
              <w:widowControl w:val="0"/>
              <w:spacing w:line="240" w:lineRule="atLeast"/>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334</w:t>
            </w:r>
          </w:p>
        </w:tc>
        <w:tc>
          <w:tcPr>
            <w:tcW w:w="1417" w:type="dxa"/>
            <w:vAlign w:val="center"/>
          </w:tcPr>
          <w:p>
            <w:pPr>
              <w:pStyle w:val="80"/>
              <w:widowControl w:val="0"/>
              <w:spacing w:line="240" w:lineRule="atLeast"/>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[93]</w:t>
            </w:r>
          </w:p>
        </w:tc>
        <w:tc>
          <w:tcPr>
            <w:tcW w:w="993" w:type="dxa"/>
            <w:vAlign w:val="center"/>
          </w:tcPr>
          <w:p>
            <w:pPr>
              <w:pStyle w:val="80"/>
              <w:widowControl w:val="0"/>
              <w:spacing w:line="240" w:lineRule="atLeast"/>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pStyle w:val="80"/>
              <w:widowControl w:val="0"/>
              <w:spacing w:line="240" w:lineRule="atLeast"/>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效率目标</w:t>
            </w:r>
          </w:p>
        </w:tc>
        <w:tc>
          <w:tcPr>
            <w:tcW w:w="2409" w:type="dxa"/>
            <w:vAlign w:val="center"/>
          </w:tcPr>
          <w:p>
            <w:pPr>
              <w:pStyle w:val="80"/>
              <w:widowControl w:val="0"/>
              <w:spacing w:line="240" w:lineRule="atLeast"/>
              <w:jc w:val="center"/>
              <w:rPr>
                <w:rFonts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单位GDP能耗降低</w:t>
            </w:r>
          </w:p>
        </w:tc>
        <w:tc>
          <w:tcPr>
            <w:tcW w:w="1559" w:type="dxa"/>
            <w:vAlign w:val="center"/>
          </w:tcPr>
          <w:p>
            <w:pPr>
              <w:pStyle w:val="80"/>
              <w:widowControl w:val="0"/>
              <w:spacing w:line="240" w:lineRule="atLeast"/>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w:t>
            </w:r>
          </w:p>
        </w:tc>
        <w:tc>
          <w:tcPr>
            <w:tcW w:w="993" w:type="dxa"/>
            <w:vAlign w:val="center"/>
          </w:tcPr>
          <w:p>
            <w:pPr>
              <w:pStyle w:val="80"/>
              <w:widowControl w:val="0"/>
              <w:spacing w:line="240" w:lineRule="atLeast"/>
              <w:jc w:val="center"/>
              <w:rPr>
                <w:rFonts w:ascii="Times New Roman" w:hAnsi="Times New Roman" w:eastAsia="仿宋_GB2312" w:cs="Times New Roman"/>
                <w:sz w:val="24"/>
                <w:szCs w:val="24"/>
                <w:lang w:eastAsia="zh-CN"/>
              </w:rPr>
            </w:pPr>
          </w:p>
        </w:tc>
        <w:tc>
          <w:tcPr>
            <w:tcW w:w="993" w:type="dxa"/>
            <w:vAlign w:val="center"/>
          </w:tcPr>
          <w:p>
            <w:pPr>
              <w:pStyle w:val="80"/>
              <w:widowControl w:val="0"/>
              <w:spacing w:line="240" w:lineRule="atLeast"/>
              <w:jc w:val="center"/>
              <w:rPr>
                <w:rFonts w:ascii="Times New Roman" w:hAnsi="Times New Roman" w:eastAsia="仿宋_GB2312" w:cs="Times New Roman"/>
                <w:sz w:val="24"/>
                <w:szCs w:val="24"/>
                <w:lang w:eastAsia="zh-CN"/>
              </w:rPr>
            </w:pPr>
          </w:p>
        </w:tc>
        <w:tc>
          <w:tcPr>
            <w:tcW w:w="1417" w:type="dxa"/>
            <w:vMerge w:val="restart"/>
            <w:vAlign w:val="center"/>
          </w:tcPr>
          <w:p>
            <w:pPr>
              <w:pStyle w:val="80"/>
              <w:widowControl w:val="0"/>
              <w:spacing w:line="240" w:lineRule="atLeast"/>
              <w:jc w:val="center"/>
              <w:rPr>
                <w:rFonts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完成广东省分解任务</w:t>
            </w:r>
          </w:p>
        </w:tc>
        <w:tc>
          <w:tcPr>
            <w:tcW w:w="993" w:type="dxa"/>
            <w:vAlign w:val="center"/>
          </w:tcPr>
          <w:p>
            <w:pPr>
              <w:pStyle w:val="80"/>
              <w:widowControl w:val="0"/>
              <w:spacing w:line="240" w:lineRule="atLeast"/>
              <w:jc w:val="center"/>
              <w:rPr>
                <w:rFonts w:ascii="Times New Roman" w:hAnsi="Times New Roman" w:eastAsia="仿宋_GB2312" w:cs="Times New Roman"/>
                <w:sz w:val="24"/>
                <w:szCs w:val="24"/>
                <w:lang w:eastAsia="zh-CN"/>
              </w:rPr>
            </w:pPr>
            <w:r>
              <w:rPr>
                <w:rFonts w:ascii="Times New Roman" w:hAnsi="Times New Roman" w:eastAsia="仿宋_GB2312" w:cs="Times New Roman"/>
                <w:b/>
                <w:sz w:val="24"/>
                <w:szCs w:val="24"/>
                <w:lang w:eastAsia="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pStyle w:val="80"/>
              <w:widowControl w:val="0"/>
              <w:spacing w:line="240" w:lineRule="atLeast"/>
              <w:jc w:val="center"/>
              <w:rPr>
                <w:rFonts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低碳目标</w:t>
            </w:r>
          </w:p>
        </w:tc>
        <w:tc>
          <w:tcPr>
            <w:tcW w:w="2409" w:type="dxa"/>
            <w:vAlign w:val="center"/>
          </w:tcPr>
          <w:p>
            <w:pPr>
              <w:pStyle w:val="80"/>
              <w:widowControl w:val="0"/>
              <w:spacing w:line="240" w:lineRule="atLeast"/>
              <w:jc w:val="center"/>
              <w:rPr>
                <w:rFonts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单位GDP二氧化碳排放量累计下降</w:t>
            </w:r>
          </w:p>
        </w:tc>
        <w:tc>
          <w:tcPr>
            <w:tcW w:w="1559" w:type="dxa"/>
            <w:vAlign w:val="center"/>
          </w:tcPr>
          <w:p>
            <w:pPr>
              <w:pStyle w:val="80"/>
              <w:widowControl w:val="0"/>
              <w:spacing w:line="240" w:lineRule="atLeast"/>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w:t>
            </w:r>
          </w:p>
        </w:tc>
        <w:tc>
          <w:tcPr>
            <w:tcW w:w="993" w:type="dxa"/>
            <w:vAlign w:val="center"/>
          </w:tcPr>
          <w:p>
            <w:pPr>
              <w:pStyle w:val="80"/>
              <w:widowControl w:val="0"/>
              <w:spacing w:line="240" w:lineRule="atLeast"/>
              <w:jc w:val="center"/>
              <w:rPr>
                <w:rFonts w:ascii="Times New Roman" w:hAnsi="Times New Roman" w:eastAsia="仿宋_GB2312" w:cs="Times New Roman"/>
                <w:sz w:val="24"/>
                <w:szCs w:val="24"/>
                <w:lang w:eastAsia="zh-CN"/>
              </w:rPr>
            </w:pPr>
          </w:p>
        </w:tc>
        <w:tc>
          <w:tcPr>
            <w:tcW w:w="993" w:type="dxa"/>
            <w:vAlign w:val="center"/>
          </w:tcPr>
          <w:p>
            <w:pPr>
              <w:pStyle w:val="80"/>
              <w:widowControl w:val="0"/>
              <w:spacing w:line="240" w:lineRule="atLeast"/>
              <w:jc w:val="center"/>
              <w:rPr>
                <w:rFonts w:ascii="Times New Roman" w:hAnsi="Times New Roman" w:eastAsia="仿宋_GB2312" w:cs="Times New Roman"/>
                <w:sz w:val="24"/>
                <w:szCs w:val="24"/>
                <w:lang w:eastAsia="zh-CN"/>
              </w:rPr>
            </w:pPr>
          </w:p>
        </w:tc>
        <w:tc>
          <w:tcPr>
            <w:tcW w:w="1417" w:type="dxa"/>
            <w:vMerge w:val="continue"/>
            <w:vAlign w:val="center"/>
          </w:tcPr>
          <w:p>
            <w:pPr>
              <w:pStyle w:val="80"/>
              <w:widowControl w:val="0"/>
              <w:spacing w:line="240" w:lineRule="atLeast"/>
              <w:jc w:val="center"/>
              <w:rPr>
                <w:rFonts w:ascii="Times New Roman" w:hAnsi="Times New Roman" w:eastAsia="仿宋_GB2312" w:cs="Times New Roman"/>
                <w:sz w:val="24"/>
                <w:szCs w:val="24"/>
                <w:lang w:eastAsia="zh-CN"/>
              </w:rPr>
            </w:pPr>
          </w:p>
        </w:tc>
        <w:tc>
          <w:tcPr>
            <w:tcW w:w="993" w:type="dxa"/>
            <w:vAlign w:val="center"/>
          </w:tcPr>
          <w:p>
            <w:pPr>
              <w:pStyle w:val="80"/>
              <w:widowControl w:val="0"/>
              <w:spacing w:line="240" w:lineRule="atLeast"/>
              <w:jc w:val="center"/>
              <w:rPr>
                <w:rFonts w:ascii="Times New Roman" w:hAnsi="Times New Roman" w:eastAsia="仿宋_GB2312" w:cs="Times New Roman"/>
                <w:b/>
                <w:sz w:val="24"/>
                <w:szCs w:val="24"/>
                <w:lang w:eastAsia="zh-CN"/>
              </w:rPr>
            </w:pPr>
            <w:r>
              <w:rPr>
                <w:rFonts w:ascii="Times New Roman" w:hAnsi="Times New Roman" w:eastAsia="仿宋_GB2312" w:cs="Times New Roman"/>
                <w:b/>
                <w:sz w:val="24"/>
                <w:szCs w:val="24"/>
                <w:lang w:eastAsia="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Merge w:val="restart"/>
            <w:vAlign w:val="center"/>
          </w:tcPr>
          <w:p>
            <w:pPr>
              <w:pStyle w:val="80"/>
              <w:widowControl w:val="0"/>
              <w:spacing w:line="240" w:lineRule="atLeast"/>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结构目标</w:t>
            </w:r>
          </w:p>
        </w:tc>
        <w:tc>
          <w:tcPr>
            <w:tcW w:w="2409" w:type="dxa"/>
            <w:vAlign w:val="center"/>
          </w:tcPr>
          <w:p>
            <w:pPr>
              <w:pStyle w:val="80"/>
              <w:widowControl w:val="0"/>
              <w:spacing w:line="240" w:lineRule="atLeast"/>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煤品消费比重</w:t>
            </w:r>
          </w:p>
        </w:tc>
        <w:tc>
          <w:tcPr>
            <w:tcW w:w="1559" w:type="dxa"/>
            <w:vAlign w:val="center"/>
          </w:tcPr>
          <w:p>
            <w:pPr>
              <w:pStyle w:val="80"/>
              <w:widowControl w:val="0"/>
              <w:spacing w:line="240" w:lineRule="atLeast"/>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w:t>
            </w:r>
          </w:p>
        </w:tc>
        <w:tc>
          <w:tcPr>
            <w:tcW w:w="993" w:type="dxa"/>
            <w:vAlign w:val="center"/>
          </w:tcPr>
          <w:p>
            <w:pPr>
              <w:pStyle w:val="80"/>
              <w:widowControl w:val="0"/>
              <w:spacing w:line="240" w:lineRule="atLeast"/>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34</w:t>
            </w:r>
          </w:p>
        </w:tc>
        <w:tc>
          <w:tcPr>
            <w:tcW w:w="993" w:type="dxa"/>
            <w:vAlign w:val="center"/>
          </w:tcPr>
          <w:p>
            <w:pPr>
              <w:pStyle w:val="80"/>
              <w:widowControl w:val="0"/>
              <w:spacing w:line="240" w:lineRule="atLeast"/>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35</w:t>
            </w:r>
          </w:p>
        </w:tc>
        <w:tc>
          <w:tcPr>
            <w:tcW w:w="1417" w:type="dxa"/>
            <w:vAlign w:val="center"/>
          </w:tcPr>
          <w:p>
            <w:pPr>
              <w:pStyle w:val="80"/>
              <w:widowControl w:val="0"/>
              <w:spacing w:line="240" w:lineRule="atLeast"/>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[1]</w:t>
            </w:r>
          </w:p>
        </w:tc>
        <w:tc>
          <w:tcPr>
            <w:tcW w:w="993" w:type="dxa"/>
            <w:vAlign w:val="center"/>
          </w:tcPr>
          <w:p>
            <w:pPr>
              <w:pStyle w:val="80"/>
              <w:widowControl w:val="0"/>
              <w:spacing w:line="240" w:lineRule="atLeast"/>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Merge w:val="continue"/>
            <w:vAlign w:val="center"/>
          </w:tcPr>
          <w:p>
            <w:pPr>
              <w:pStyle w:val="80"/>
              <w:widowControl w:val="0"/>
              <w:spacing w:line="240" w:lineRule="atLeast"/>
              <w:jc w:val="center"/>
              <w:rPr>
                <w:rFonts w:ascii="Times New Roman" w:hAnsi="Times New Roman" w:eastAsia="仿宋_GB2312" w:cs="Times New Roman"/>
                <w:sz w:val="24"/>
                <w:szCs w:val="24"/>
                <w:lang w:eastAsia="zh-CN"/>
              </w:rPr>
            </w:pPr>
          </w:p>
        </w:tc>
        <w:tc>
          <w:tcPr>
            <w:tcW w:w="2409" w:type="dxa"/>
            <w:vAlign w:val="center"/>
          </w:tcPr>
          <w:p>
            <w:pPr>
              <w:pStyle w:val="80"/>
              <w:widowControl w:val="0"/>
              <w:spacing w:line="240" w:lineRule="atLeast"/>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天然气消费比重</w:t>
            </w:r>
          </w:p>
        </w:tc>
        <w:tc>
          <w:tcPr>
            <w:tcW w:w="1559" w:type="dxa"/>
            <w:vAlign w:val="center"/>
          </w:tcPr>
          <w:p>
            <w:pPr>
              <w:pStyle w:val="80"/>
              <w:widowControl w:val="0"/>
              <w:spacing w:line="240" w:lineRule="atLeast"/>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w:t>
            </w:r>
          </w:p>
        </w:tc>
        <w:tc>
          <w:tcPr>
            <w:tcW w:w="993" w:type="dxa"/>
            <w:vAlign w:val="center"/>
          </w:tcPr>
          <w:p>
            <w:pPr>
              <w:pStyle w:val="80"/>
              <w:widowControl w:val="0"/>
              <w:spacing w:line="240" w:lineRule="atLeast"/>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5</w:t>
            </w:r>
          </w:p>
        </w:tc>
        <w:tc>
          <w:tcPr>
            <w:tcW w:w="993" w:type="dxa"/>
            <w:vAlign w:val="center"/>
          </w:tcPr>
          <w:p>
            <w:pPr>
              <w:pStyle w:val="80"/>
              <w:widowControl w:val="0"/>
              <w:spacing w:line="240" w:lineRule="atLeast"/>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22</w:t>
            </w:r>
          </w:p>
        </w:tc>
        <w:tc>
          <w:tcPr>
            <w:tcW w:w="1417" w:type="dxa"/>
            <w:vAlign w:val="center"/>
          </w:tcPr>
          <w:p>
            <w:pPr>
              <w:pStyle w:val="80"/>
              <w:widowControl w:val="0"/>
              <w:spacing w:line="240" w:lineRule="atLeast"/>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[17]</w:t>
            </w:r>
          </w:p>
        </w:tc>
        <w:tc>
          <w:tcPr>
            <w:tcW w:w="993" w:type="dxa"/>
            <w:vAlign w:val="center"/>
          </w:tcPr>
          <w:p>
            <w:pPr>
              <w:pStyle w:val="80"/>
              <w:widowControl w:val="0"/>
              <w:spacing w:line="240" w:lineRule="atLeast"/>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Merge w:val="continue"/>
            <w:vAlign w:val="center"/>
          </w:tcPr>
          <w:p>
            <w:pPr>
              <w:pStyle w:val="80"/>
              <w:widowControl w:val="0"/>
              <w:spacing w:line="240" w:lineRule="atLeast"/>
              <w:jc w:val="center"/>
              <w:rPr>
                <w:rFonts w:ascii="Times New Roman" w:hAnsi="Times New Roman" w:eastAsia="仿宋_GB2312" w:cs="Times New Roman"/>
                <w:sz w:val="24"/>
                <w:szCs w:val="24"/>
                <w:lang w:eastAsia="zh-CN"/>
              </w:rPr>
            </w:pPr>
          </w:p>
        </w:tc>
        <w:tc>
          <w:tcPr>
            <w:tcW w:w="2409" w:type="dxa"/>
            <w:vAlign w:val="center"/>
          </w:tcPr>
          <w:p>
            <w:pPr>
              <w:pStyle w:val="80"/>
              <w:widowControl w:val="0"/>
              <w:spacing w:line="240" w:lineRule="atLeast"/>
              <w:jc w:val="center"/>
              <w:rPr>
                <w:rFonts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非化石能源占比</w:t>
            </w:r>
          </w:p>
        </w:tc>
        <w:tc>
          <w:tcPr>
            <w:tcW w:w="1559" w:type="dxa"/>
            <w:vAlign w:val="center"/>
          </w:tcPr>
          <w:p>
            <w:pPr>
              <w:pStyle w:val="80"/>
              <w:widowControl w:val="0"/>
              <w:spacing w:line="240" w:lineRule="atLeast"/>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w:t>
            </w:r>
          </w:p>
        </w:tc>
        <w:tc>
          <w:tcPr>
            <w:tcW w:w="993" w:type="dxa"/>
            <w:vAlign w:val="center"/>
          </w:tcPr>
          <w:p>
            <w:pPr>
              <w:pStyle w:val="80"/>
              <w:widowControl w:val="0"/>
              <w:spacing w:line="240" w:lineRule="atLeast"/>
              <w:jc w:val="center"/>
              <w:rPr>
                <w:rFonts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32</w:t>
            </w:r>
          </w:p>
        </w:tc>
        <w:tc>
          <w:tcPr>
            <w:tcW w:w="993" w:type="dxa"/>
            <w:vAlign w:val="center"/>
          </w:tcPr>
          <w:p>
            <w:pPr>
              <w:pStyle w:val="80"/>
              <w:widowControl w:val="0"/>
              <w:spacing w:line="240" w:lineRule="atLeast"/>
              <w:jc w:val="center"/>
              <w:rPr>
                <w:rFonts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35</w:t>
            </w:r>
          </w:p>
        </w:tc>
        <w:tc>
          <w:tcPr>
            <w:tcW w:w="1417" w:type="dxa"/>
            <w:vAlign w:val="center"/>
          </w:tcPr>
          <w:p>
            <w:pPr>
              <w:pStyle w:val="80"/>
              <w:widowControl w:val="0"/>
              <w:spacing w:line="240" w:lineRule="atLeast"/>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w:t>
            </w:r>
            <w:r>
              <w:rPr>
                <w:rFonts w:hint="eastAsia" w:ascii="Times New Roman" w:hAnsi="Times New Roman" w:eastAsia="仿宋_GB2312" w:cs="Times New Roman"/>
                <w:sz w:val="24"/>
                <w:szCs w:val="24"/>
                <w:lang w:eastAsia="zh-CN"/>
              </w:rPr>
              <w:t>3</w:t>
            </w:r>
            <w:r>
              <w:rPr>
                <w:rFonts w:ascii="Times New Roman" w:hAnsi="Times New Roman" w:eastAsia="仿宋_GB2312" w:cs="Times New Roman"/>
                <w:sz w:val="24"/>
                <w:szCs w:val="24"/>
                <w:lang w:eastAsia="zh-CN"/>
              </w:rPr>
              <w:t>]</w:t>
            </w:r>
          </w:p>
        </w:tc>
        <w:tc>
          <w:tcPr>
            <w:tcW w:w="993" w:type="dxa"/>
            <w:vAlign w:val="center"/>
          </w:tcPr>
          <w:p>
            <w:pPr>
              <w:pStyle w:val="80"/>
              <w:widowControl w:val="0"/>
              <w:spacing w:line="240" w:lineRule="atLeast"/>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Merge w:val="restart"/>
            <w:vAlign w:val="center"/>
          </w:tcPr>
          <w:p>
            <w:pPr>
              <w:pStyle w:val="80"/>
              <w:widowControl w:val="0"/>
              <w:spacing w:line="240" w:lineRule="atLeast"/>
              <w:jc w:val="center"/>
              <w:rPr>
                <w:rFonts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安全</w:t>
            </w:r>
            <w:r>
              <w:rPr>
                <w:rFonts w:ascii="Times New Roman" w:hAnsi="Times New Roman" w:eastAsia="仿宋_GB2312" w:cs="Times New Roman"/>
                <w:sz w:val="24"/>
                <w:szCs w:val="24"/>
                <w:lang w:eastAsia="zh-CN"/>
              </w:rPr>
              <w:t>目标</w:t>
            </w:r>
          </w:p>
        </w:tc>
        <w:tc>
          <w:tcPr>
            <w:tcW w:w="2409" w:type="dxa"/>
            <w:vAlign w:val="center"/>
          </w:tcPr>
          <w:p>
            <w:pPr>
              <w:pStyle w:val="80"/>
              <w:widowControl w:val="0"/>
              <w:spacing w:line="240" w:lineRule="atLeast"/>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能源综合生产能力</w:t>
            </w:r>
          </w:p>
        </w:tc>
        <w:tc>
          <w:tcPr>
            <w:tcW w:w="1559" w:type="dxa"/>
            <w:vAlign w:val="center"/>
          </w:tcPr>
          <w:p>
            <w:pPr>
              <w:pStyle w:val="80"/>
              <w:widowControl w:val="0"/>
              <w:spacing w:line="240" w:lineRule="atLeast"/>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万吨标准煤</w:t>
            </w:r>
          </w:p>
        </w:tc>
        <w:tc>
          <w:tcPr>
            <w:tcW w:w="993" w:type="dxa"/>
            <w:vAlign w:val="center"/>
          </w:tcPr>
          <w:p>
            <w:pPr>
              <w:pStyle w:val="80"/>
              <w:widowControl w:val="0"/>
              <w:spacing w:line="240" w:lineRule="atLeast"/>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206</w:t>
            </w:r>
          </w:p>
        </w:tc>
        <w:tc>
          <w:tcPr>
            <w:tcW w:w="993" w:type="dxa"/>
            <w:vAlign w:val="center"/>
          </w:tcPr>
          <w:p>
            <w:pPr>
              <w:pStyle w:val="80"/>
              <w:widowControl w:val="0"/>
              <w:spacing w:line="240" w:lineRule="atLeast"/>
              <w:jc w:val="center"/>
              <w:rPr>
                <w:rFonts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300</w:t>
            </w:r>
          </w:p>
        </w:tc>
        <w:tc>
          <w:tcPr>
            <w:tcW w:w="1417" w:type="dxa"/>
            <w:vAlign w:val="center"/>
          </w:tcPr>
          <w:p>
            <w:pPr>
              <w:pStyle w:val="80"/>
              <w:widowControl w:val="0"/>
              <w:spacing w:line="240" w:lineRule="atLeast"/>
              <w:jc w:val="center"/>
              <w:rPr>
                <w:rFonts w:ascii="Times New Roman" w:hAnsi="Times New Roman" w:eastAsia="仿宋_GB2312" w:cs="Times New Roman"/>
                <w:b/>
                <w:sz w:val="24"/>
                <w:szCs w:val="24"/>
                <w:lang w:eastAsia="zh-CN"/>
              </w:rPr>
            </w:pPr>
            <w:r>
              <w:rPr>
                <w:rFonts w:ascii="Times New Roman" w:hAnsi="Times New Roman" w:eastAsia="仿宋_GB2312" w:cs="Times New Roman"/>
                <w:sz w:val="24"/>
                <w:szCs w:val="24"/>
                <w:lang w:eastAsia="zh-CN"/>
              </w:rPr>
              <w:t>[</w:t>
            </w:r>
            <w:r>
              <w:rPr>
                <w:rFonts w:hint="eastAsia" w:ascii="Times New Roman" w:hAnsi="Times New Roman" w:eastAsia="仿宋_GB2312" w:cs="Times New Roman"/>
                <w:sz w:val="24"/>
                <w:szCs w:val="24"/>
                <w:lang w:eastAsia="zh-CN"/>
              </w:rPr>
              <w:t>9</w:t>
            </w:r>
            <w:r>
              <w:rPr>
                <w:rFonts w:ascii="Times New Roman" w:hAnsi="Times New Roman" w:eastAsia="仿宋_GB2312" w:cs="Times New Roman"/>
                <w:sz w:val="24"/>
                <w:szCs w:val="24"/>
                <w:lang w:eastAsia="zh-CN"/>
              </w:rPr>
              <w:t>4]</w:t>
            </w:r>
          </w:p>
        </w:tc>
        <w:tc>
          <w:tcPr>
            <w:tcW w:w="993" w:type="dxa"/>
            <w:vAlign w:val="center"/>
          </w:tcPr>
          <w:p>
            <w:pPr>
              <w:pStyle w:val="80"/>
              <w:widowControl w:val="0"/>
              <w:spacing w:line="240" w:lineRule="atLeast"/>
              <w:jc w:val="center"/>
              <w:rPr>
                <w:rFonts w:ascii="Times New Roman" w:hAnsi="Times New Roman" w:eastAsia="仿宋_GB2312" w:cs="Times New Roman"/>
                <w:sz w:val="24"/>
                <w:szCs w:val="24"/>
                <w:lang w:eastAsia="zh-CN"/>
              </w:rPr>
            </w:pPr>
            <w:r>
              <w:rPr>
                <w:rFonts w:ascii="Times New Roman" w:hAnsi="Times New Roman" w:eastAsia="仿宋_GB2312" w:cs="Times New Roman"/>
                <w:b/>
                <w:sz w:val="24"/>
                <w:szCs w:val="24"/>
                <w:lang w:eastAsia="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Merge w:val="continue"/>
            <w:vAlign w:val="center"/>
          </w:tcPr>
          <w:p>
            <w:pPr>
              <w:pStyle w:val="80"/>
              <w:widowControl w:val="0"/>
              <w:spacing w:line="240" w:lineRule="atLeast"/>
              <w:jc w:val="center"/>
              <w:rPr>
                <w:rFonts w:ascii="Times New Roman" w:hAnsi="Times New Roman" w:eastAsia="仿宋_GB2312" w:cs="Times New Roman"/>
                <w:sz w:val="24"/>
                <w:szCs w:val="24"/>
                <w:lang w:eastAsia="zh-CN"/>
              </w:rPr>
            </w:pPr>
          </w:p>
        </w:tc>
        <w:tc>
          <w:tcPr>
            <w:tcW w:w="2409" w:type="dxa"/>
            <w:vAlign w:val="center"/>
          </w:tcPr>
          <w:p>
            <w:pPr>
              <w:pStyle w:val="80"/>
              <w:widowControl w:val="0"/>
              <w:spacing w:line="240" w:lineRule="atLeast"/>
              <w:jc w:val="center"/>
              <w:rPr>
                <w:rFonts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本地电力装机总量</w:t>
            </w:r>
          </w:p>
        </w:tc>
        <w:tc>
          <w:tcPr>
            <w:tcW w:w="1559" w:type="dxa"/>
            <w:vAlign w:val="center"/>
          </w:tcPr>
          <w:p>
            <w:pPr>
              <w:pStyle w:val="80"/>
              <w:widowControl w:val="0"/>
              <w:spacing w:line="240" w:lineRule="atLeast"/>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万千瓦</w:t>
            </w:r>
          </w:p>
        </w:tc>
        <w:tc>
          <w:tcPr>
            <w:tcW w:w="993" w:type="dxa"/>
            <w:vAlign w:val="center"/>
          </w:tcPr>
          <w:p>
            <w:pPr>
              <w:pStyle w:val="80"/>
              <w:widowControl w:val="0"/>
              <w:spacing w:line="240" w:lineRule="atLeast"/>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552</w:t>
            </w:r>
          </w:p>
        </w:tc>
        <w:tc>
          <w:tcPr>
            <w:tcW w:w="993" w:type="dxa"/>
            <w:vAlign w:val="center"/>
          </w:tcPr>
          <w:p>
            <w:pPr>
              <w:pStyle w:val="80"/>
              <w:widowControl w:val="0"/>
              <w:spacing w:line="240" w:lineRule="atLeast"/>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1207</w:t>
            </w:r>
          </w:p>
        </w:tc>
        <w:tc>
          <w:tcPr>
            <w:tcW w:w="1417" w:type="dxa"/>
            <w:vAlign w:val="center"/>
          </w:tcPr>
          <w:p>
            <w:pPr>
              <w:pStyle w:val="80"/>
              <w:widowControl w:val="0"/>
              <w:spacing w:line="240" w:lineRule="atLeast"/>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[655]</w:t>
            </w:r>
          </w:p>
        </w:tc>
        <w:tc>
          <w:tcPr>
            <w:tcW w:w="993" w:type="dxa"/>
            <w:vAlign w:val="center"/>
          </w:tcPr>
          <w:p>
            <w:pPr>
              <w:pStyle w:val="80"/>
              <w:widowControl w:val="0"/>
              <w:spacing w:line="240" w:lineRule="atLeast"/>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Merge w:val="continue"/>
            <w:vAlign w:val="center"/>
          </w:tcPr>
          <w:p>
            <w:pPr>
              <w:pStyle w:val="80"/>
              <w:widowControl w:val="0"/>
              <w:spacing w:line="240" w:lineRule="atLeast"/>
              <w:jc w:val="center"/>
              <w:rPr>
                <w:rFonts w:ascii="Times New Roman" w:hAnsi="Times New Roman" w:eastAsia="仿宋_GB2312" w:cs="Times New Roman"/>
                <w:sz w:val="24"/>
                <w:szCs w:val="24"/>
                <w:lang w:eastAsia="zh-CN"/>
              </w:rPr>
            </w:pPr>
          </w:p>
        </w:tc>
        <w:tc>
          <w:tcPr>
            <w:tcW w:w="2409" w:type="dxa"/>
            <w:vAlign w:val="center"/>
          </w:tcPr>
          <w:p>
            <w:pPr>
              <w:pStyle w:val="80"/>
              <w:widowControl w:val="0"/>
              <w:spacing w:line="240" w:lineRule="atLeast"/>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天然气供应能力</w:t>
            </w:r>
          </w:p>
        </w:tc>
        <w:tc>
          <w:tcPr>
            <w:tcW w:w="1559" w:type="dxa"/>
            <w:vAlign w:val="center"/>
          </w:tcPr>
          <w:p>
            <w:pPr>
              <w:pStyle w:val="80"/>
              <w:widowControl w:val="0"/>
              <w:spacing w:line="240" w:lineRule="atLeast"/>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亿立方米</w:t>
            </w:r>
          </w:p>
        </w:tc>
        <w:tc>
          <w:tcPr>
            <w:tcW w:w="993" w:type="dxa"/>
            <w:vAlign w:val="center"/>
          </w:tcPr>
          <w:p>
            <w:pPr>
              <w:pStyle w:val="80"/>
              <w:widowControl w:val="0"/>
              <w:spacing w:line="240" w:lineRule="atLeast"/>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9.2</w:t>
            </w:r>
          </w:p>
        </w:tc>
        <w:tc>
          <w:tcPr>
            <w:tcW w:w="993" w:type="dxa"/>
            <w:vAlign w:val="center"/>
          </w:tcPr>
          <w:p>
            <w:pPr>
              <w:pStyle w:val="80"/>
              <w:widowControl w:val="0"/>
              <w:spacing w:line="240" w:lineRule="atLeast"/>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30</w:t>
            </w:r>
          </w:p>
        </w:tc>
        <w:tc>
          <w:tcPr>
            <w:tcW w:w="1417" w:type="dxa"/>
            <w:vAlign w:val="center"/>
          </w:tcPr>
          <w:p>
            <w:pPr>
              <w:pStyle w:val="80"/>
              <w:widowControl w:val="0"/>
              <w:spacing w:line="240" w:lineRule="atLeast"/>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[20.8]</w:t>
            </w:r>
          </w:p>
        </w:tc>
        <w:tc>
          <w:tcPr>
            <w:tcW w:w="993" w:type="dxa"/>
            <w:vAlign w:val="center"/>
          </w:tcPr>
          <w:p>
            <w:pPr>
              <w:pStyle w:val="80"/>
              <w:widowControl w:val="0"/>
              <w:spacing w:line="240" w:lineRule="atLeast"/>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Merge w:val="continue"/>
            <w:vAlign w:val="center"/>
          </w:tcPr>
          <w:p>
            <w:pPr>
              <w:pStyle w:val="80"/>
              <w:widowControl w:val="0"/>
              <w:spacing w:line="240" w:lineRule="atLeast"/>
              <w:jc w:val="center"/>
              <w:rPr>
                <w:rFonts w:ascii="Times New Roman" w:hAnsi="Times New Roman" w:eastAsia="仿宋_GB2312" w:cs="Times New Roman"/>
                <w:sz w:val="24"/>
                <w:szCs w:val="24"/>
                <w:lang w:eastAsia="zh-CN"/>
              </w:rPr>
            </w:pPr>
          </w:p>
        </w:tc>
        <w:tc>
          <w:tcPr>
            <w:tcW w:w="2409" w:type="dxa"/>
            <w:vAlign w:val="center"/>
          </w:tcPr>
          <w:p>
            <w:pPr>
              <w:pStyle w:val="80"/>
              <w:widowControl w:val="0"/>
              <w:spacing w:line="240" w:lineRule="atLeast"/>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天然气</w:t>
            </w:r>
            <w:r>
              <w:rPr>
                <w:rFonts w:hint="eastAsia" w:ascii="Times New Roman" w:hAnsi="Times New Roman" w:eastAsia="仿宋_GB2312" w:cs="Times New Roman"/>
                <w:sz w:val="24"/>
                <w:szCs w:val="24"/>
                <w:lang w:eastAsia="zh-CN"/>
              </w:rPr>
              <w:t>储备</w:t>
            </w:r>
            <w:r>
              <w:rPr>
                <w:rFonts w:ascii="Times New Roman" w:hAnsi="Times New Roman" w:eastAsia="仿宋_GB2312" w:cs="Times New Roman"/>
                <w:sz w:val="24"/>
                <w:szCs w:val="24"/>
                <w:lang w:eastAsia="zh-CN"/>
              </w:rPr>
              <w:t>能力</w:t>
            </w:r>
          </w:p>
        </w:tc>
        <w:tc>
          <w:tcPr>
            <w:tcW w:w="1559" w:type="dxa"/>
            <w:vAlign w:val="center"/>
          </w:tcPr>
          <w:p>
            <w:pPr>
              <w:pStyle w:val="80"/>
              <w:widowControl w:val="0"/>
              <w:spacing w:line="240" w:lineRule="atLeast"/>
              <w:jc w:val="center"/>
              <w:rPr>
                <w:rFonts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万</w:t>
            </w:r>
            <w:r>
              <w:rPr>
                <w:rFonts w:ascii="Times New Roman" w:hAnsi="Times New Roman" w:eastAsia="仿宋_GB2312" w:cs="Times New Roman"/>
                <w:sz w:val="24"/>
                <w:szCs w:val="24"/>
                <w:lang w:eastAsia="zh-CN"/>
              </w:rPr>
              <w:t>立方米</w:t>
            </w:r>
          </w:p>
        </w:tc>
        <w:tc>
          <w:tcPr>
            <w:tcW w:w="993" w:type="dxa"/>
            <w:vAlign w:val="center"/>
          </w:tcPr>
          <w:p>
            <w:pPr>
              <w:pStyle w:val="80"/>
              <w:widowControl w:val="0"/>
              <w:spacing w:line="240" w:lineRule="atLeast"/>
              <w:jc w:val="center"/>
              <w:rPr>
                <w:rFonts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2</w:t>
            </w:r>
            <w:r>
              <w:rPr>
                <w:rFonts w:ascii="Times New Roman" w:hAnsi="Times New Roman" w:eastAsia="仿宋_GB2312" w:cs="Times New Roman"/>
                <w:sz w:val="24"/>
                <w:szCs w:val="24"/>
                <w:lang w:eastAsia="zh-CN"/>
              </w:rPr>
              <w:t>00</w:t>
            </w:r>
          </w:p>
        </w:tc>
        <w:tc>
          <w:tcPr>
            <w:tcW w:w="993" w:type="dxa"/>
            <w:vAlign w:val="center"/>
          </w:tcPr>
          <w:p>
            <w:pPr>
              <w:pStyle w:val="80"/>
              <w:widowControl w:val="0"/>
              <w:spacing w:line="240" w:lineRule="atLeast"/>
              <w:jc w:val="center"/>
              <w:rPr>
                <w:rFonts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5</w:t>
            </w:r>
            <w:r>
              <w:rPr>
                <w:rFonts w:ascii="Times New Roman" w:hAnsi="Times New Roman" w:eastAsia="仿宋_GB2312" w:cs="Times New Roman"/>
                <w:sz w:val="24"/>
                <w:szCs w:val="24"/>
                <w:lang w:eastAsia="zh-CN"/>
              </w:rPr>
              <w:t>00</w:t>
            </w:r>
          </w:p>
        </w:tc>
        <w:tc>
          <w:tcPr>
            <w:tcW w:w="1417" w:type="dxa"/>
            <w:vAlign w:val="center"/>
          </w:tcPr>
          <w:p>
            <w:pPr>
              <w:pStyle w:val="80"/>
              <w:widowControl w:val="0"/>
              <w:spacing w:line="240" w:lineRule="atLeast"/>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w:t>
            </w:r>
            <w:r>
              <w:rPr>
                <w:rFonts w:hint="eastAsia" w:ascii="Times New Roman" w:hAnsi="Times New Roman" w:eastAsia="仿宋_GB2312" w:cs="Times New Roman"/>
                <w:sz w:val="24"/>
                <w:szCs w:val="24"/>
                <w:lang w:eastAsia="zh-CN"/>
              </w:rPr>
              <w:t>3</w:t>
            </w:r>
            <w:r>
              <w:rPr>
                <w:rFonts w:ascii="Times New Roman" w:hAnsi="Times New Roman" w:eastAsia="仿宋_GB2312" w:cs="Times New Roman"/>
                <w:sz w:val="24"/>
                <w:szCs w:val="24"/>
                <w:lang w:eastAsia="zh-CN"/>
              </w:rPr>
              <w:t>00]</w:t>
            </w:r>
          </w:p>
        </w:tc>
        <w:tc>
          <w:tcPr>
            <w:tcW w:w="993" w:type="dxa"/>
            <w:vAlign w:val="center"/>
          </w:tcPr>
          <w:p>
            <w:pPr>
              <w:pStyle w:val="80"/>
              <w:widowControl w:val="0"/>
              <w:spacing w:line="240" w:lineRule="atLeast"/>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Merge w:val="continue"/>
            <w:vAlign w:val="center"/>
          </w:tcPr>
          <w:p>
            <w:pPr>
              <w:pStyle w:val="80"/>
              <w:widowControl w:val="0"/>
              <w:spacing w:line="240" w:lineRule="atLeast"/>
              <w:jc w:val="center"/>
              <w:rPr>
                <w:rFonts w:ascii="Times New Roman" w:hAnsi="Times New Roman" w:eastAsia="仿宋_GB2312" w:cs="Times New Roman"/>
                <w:sz w:val="24"/>
                <w:szCs w:val="24"/>
                <w:lang w:eastAsia="zh-CN"/>
              </w:rPr>
            </w:pPr>
          </w:p>
        </w:tc>
        <w:tc>
          <w:tcPr>
            <w:tcW w:w="2409" w:type="dxa"/>
            <w:vAlign w:val="center"/>
          </w:tcPr>
          <w:p>
            <w:pPr>
              <w:pStyle w:val="80"/>
              <w:widowControl w:val="0"/>
              <w:spacing w:line="240" w:lineRule="atLeast"/>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500千伏变电站数量</w:t>
            </w:r>
          </w:p>
        </w:tc>
        <w:tc>
          <w:tcPr>
            <w:tcW w:w="1559" w:type="dxa"/>
            <w:vAlign w:val="center"/>
          </w:tcPr>
          <w:p>
            <w:pPr>
              <w:pStyle w:val="80"/>
              <w:widowControl w:val="0"/>
              <w:spacing w:line="240" w:lineRule="atLeast"/>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座</w:t>
            </w:r>
          </w:p>
        </w:tc>
        <w:tc>
          <w:tcPr>
            <w:tcW w:w="993" w:type="dxa"/>
            <w:vAlign w:val="center"/>
          </w:tcPr>
          <w:p>
            <w:pPr>
              <w:pStyle w:val="80"/>
              <w:widowControl w:val="0"/>
              <w:spacing w:line="240" w:lineRule="atLeast"/>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2</w:t>
            </w:r>
          </w:p>
        </w:tc>
        <w:tc>
          <w:tcPr>
            <w:tcW w:w="993" w:type="dxa"/>
            <w:vAlign w:val="center"/>
          </w:tcPr>
          <w:p>
            <w:pPr>
              <w:pStyle w:val="80"/>
              <w:widowControl w:val="0"/>
              <w:spacing w:line="240" w:lineRule="atLeast"/>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3</w:t>
            </w:r>
          </w:p>
        </w:tc>
        <w:tc>
          <w:tcPr>
            <w:tcW w:w="1417" w:type="dxa"/>
            <w:vAlign w:val="center"/>
          </w:tcPr>
          <w:p>
            <w:pPr>
              <w:pStyle w:val="80"/>
              <w:widowControl w:val="0"/>
              <w:spacing w:line="240" w:lineRule="atLeast"/>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w:t>
            </w:r>
            <w:r>
              <w:rPr>
                <w:rFonts w:hint="eastAsia" w:ascii="Times New Roman" w:hAnsi="Times New Roman" w:eastAsia="仿宋_GB2312" w:cs="Times New Roman"/>
                <w:sz w:val="24"/>
                <w:szCs w:val="24"/>
                <w:lang w:eastAsia="zh-CN"/>
              </w:rPr>
              <w:t>1</w:t>
            </w:r>
            <w:r>
              <w:rPr>
                <w:rFonts w:ascii="Times New Roman" w:hAnsi="Times New Roman" w:eastAsia="仿宋_GB2312" w:cs="Times New Roman"/>
                <w:sz w:val="24"/>
                <w:szCs w:val="24"/>
                <w:lang w:eastAsia="zh-CN"/>
              </w:rPr>
              <w:t>]</w:t>
            </w:r>
          </w:p>
        </w:tc>
        <w:tc>
          <w:tcPr>
            <w:tcW w:w="993" w:type="dxa"/>
            <w:vAlign w:val="center"/>
          </w:tcPr>
          <w:p>
            <w:pPr>
              <w:pStyle w:val="80"/>
              <w:widowControl w:val="0"/>
              <w:spacing w:line="240" w:lineRule="atLeast"/>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Merge w:val="continue"/>
            <w:vAlign w:val="center"/>
          </w:tcPr>
          <w:p>
            <w:pPr>
              <w:pStyle w:val="80"/>
              <w:widowControl w:val="0"/>
              <w:spacing w:line="240" w:lineRule="atLeast"/>
              <w:jc w:val="center"/>
              <w:rPr>
                <w:rFonts w:ascii="Times New Roman" w:hAnsi="Times New Roman" w:eastAsia="仿宋_GB2312" w:cs="Times New Roman"/>
                <w:sz w:val="24"/>
                <w:szCs w:val="24"/>
                <w:lang w:eastAsia="zh-CN"/>
              </w:rPr>
            </w:pPr>
          </w:p>
        </w:tc>
        <w:tc>
          <w:tcPr>
            <w:tcW w:w="2409" w:type="dxa"/>
            <w:vAlign w:val="center"/>
          </w:tcPr>
          <w:p>
            <w:pPr>
              <w:pStyle w:val="80"/>
              <w:widowControl w:val="0"/>
              <w:spacing w:line="240" w:lineRule="atLeast"/>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220千伏变电站数量</w:t>
            </w:r>
          </w:p>
        </w:tc>
        <w:tc>
          <w:tcPr>
            <w:tcW w:w="1559" w:type="dxa"/>
            <w:vAlign w:val="center"/>
          </w:tcPr>
          <w:p>
            <w:pPr>
              <w:pStyle w:val="80"/>
              <w:widowControl w:val="0"/>
              <w:spacing w:line="240" w:lineRule="atLeast"/>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座</w:t>
            </w:r>
          </w:p>
        </w:tc>
        <w:tc>
          <w:tcPr>
            <w:tcW w:w="993" w:type="dxa"/>
            <w:vAlign w:val="center"/>
          </w:tcPr>
          <w:p>
            <w:pPr>
              <w:pStyle w:val="80"/>
              <w:widowControl w:val="0"/>
              <w:spacing w:line="240" w:lineRule="atLeast"/>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14</w:t>
            </w:r>
          </w:p>
        </w:tc>
        <w:tc>
          <w:tcPr>
            <w:tcW w:w="993" w:type="dxa"/>
            <w:vAlign w:val="center"/>
          </w:tcPr>
          <w:p>
            <w:pPr>
              <w:pStyle w:val="80"/>
              <w:widowControl w:val="0"/>
              <w:spacing w:line="240" w:lineRule="atLeast"/>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25</w:t>
            </w:r>
          </w:p>
        </w:tc>
        <w:tc>
          <w:tcPr>
            <w:tcW w:w="1417" w:type="dxa"/>
            <w:vAlign w:val="center"/>
          </w:tcPr>
          <w:p>
            <w:pPr>
              <w:pStyle w:val="80"/>
              <w:widowControl w:val="0"/>
              <w:spacing w:line="240" w:lineRule="atLeast"/>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w:t>
            </w:r>
            <w:r>
              <w:rPr>
                <w:rFonts w:hint="eastAsia" w:ascii="Times New Roman" w:hAnsi="Times New Roman" w:eastAsia="仿宋_GB2312" w:cs="Times New Roman"/>
                <w:sz w:val="24"/>
                <w:szCs w:val="24"/>
                <w:lang w:eastAsia="zh-CN"/>
              </w:rPr>
              <w:t>1</w:t>
            </w:r>
            <w:r>
              <w:rPr>
                <w:rFonts w:ascii="Times New Roman" w:hAnsi="Times New Roman" w:eastAsia="仿宋_GB2312" w:cs="Times New Roman"/>
                <w:sz w:val="24"/>
                <w:szCs w:val="24"/>
                <w:lang w:eastAsia="zh-CN"/>
              </w:rPr>
              <w:t>1]</w:t>
            </w:r>
          </w:p>
        </w:tc>
        <w:tc>
          <w:tcPr>
            <w:tcW w:w="993" w:type="dxa"/>
            <w:vAlign w:val="center"/>
          </w:tcPr>
          <w:p>
            <w:pPr>
              <w:pStyle w:val="80"/>
              <w:widowControl w:val="0"/>
              <w:spacing w:line="240" w:lineRule="atLeast"/>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Merge w:val="continue"/>
            <w:vAlign w:val="center"/>
          </w:tcPr>
          <w:p>
            <w:pPr>
              <w:pStyle w:val="80"/>
              <w:widowControl w:val="0"/>
              <w:spacing w:line="240" w:lineRule="atLeast"/>
              <w:jc w:val="center"/>
              <w:rPr>
                <w:rFonts w:ascii="Times New Roman" w:hAnsi="Times New Roman" w:eastAsia="仿宋_GB2312" w:cs="Times New Roman"/>
                <w:sz w:val="24"/>
                <w:szCs w:val="24"/>
                <w:lang w:eastAsia="zh-CN"/>
              </w:rPr>
            </w:pPr>
          </w:p>
        </w:tc>
        <w:tc>
          <w:tcPr>
            <w:tcW w:w="2409" w:type="dxa"/>
            <w:vAlign w:val="center"/>
          </w:tcPr>
          <w:p>
            <w:pPr>
              <w:pStyle w:val="80"/>
              <w:widowControl w:val="0"/>
              <w:spacing w:line="240" w:lineRule="atLeast"/>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天然气接收门站数量</w:t>
            </w:r>
          </w:p>
        </w:tc>
        <w:tc>
          <w:tcPr>
            <w:tcW w:w="1559" w:type="dxa"/>
            <w:vAlign w:val="center"/>
          </w:tcPr>
          <w:p>
            <w:pPr>
              <w:pStyle w:val="80"/>
              <w:widowControl w:val="0"/>
              <w:spacing w:line="240" w:lineRule="atLeast"/>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个</w:t>
            </w:r>
          </w:p>
        </w:tc>
        <w:tc>
          <w:tcPr>
            <w:tcW w:w="993" w:type="dxa"/>
            <w:vAlign w:val="center"/>
          </w:tcPr>
          <w:p>
            <w:pPr>
              <w:pStyle w:val="80"/>
              <w:widowControl w:val="0"/>
              <w:spacing w:line="240" w:lineRule="atLeast"/>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2</w:t>
            </w:r>
          </w:p>
        </w:tc>
        <w:tc>
          <w:tcPr>
            <w:tcW w:w="993" w:type="dxa"/>
            <w:vAlign w:val="center"/>
          </w:tcPr>
          <w:p>
            <w:pPr>
              <w:pStyle w:val="80"/>
              <w:widowControl w:val="0"/>
              <w:spacing w:line="240" w:lineRule="atLeast"/>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3</w:t>
            </w:r>
          </w:p>
        </w:tc>
        <w:tc>
          <w:tcPr>
            <w:tcW w:w="1417" w:type="dxa"/>
            <w:vAlign w:val="center"/>
          </w:tcPr>
          <w:p>
            <w:pPr>
              <w:pStyle w:val="80"/>
              <w:widowControl w:val="0"/>
              <w:spacing w:line="240" w:lineRule="atLeast"/>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w:t>
            </w:r>
            <w:r>
              <w:rPr>
                <w:rFonts w:hint="eastAsia" w:ascii="Times New Roman" w:hAnsi="Times New Roman" w:eastAsia="仿宋_GB2312" w:cs="Times New Roman"/>
                <w:sz w:val="24"/>
                <w:szCs w:val="24"/>
                <w:lang w:eastAsia="zh-CN"/>
              </w:rPr>
              <w:t>1</w:t>
            </w:r>
            <w:r>
              <w:rPr>
                <w:rFonts w:ascii="Times New Roman" w:hAnsi="Times New Roman" w:eastAsia="仿宋_GB2312" w:cs="Times New Roman"/>
                <w:sz w:val="24"/>
                <w:szCs w:val="24"/>
                <w:lang w:eastAsia="zh-CN"/>
              </w:rPr>
              <w:t>]</w:t>
            </w:r>
          </w:p>
        </w:tc>
        <w:tc>
          <w:tcPr>
            <w:tcW w:w="993" w:type="dxa"/>
            <w:vAlign w:val="center"/>
          </w:tcPr>
          <w:p>
            <w:pPr>
              <w:pStyle w:val="80"/>
              <w:widowControl w:val="0"/>
              <w:spacing w:line="240" w:lineRule="atLeast"/>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Merge w:val="continue"/>
            <w:vAlign w:val="center"/>
          </w:tcPr>
          <w:p>
            <w:pPr>
              <w:pStyle w:val="80"/>
              <w:widowControl w:val="0"/>
              <w:spacing w:line="240" w:lineRule="atLeast"/>
              <w:jc w:val="center"/>
              <w:rPr>
                <w:rFonts w:ascii="Times New Roman" w:hAnsi="Times New Roman" w:eastAsia="仿宋_GB2312" w:cs="Times New Roman"/>
                <w:sz w:val="24"/>
                <w:szCs w:val="24"/>
                <w:lang w:eastAsia="zh-CN"/>
              </w:rPr>
            </w:pPr>
          </w:p>
        </w:tc>
        <w:tc>
          <w:tcPr>
            <w:tcW w:w="2409" w:type="dxa"/>
            <w:vAlign w:val="center"/>
          </w:tcPr>
          <w:p>
            <w:pPr>
              <w:pStyle w:val="80"/>
              <w:widowControl w:val="0"/>
              <w:spacing w:line="240" w:lineRule="atLeast"/>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供电可靠</w:t>
            </w:r>
            <w:r>
              <w:rPr>
                <w:rFonts w:hint="eastAsia" w:ascii="Times New Roman" w:hAnsi="Times New Roman" w:eastAsia="仿宋_GB2312" w:cs="Times New Roman"/>
                <w:sz w:val="24"/>
                <w:szCs w:val="24"/>
                <w:lang w:eastAsia="zh-CN"/>
              </w:rPr>
              <w:t>率</w:t>
            </w:r>
          </w:p>
        </w:tc>
        <w:tc>
          <w:tcPr>
            <w:tcW w:w="1559" w:type="dxa"/>
            <w:vAlign w:val="center"/>
          </w:tcPr>
          <w:p>
            <w:pPr>
              <w:pStyle w:val="80"/>
              <w:widowControl w:val="0"/>
              <w:spacing w:line="240" w:lineRule="atLeast"/>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w:t>
            </w:r>
          </w:p>
        </w:tc>
        <w:tc>
          <w:tcPr>
            <w:tcW w:w="993" w:type="dxa"/>
            <w:vAlign w:val="center"/>
          </w:tcPr>
          <w:p>
            <w:pPr>
              <w:pStyle w:val="80"/>
              <w:widowControl w:val="0"/>
              <w:spacing w:line="240" w:lineRule="atLeast"/>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99.93</w:t>
            </w:r>
          </w:p>
        </w:tc>
        <w:tc>
          <w:tcPr>
            <w:tcW w:w="993" w:type="dxa"/>
            <w:vAlign w:val="center"/>
          </w:tcPr>
          <w:p>
            <w:pPr>
              <w:pStyle w:val="80"/>
              <w:widowControl w:val="0"/>
              <w:spacing w:line="240" w:lineRule="atLeast"/>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99.95</w:t>
            </w:r>
          </w:p>
        </w:tc>
        <w:tc>
          <w:tcPr>
            <w:tcW w:w="1417" w:type="dxa"/>
            <w:vAlign w:val="center"/>
          </w:tcPr>
          <w:p>
            <w:pPr>
              <w:pStyle w:val="80"/>
              <w:widowControl w:val="0"/>
              <w:spacing w:line="240" w:lineRule="atLeast"/>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w:t>
            </w:r>
            <w:r>
              <w:rPr>
                <w:rFonts w:hint="eastAsia" w:ascii="Times New Roman" w:hAnsi="Times New Roman" w:eastAsia="仿宋_GB2312" w:cs="Times New Roman"/>
                <w:sz w:val="24"/>
                <w:szCs w:val="24"/>
                <w:lang w:eastAsia="zh-CN"/>
              </w:rPr>
              <w:t>0</w:t>
            </w:r>
            <w:r>
              <w:rPr>
                <w:rFonts w:ascii="Times New Roman" w:hAnsi="Times New Roman" w:eastAsia="仿宋_GB2312" w:cs="Times New Roman"/>
                <w:sz w:val="24"/>
                <w:szCs w:val="24"/>
                <w:lang w:eastAsia="zh-CN"/>
              </w:rPr>
              <w:t>.02]</w:t>
            </w:r>
          </w:p>
        </w:tc>
        <w:tc>
          <w:tcPr>
            <w:tcW w:w="993" w:type="dxa"/>
            <w:vAlign w:val="center"/>
          </w:tcPr>
          <w:p>
            <w:pPr>
              <w:pStyle w:val="80"/>
              <w:widowControl w:val="0"/>
              <w:spacing w:line="240" w:lineRule="atLeast"/>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Merge w:val="restart"/>
            <w:vAlign w:val="center"/>
          </w:tcPr>
          <w:p>
            <w:pPr>
              <w:pStyle w:val="80"/>
              <w:widowControl w:val="0"/>
              <w:spacing w:line="240" w:lineRule="atLeast"/>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民生目标</w:t>
            </w:r>
          </w:p>
        </w:tc>
        <w:tc>
          <w:tcPr>
            <w:tcW w:w="2409" w:type="dxa"/>
            <w:vAlign w:val="center"/>
          </w:tcPr>
          <w:p>
            <w:pPr>
              <w:pStyle w:val="80"/>
              <w:widowControl w:val="0"/>
              <w:spacing w:line="240" w:lineRule="atLeast"/>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人均生活用能</w:t>
            </w:r>
          </w:p>
        </w:tc>
        <w:tc>
          <w:tcPr>
            <w:tcW w:w="1559" w:type="dxa"/>
            <w:vAlign w:val="center"/>
          </w:tcPr>
          <w:p>
            <w:pPr>
              <w:pStyle w:val="80"/>
              <w:widowControl w:val="0"/>
              <w:spacing w:line="240" w:lineRule="atLeast"/>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吨标煤/人</w:t>
            </w:r>
            <w:r>
              <w:rPr>
                <w:rFonts w:ascii="Times New Roman" w:hAnsi="Times New Roman" w:eastAsia="仿宋_GB2312" w:cs="Times New Roman"/>
                <w:sz w:val="24"/>
              </w:rPr>
              <w:t>·</w:t>
            </w:r>
            <w:r>
              <w:rPr>
                <w:rFonts w:ascii="Times New Roman" w:hAnsi="Times New Roman" w:eastAsia="仿宋_GB2312" w:cs="Times New Roman"/>
                <w:sz w:val="24"/>
                <w:lang w:eastAsia="zh-CN"/>
              </w:rPr>
              <w:t>年</w:t>
            </w:r>
          </w:p>
        </w:tc>
        <w:tc>
          <w:tcPr>
            <w:tcW w:w="993" w:type="dxa"/>
            <w:vAlign w:val="center"/>
          </w:tcPr>
          <w:p>
            <w:pPr>
              <w:pStyle w:val="80"/>
              <w:widowControl w:val="0"/>
              <w:spacing w:line="240" w:lineRule="atLeast"/>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0.45</w:t>
            </w:r>
          </w:p>
        </w:tc>
        <w:tc>
          <w:tcPr>
            <w:tcW w:w="993" w:type="dxa"/>
            <w:vAlign w:val="center"/>
          </w:tcPr>
          <w:p>
            <w:pPr>
              <w:pStyle w:val="80"/>
              <w:widowControl w:val="0"/>
              <w:spacing w:line="240" w:lineRule="atLeast"/>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0.52</w:t>
            </w:r>
          </w:p>
        </w:tc>
        <w:tc>
          <w:tcPr>
            <w:tcW w:w="1417" w:type="dxa"/>
            <w:vAlign w:val="center"/>
          </w:tcPr>
          <w:p>
            <w:pPr>
              <w:pStyle w:val="80"/>
              <w:widowControl w:val="0"/>
              <w:spacing w:line="240" w:lineRule="atLeast"/>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3</w:t>
            </w:r>
            <w:r>
              <w:rPr>
                <w:rFonts w:hint="eastAsia" w:ascii="Times New Roman" w:hAnsi="Times New Roman" w:eastAsia="仿宋_GB2312" w:cs="Times New Roman"/>
                <w:sz w:val="24"/>
                <w:szCs w:val="24"/>
                <w:lang w:eastAsia="zh-CN"/>
              </w:rPr>
              <w:t>%</w:t>
            </w:r>
          </w:p>
        </w:tc>
        <w:tc>
          <w:tcPr>
            <w:tcW w:w="993" w:type="dxa"/>
            <w:vAlign w:val="center"/>
          </w:tcPr>
          <w:p>
            <w:pPr>
              <w:pStyle w:val="80"/>
              <w:widowControl w:val="0"/>
              <w:spacing w:line="240" w:lineRule="atLeast"/>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Merge w:val="continue"/>
            <w:vAlign w:val="center"/>
          </w:tcPr>
          <w:p>
            <w:pPr>
              <w:pStyle w:val="80"/>
              <w:widowControl w:val="0"/>
              <w:spacing w:line="240" w:lineRule="atLeast"/>
              <w:jc w:val="center"/>
              <w:rPr>
                <w:rFonts w:ascii="Times New Roman" w:hAnsi="Times New Roman" w:eastAsia="仿宋_GB2312" w:cs="Times New Roman"/>
                <w:sz w:val="24"/>
                <w:szCs w:val="24"/>
                <w:lang w:eastAsia="zh-CN"/>
              </w:rPr>
            </w:pPr>
          </w:p>
        </w:tc>
        <w:tc>
          <w:tcPr>
            <w:tcW w:w="2409" w:type="dxa"/>
            <w:vAlign w:val="center"/>
          </w:tcPr>
          <w:p>
            <w:pPr>
              <w:pStyle w:val="80"/>
              <w:widowControl w:val="0"/>
              <w:spacing w:line="240" w:lineRule="atLeast"/>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人均生活用电</w:t>
            </w:r>
          </w:p>
        </w:tc>
        <w:tc>
          <w:tcPr>
            <w:tcW w:w="1559" w:type="dxa"/>
            <w:vAlign w:val="center"/>
          </w:tcPr>
          <w:p>
            <w:pPr>
              <w:pStyle w:val="80"/>
              <w:widowControl w:val="0"/>
              <w:spacing w:line="240" w:lineRule="atLeast"/>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千瓦时/人</w:t>
            </w:r>
            <w:r>
              <w:rPr>
                <w:rFonts w:ascii="Times New Roman" w:hAnsi="Times New Roman" w:eastAsia="仿宋_GB2312" w:cs="Times New Roman"/>
                <w:sz w:val="24"/>
              </w:rPr>
              <w:t>·</w:t>
            </w:r>
            <w:r>
              <w:rPr>
                <w:rFonts w:ascii="Times New Roman" w:hAnsi="Times New Roman" w:eastAsia="仿宋_GB2312" w:cs="Times New Roman"/>
                <w:sz w:val="24"/>
                <w:lang w:eastAsia="zh-CN"/>
              </w:rPr>
              <w:t>年</w:t>
            </w:r>
          </w:p>
        </w:tc>
        <w:tc>
          <w:tcPr>
            <w:tcW w:w="993" w:type="dxa"/>
            <w:vAlign w:val="center"/>
          </w:tcPr>
          <w:p>
            <w:pPr>
              <w:pStyle w:val="80"/>
              <w:widowControl w:val="0"/>
              <w:spacing w:line="240" w:lineRule="atLeast"/>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849</w:t>
            </w:r>
          </w:p>
        </w:tc>
        <w:tc>
          <w:tcPr>
            <w:tcW w:w="993" w:type="dxa"/>
            <w:vAlign w:val="center"/>
          </w:tcPr>
          <w:p>
            <w:pPr>
              <w:pStyle w:val="80"/>
              <w:widowControl w:val="0"/>
              <w:spacing w:line="240" w:lineRule="atLeast"/>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1125</w:t>
            </w:r>
          </w:p>
        </w:tc>
        <w:tc>
          <w:tcPr>
            <w:tcW w:w="1417" w:type="dxa"/>
            <w:vAlign w:val="center"/>
          </w:tcPr>
          <w:p>
            <w:pPr>
              <w:pStyle w:val="80"/>
              <w:widowControl w:val="0"/>
              <w:spacing w:line="240" w:lineRule="atLeast"/>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6</w:t>
            </w:r>
            <w:r>
              <w:rPr>
                <w:rFonts w:hint="eastAsia" w:ascii="Times New Roman" w:hAnsi="Times New Roman" w:eastAsia="仿宋_GB2312" w:cs="Times New Roman"/>
                <w:sz w:val="24"/>
                <w:szCs w:val="24"/>
                <w:lang w:eastAsia="zh-CN"/>
              </w:rPr>
              <w:t>%</w:t>
            </w:r>
          </w:p>
        </w:tc>
        <w:tc>
          <w:tcPr>
            <w:tcW w:w="993" w:type="dxa"/>
            <w:vAlign w:val="center"/>
          </w:tcPr>
          <w:p>
            <w:pPr>
              <w:pStyle w:val="80"/>
              <w:widowControl w:val="0"/>
              <w:spacing w:line="240" w:lineRule="atLeast"/>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Merge w:val="continue"/>
            <w:vAlign w:val="center"/>
          </w:tcPr>
          <w:p>
            <w:pPr>
              <w:pStyle w:val="80"/>
              <w:widowControl w:val="0"/>
              <w:spacing w:line="240" w:lineRule="atLeast"/>
              <w:jc w:val="center"/>
              <w:rPr>
                <w:rFonts w:ascii="Times New Roman" w:hAnsi="Times New Roman" w:eastAsia="仿宋_GB2312" w:cs="Times New Roman"/>
                <w:sz w:val="24"/>
                <w:szCs w:val="24"/>
                <w:lang w:eastAsia="zh-CN"/>
              </w:rPr>
            </w:pPr>
          </w:p>
        </w:tc>
        <w:tc>
          <w:tcPr>
            <w:tcW w:w="2409" w:type="dxa"/>
            <w:vAlign w:val="center"/>
          </w:tcPr>
          <w:p>
            <w:pPr>
              <w:pStyle w:val="80"/>
              <w:widowControl w:val="0"/>
              <w:spacing w:line="240" w:lineRule="atLeast"/>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人均生活用气</w:t>
            </w:r>
          </w:p>
        </w:tc>
        <w:tc>
          <w:tcPr>
            <w:tcW w:w="1559" w:type="dxa"/>
            <w:vAlign w:val="center"/>
          </w:tcPr>
          <w:p>
            <w:pPr>
              <w:pStyle w:val="80"/>
              <w:widowControl w:val="0"/>
              <w:spacing w:line="240" w:lineRule="atLeast"/>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立方米/人</w:t>
            </w:r>
          </w:p>
        </w:tc>
        <w:tc>
          <w:tcPr>
            <w:tcW w:w="993" w:type="dxa"/>
            <w:vAlign w:val="center"/>
          </w:tcPr>
          <w:p>
            <w:pPr>
              <w:pStyle w:val="80"/>
              <w:widowControl w:val="0"/>
              <w:spacing w:line="240" w:lineRule="atLeast"/>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8</w:t>
            </w:r>
          </w:p>
        </w:tc>
        <w:tc>
          <w:tcPr>
            <w:tcW w:w="993" w:type="dxa"/>
            <w:vAlign w:val="center"/>
          </w:tcPr>
          <w:p>
            <w:pPr>
              <w:pStyle w:val="80"/>
              <w:widowControl w:val="0"/>
              <w:spacing w:line="240" w:lineRule="atLeast"/>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20</w:t>
            </w:r>
          </w:p>
        </w:tc>
        <w:tc>
          <w:tcPr>
            <w:tcW w:w="1417" w:type="dxa"/>
            <w:vAlign w:val="center"/>
          </w:tcPr>
          <w:p>
            <w:pPr>
              <w:pStyle w:val="80"/>
              <w:widowControl w:val="0"/>
              <w:spacing w:line="240" w:lineRule="atLeast"/>
              <w:jc w:val="center"/>
              <w:rPr>
                <w:rFonts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20%</w:t>
            </w:r>
          </w:p>
        </w:tc>
        <w:tc>
          <w:tcPr>
            <w:tcW w:w="993" w:type="dxa"/>
            <w:vAlign w:val="center"/>
          </w:tcPr>
          <w:p>
            <w:pPr>
              <w:pStyle w:val="80"/>
              <w:widowControl w:val="0"/>
              <w:spacing w:line="240" w:lineRule="atLeast"/>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Merge w:val="continue"/>
            <w:vAlign w:val="center"/>
          </w:tcPr>
          <w:p>
            <w:pPr>
              <w:pStyle w:val="80"/>
              <w:widowControl w:val="0"/>
              <w:spacing w:line="240" w:lineRule="atLeast"/>
              <w:jc w:val="center"/>
              <w:rPr>
                <w:rFonts w:ascii="Times New Roman" w:hAnsi="Times New Roman" w:eastAsia="仿宋_GB2312" w:cs="Times New Roman"/>
                <w:sz w:val="24"/>
                <w:szCs w:val="24"/>
                <w:lang w:eastAsia="zh-CN"/>
              </w:rPr>
            </w:pPr>
          </w:p>
        </w:tc>
        <w:tc>
          <w:tcPr>
            <w:tcW w:w="2409" w:type="dxa"/>
            <w:vAlign w:val="center"/>
          </w:tcPr>
          <w:p>
            <w:pPr>
              <w:pStyle w:val="80"/>
              <w:widowControl w:val="0"/>
              <w:spacing w:line="240" w:lineRule="atLeast"/>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充电桩数量</w:t>
            </w:r>
          </w:p>
        </w:tc>
        <w:tc>
          <w:tcPr>
            <w:tcW w:w="1559" w:type="dxa"/>
            <w:vAlign w:val="center"/>
          </w:tcPr>
          <w:p>
            <w:pPr>
              <w:pStyle w:val="80"/>
              <w:widowControl w:val="0"/>
              <w:spacing w:line="240" w:lineRule="atLeast"/>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个</w:t>
            </w:r>
          </w:p>
        </w:tc>
        <w:tc>
          <w:tcPr>
            <w:tcW w:w="993" w:type="dxa"/>
            <w:vAlign w:val="center"/>
          </w:tcPr>
          <w:p>
            <w:pPr>
              <w:pStyle w:val="80"/>
              <w:widowControl w:val="0"/>
              <w:spacing w:line="240" w:lineRule="atLeast"/>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443</w:t>
            </w:r>
          </w:p>
        </w:tc>
        <w:tc>
          <w:tcPr>
            <w:tcW w:w="993" w:type="dxa"/>
            <w:vAlign w:val="center"/>
          </w:tcPr>
          <w:p>
            <w:pPr>
              <w:pStyle w:val="80"/>
              <w:widowControl w:val="0"/>
              <w:spacing w:line="240" w:lineRule="atLeast"/>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2000</w:t>
            </w:r>
          </w:p>
        </w:tc>
        <w:tc>
          <w:tcPr>
            <w:tcW w:w="1417" w:type="dxa"/>
            <w:vAlign w:val="center"/>
          </w:tcPr>
          <w:p>
            <w:pPr>
              <w:pStyle w:val="80"/>
              <w:widowControl w:val="0"/>
              <w:spacing w:line="240" w:lineRule="atLeast"/>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w:t>
            </w:r>
            <w:r>
              <w:rPr>
                <w:rFonts w:hint="eastAsia" w:ascii="Times New Roman" w:hAnsi="Times New Roman" w:eastAsia="仿宋_GB2312" w:cs="Times New Roman"/>
                <w:sz w:val="24"/>
                <w:szCs w:val="24"/>
                <w:lang w:eastAsia="zh-CN"/>
              </w:rPr>
              <w:t>1</w:t>
            </w:r>
            <w:r>
              <w:rPr>
                <w:rFonts w:ascii="Times New Roman" w:hAnsi="Times New Roman" w:eastAsia="仿宋_GB2312" w:cs="Times New Roman"/>
                <w:sz w:val="24"/>
                <w:szCs w:val="24"/>
                <w:lang w:eastAsia="zh-CN"/>
              </w:rPr>
              <w:t>5</w:t>
            </w:r>
            <w:r>
              <w:rPr>
                <w:rFonts w:hint="eastAsia" w:ascii="Times New Roman" w:hAnsi="Times New Roman" w:eastAsia="仿宋_GB2312" w:cs="Times New Roman"/>
                <w:sz w:val="24"/>
                <w:szCs w:val="24"/>
                <w:lang w:eastAsia="zh-CN"/>
              </w:rPr>
              <w:t>57</w:t>
            </w:r>
            <w:r>
              <w:rPr>
                <w:rFonts w:ascii="Times New Roman" w:hAnsi="Times New Roman" w:eastAsia="仿宋_GB2312" w:cs="Times New Roman"/>
                <w:sz w:val="24"/>
                <w:szCs w:val="24"/>
                <w:lang w:eastAsia="zh-CN"/>
              </w:rPr>
              <w:t>]</w:t>
            </w:r>
          </w:p>
        </w:tc>
        <w:tc>
          <w:tcPr>
            <w:tcW w:w="993" w:type="dxa"/>
            <w:vAlign w:val="center"/>
          </w:tcPr>
          <w:p>
            <w:pPr>
              <w:pStyle w:val="80"/>
              <w:widowControl w:val="0"/>
              <w:spacing w:line="240" w:lineRule="atLeast"/>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预期性</w:t>
            </w:r>
          </w:p>
        </w:tc>
      </w:tr>
    </w:tbl>
    <w:p>
      <w:pPr>
        <w:rPr>
          <w:rFonts w:eastAsia="仿宋_GB2312"/>
          <w:sz w:val="24"/>
          <w:highlight w:val="yellow"/>
        </w:rPr>
      </w:pPr>
      <w:r>
        <w:rPr>
          <w:rFonts w:eastAsia="仿宋_GB2312"/>
          <w:sz w:val="24"/>
        </w:rPr>
        <w:t>注：</w:t>
      </w:r>
      <w:r>
        <w:rPr>
          <w:rFonts w:hint="eastAsia" w:eastAsia="仿宋_GB2312"/>
          <w:sz w:val="24"/>
        </w:rPr>
        <w:t>能源</w:t>
      </w:r>
      <w:r>
        <w:rPr>
          <w:rFonts w:eastAsia="仿宋_GB2312"/>
          <w:sz w:val="24"/>
        </w:rPr>
        <w:t>消费总量和单位GDP能耗</w:t>
      </w:r>
      <w:r>
        <w:rPr>
          <w:rFonts w:hint="eastAsia" w:eastAsia="仿宋_GB2312"/>
          <w:sz w:val="24"/>
        </w:rPr>
        <w:t>累计下降</w:t>
      </w:r>
      <w:r>
        <w:rPr>
          <w:rFonts w:eastAsia="仿宋_GB2312"/>
          <w:sz w:val="24"/>
        </w:rPr>
        <w:t>率以广东省正式下达指标为准</w:t>
      </w:r>
      <w:r>
        <w:rPr>
          <w:rFonts w:hint="eastAsia" w:eastAsia="仿宋_GB2312"/>
          <w:sz w:val="24"/>
        </w:rPr>
        <w:t>。</w:t>
      </w:r>
    </w:p>
    <w:p>
      <w:pPr>
        <w:rPr>
          <w:highlight w:val="yellow"/>
        </w:rPr>
        <w:sectPr>
          <w:footerReference r:id="rId10" w:type="default"/>
          <w:pgSz w:w="11906" w:h="16838"/>
          <w:pgMar w:top="1440" w:right="1803" w:bottom="1440" w:left="1803" w:header="1021" w:footer="1020" w:gutter="0"/>
          <w:paperSrc/>
          <w:pgNumType w:start="1"/>
          <w:cols w:space="0" w:num="1"/>
          <w:rtlGutter w:val="0"/>
          <w:docGrid w:linePitch="381" w:charSpace="0"/>
        </w:sectPr>
      </w:pPr>
    </w:p>
    <w:p>
      <w:pPr>
        <w:pStyle w:val="2"/>
        <w:widowControl w:val="0"/>
        <w:numPr>
          <w:ilvl w:val="0"/>
          <w:numId w:val="1"/>
        </w:numPr>
        <w:spacing w:before="300" w:after="200" w:line="560" w:lineRule="exact"/>
        <w:ind w:left="0" w:firstLine="0"/>
        <w:jc w:val="center"/>
        <w:rPr>
          <w:rFonts w:eastAsia="黑体"/>
          <w:b w:val="0"/>
          <w:color w:val="auto"/>
          <w:sz w:val="36"/>
          <w:szCs w:val="44"/>
        </w:rPr>
      </w:pPr>
      <w:bookmarkStart w:id="16" w:name="_Toc76568820"/>
      <w:r>
        <w:rPr>
          <w:rFonts w:hint="eastAsia" w:eastAsia="黑体"/>
          <w:b w:val="0"/>
          <w:color w:val="auto"/>
          <w:sz w:val="36"/>
          <w:szCs w:val="44"/>
        </w:rPr>
        <w:t>重要任务</w:t>
      </w:r>
      <w:bookmarkEnd w:id="16"/>
    </w:p>
    <w:p>
      <w:pPr>
        <w:pStyle w:val="3"/>
        <w:rPr>
          <w:rFonts w:cs="Times New Roman"/>
        </w:rPr>
      </w:pPr>
      <w:bookmarkStart w:id="17" w:name="_Toc76568821"/>
      <w:r>
        <w:rPr>
          <w:rFonts w:cs="Times New Roman"/>
        </w:rPr>
        <w:t>第一节  优化供给，构建多元互补的能源供应体系</w:t>
      </w:r>
      <w:bookmarkEnd w:id="17"/>
    </w:p>
    <w:p>
      <w:pPr>
        <w:pStyle w:val="39"/>
        <w:ind w:firstLine="640"/>
        <w:rPr>
          <w:highlight w:val="yellow"/>
        </w:rPr>
      </w:pPr>
      <w:r>
        <w:t>积极推进能源供给侧改革，建立多元供应体系，大力发展可再生能源，推进煤炭清洁高效利用，加快推进园区集中供热，扩大天然气利用规模。</w:t>
      </w:r>
    </w:p>
    <w:p>
      <w:pPr>
        <w:pStyle w:val="4"/>
        <w:ind w:firstLine="643"/>
      </w:pPr>
      <w:r>
        <w:rPr>
          <w:rFonts w:hint="eastAsia"/>
        </w:rPr>
        <w:t>（一）</w:t>
      </w:r>
      <w:r>
        <w:t>多元化发展可再生能源</w:t>
      </w:r>
    </w:p>
    <w:p>
      <w:pPr>
        <w:pStyle w:val="39"/>
        <w:ind w:firstLine="643"/>
        <w:rPr>
          <w:highlight w:val="none"/>
        </w:rPr>
      </w:pPr>
      <w:r>
        <w:rPr>
          <w:b/>
        </w:rPr>
        <w:t>——凸显资源禀赋，多元化利用太阳能。</w:t>
      </w:r>
      <w:r>
        <w:t>坚持集中式与分布式相结合，充分利用北部山区资源优势，采用光伏产业精准扶贫等多种形式，</w:t>
      </w:r>
      <w:r>
        <w:rPr>
          <w:rFonts w:hint="eastAsia"/>
        </w:rPr>
        <w:t>高质量推广生态友好型“光伏+农渔业”开发模式，</w:t>
      </w:r>
      <w:r>
        <w:t>建设“农光互补”、“渔光互补”示范项目。</w:t>
      </w:r>
      <w:r>
        <w:rPr>
          <w:rFonts w:hint="eastAsia"/>
        </w:rPr>
        <w:t>积极发展建筑一体化光伏发电系统，</w:t>
      </w:r>
      <w:r>
        <w:t>推进分布式光伏发电项目在产业集聚区、高新技术开发区、生态农业园区、公共机构、重点用能企业等建筑屋顶建设应用。积极拓展太阳能热与常规能源系统融合利用，大力推广应用太阳能热水器和新型太阳能热水系统，进一步提高太阳能热利用普及率。支持可再生能源资源丰富的县区建设新能源示范区，采用多样化的新能源利用技术，推进太阳能、生物质能、风能等新能源综合应用，满足城市电力、供热、制冷等能源需求，形成新能源利</w:t>
      </w:r>
      <w:r>
        <w:rPr>
          <w:highlight w:val="none"/>
        </w:rPr>
        <w:t>用的局部优势区域。</w:t>
      </w:r>
      <w:r>
        <w:rPr>
          <w:rFonts w:hint="eastAsia"/>
          <w:highlight w:val="none"/>
        </w:rPr>
        <w:t>“十四五”期间</w:t>
      </w:r>
      <w:r>
        <w:rPr>
          <w:highlight w:val="none"/>
        </w:rPr>
        <w:t>，全市新增光伏发电装机</w:t>
      </w:r>
      <w:r>
        <w:rPr>
          <w:rFonts w:hint="eastAsia"/>
          <w:highlight w:val="none"/>
        </w:rPr>
        <w:t>约300</w:t>
      </w:r>
      <w:r>
        <w:rPr>
          <w:highlight w:val="none"/>
        </w:rPr>
        <w:t>万千瓦。</w:t>
      </w:r>
    </w:p>
    <w:p>
      <w:pPr>
        <w:pStyle w:val="39"/>
        <w:ind w:firstLine="643"/>
        <w:rPr>
          <w:highlight w:val="none"/>
        </w:rPr>
      </w:pPr>
      <w:r>
        <w:rPr>
          <w:b/>
          <w:highlight w:val="none"/>
        </w:rPr>
        <w:t>——集中为主、分散为辅，高质量规模化有序发展陆上风电。</w:t>
      </w:r>
      <w:r>
        <w:rPr>
          <w:highlight w:val="none"/>
        </w:rPr>
        <w:t>充分利用北部山区风力资源，因地制宜推进风电项目的建设。统筹风电项目开发和配套电网建设，保障风电场电力高效利用、电力系统安全稳定。统筹风电项目开发和生态环境保护，保障风电场建设顺利、生态环境充分保护。到2025年，全市新增风电装机约</w:t>
      </w:r>
      <w:r>
        <w:rPr>
          <w:rFonts w:hint="eastAsia"/>
          <w:highlight w:val="none"/>
          <w:lang w:val="en-US" w:eastAsia="zh-CN"/>
        </w:rPr>
        <w:t>150</w:t>
      </w:r>
      <w:r>
        <w:rPr>
          <w:highlight w:val="none"/>
        </w:rPr>
        <w:t>万千瓦。</w:t>
      </w:r>
    </w:p>
    <w:p>
      <w:pPr>
        <w:pStyle w:val="39"/>
        <w:ind w:firstLine="643"/>
      </w:pPr>
      <w:r>
        <w:rPr>
          <w:b/>
          <w:highlight w:val="none"/>
        </w:rPr>
        <w:t>——因地制宜、多元发展生物质能源。</w:t>
      </w:r>
      <w:r>
        <w:rPr>
          <w:highlight w:val="none"/>
        </w:rPr>
        <w:t>在</w:t>
      </w:r>
      <w:r>
        <w:t>北部山区农林剩余物资源丰富地区，重点建设农林生物质发电项目；合理布局垃圾发电和沼气利用项目，推进城市垃圾、农林废弃物和畜禽粪便的能源化利用，合理有序发展市区生活垃圾焚烧发电项目。</w:t>
      </w:r>
      <w:r>
        <w:rPr>
          <w:rFonts w:hint="eastAsia"/>
        </w:rPr>
        <w:t>“十四五”期间</w:t>
      </w:r>
      <w:r>
        <w:t>，新增生物质发电装机4万千瓦。</w:t>
      </w:r>
    </w:p>
    <w:p>
      <w:pPr>
        <w:pStyle w:val="39"/>
        <w:ind w:firstLine="643"/>
        <w:rPr>
          <w:b/>
        </w:rPr>
      </w:pPr>
      <w:r>
        <w:rPr>
          <w:b/>
        </w:rPr>
        <w:t>——优化提升中小水电站的管理水平。</w:t>
      </w:r>
      <w:r>
        <w:rPr>
          <w:rFonts w:hint="eastAsia"/>
        </w:rPr>
        <w:t>完善小水电建管制度，建立长效发展机制，健全监管体系，加强监督管理，严控新建项目。</w:t>
      </w:r>
      <w:r>
        <w:t>在严守生态保护红线的前提下，因地制宜实施以安全、环保为目标的小水电</w:t>
      </w:r>
      <w:r>
        <w:rPr>
          <w:rFonts w:hint="eastAsia"/>
        </w:rPr>
        <w:t>绿色</w:t>
      </w:r>
      <w:r>
        <w:t>改造，提高电站安全水平，提升机组运行效率；对生态环境影响较大，存在安全隐患的老旧小水电站，考虑适时予以关停</w:t>
      </w:r>
      <w:r>
        <w:rPr>
          <w:rFonts w:hint="eastAsia"/>
        </w:rPr>
        <w:t>，并做好电的供应工作；严格控制新建小水电项目，鼓励和支持小水电站自行退出；涉及脱贫攻坚、独立供电、防洪、供水、灌溉等民生需求的退出类电站，要妥善考虑公益性功能的替代方案。</w:t>
      </w:r>
    </w:p>
    <w:p>
      <w:pPr>
        <w:pStyle w:val="39"/>
        <w:ind w:firstLine="643"/>
        <w:rPr>
          <w:b/>
        </w:rPr>
      </w:pPr>
      <w:r>
        <w:rPr>
          <w:b/>
        </w:rPr>
        <w:t>——积极开展抽水蓄能电站前期研究。</w:t>
      </w:r>
      <w:r>
        <w:t>综合考虑地形地质、水文气象等条件以及</w:t>
      </w:r>
      <w:r>
        <w:rPr>
          <w:rFonts w:hint="eastAsia"/>
        </w:rPr>
        <w:t>区域电力系统调峰填谷、调频、调相、安全稳定运行需求</w:t>
      </w:r>
      <w:r>
        <w:rPr>
          <w:rFonts w:hint="eastAsia"/>
          <w:b/>
        </w:rPr>
        <w:t>，</w:t>
      </w:r>
      <w:r>
        <w:t>合理研究抽水蓄能电站</w:t>
      </w:r>
      <w:r>
        <w:rPr>
          <w:rFonts w:hint="eastAsia"/>
        </w:rPr>
        <w:t>布局和建设</w:t>
      </w:r>
      <w:r>
        <w:t>。研究在连州、英德等地建设抽水蓄能电站的可行性，增强区域电网调峰能力。</w:t>
      </w:r>
    </w:p>
    <w:p>
      <w:pPr>
        <w:pStyle w:val="4"/>
        <w:ind w:firstLine="643"/>
      </w:pPr>
      <w:r>
        <w:rPr>
          <w:rFonts w:hint="eastAsia"/>
        </w:rPr>
        <w:t>（二）科学发展清洁高效煤电</w:t>
      </w:r>
    </w:p>
    <w:p>
      <w:pPr>
        <w:pStyle w:val="39"/>
        <w:ind w:firstLine="640"/>
      </w:pPr>
      <w:r>
        <w:t>煤电项目按照供电煤耗和超低排放先进标准，采用最先进二次再热超超临界技术，执行能效和环保准入标准，同步建设先进高效脱硫、脱硝和除尘设施，污染物排放达到近零排放。重点推进神华国华清远发电工程项目建设，“十四五”期间新增煤电装机200万千瓦。</w:t>
      </w:r>
    </w:p>
    <w:p>
      <w:pPr>
        <w:pStyle w:val="4"/>
        <w:ind w:firstLine="643"/>
      </w:pPr>
      <w:r>
        <w:rPr>
          <w:rFonts w:hint="eastAsia"/>
        </w:rPr>
        <w:t>（三）积极</w:t>
      </w:r>
      <w:r>
        <w:t>推进天然气发电</w:t>
      </w:r>
      <w:r>
        <w:rPr>
          <w:rFonts w:hint="eastAsia"/>
        </w:rPr>
        <w:t>和集中供热</w:t>
      </w:r>
    </w:p>
    <w:p>
      <w:pPr>
        <w:pStyle w:val="39"/>
        <w:ind w:firstLine="640"/>
      </w:pPr>
      <w:r>
        <w:t>在具有稳定热电负荷的工业园区和产业集聚区适度发展天然气热电联产项目；</w:t>
      </w:r>
      <w:r>
        <w:rPr>
          <w:rFonts w:hint="eastAsia"/>
        </w:rPr>
        <w:t>因地制宜推广</w:t>
      </w:r>
      <w:r>
        <w:t>天然气分布式能源</w:t>
      </w:r>
      <w:r>
        <w:rPr>
          <w:rFonts w:hint="eastAsia"/>
        </w:rPr>
        <w:t>系统建设</w:t>
      </w:r>
      <w:r>
        <w:t>，</w:t>
      </w:r>
      <w:r>
        <w:rPr>
          <w:rFonts w:hint="eastAsia"/>
        </w:rPr>
        <w:t>提供电、热、冷等多种能源的综合供应，在</w:t>
      </w:r>
      <w:r>
        <w:t>产业集聚区和产业园区</w:t>
      </w:r>
      <w:r>
        <w:rPr>
          <w:rFonts w:hint="eastAsia"/>
        </w:rPr>
        <w:t>，</w:t>
      </w:r>
      <w:r>
        <w:t>按照“一区一站”原则</w:t>
      </w:r>
      <w:r>
        <w:rPr>
          <w:rFonts w:hint="eastAsia"/>
        </w:rPr>
        <w:t>布局</w:t>
      </w:r>
      <w:r>
        <w:t>天然气分布式能源站</w:t>
      </w:r>
      <w:r>
        <w:rPr>
          <w:rFonts w:hint="eastAsia"/>
        </w:rPr>
        <w:t>；</w:t>
      </w:r>
      <w:r>
        <w:t>有序建设天然气调峰电站，在气源有保障、气价可承受的地区规划建设天然气调峰电站。</w:t>
      </w:r>
      <w:r>
        <w:rPr>
          <w:rFonts w:hint="eastAsia"/>
        </w:rPr>
        <w:t>到2025年，全市新增天然气发电装机约</w:t>
      </w:r>
      <w:r>
        <w:t>91</w:t>
      </w:r>
      <w:r>
        <w:rPr>
          <w:rFonts w:hint="eastAsia"/>
        </w:rPr>
        <w:t>万千瓦。</w:t>
      </w:r>
    </w:p>
    <w:p>
      <w:pPr>
        <w:pStyle w:val="39"/>
        <w:ind w:firstLine="640"/>
      </w:pPr>
      <w:r>
        <w:t>因地制宜，科学布局集中供热热源点，加快推进工业园区及产业集聚区集中供热。落实工业园区和产业集聚区集中供热建设规划，合理建设天然气热电联产、分布式能源站等集中供热设施，加快淘汰分散燃煤小锅炉，积极促进用热企业向园区集聚。到2025年，全市省级工业园区和热负荷集中的工业园区基本实现集中供热，集中供热范围内分散供热锅炉全部淘汰或者部分改为应急调峰备用气源，不再新建分散供热锅炉。</w:t>
      </w:r>
    </w:p>
    <w:p>
      <w:pPr>
        <w:pStyle w:val="4"/>
        <w:ind w:firstLine="643"/>
      </w:pPr>
      <w:r>
        <w:rPr>
          <w:rFonts w:hint="eastAsia"/>
        </w:rPr>
        <w:t>（四）推动“源网荷储”一体化</w:t>
      </w:r>
    </w:p>
    <w:p>
      <w:pPr>
        <w:pStyle w:val="39"/>
        <w:ind w:firstLine="640"/>
      </w:pPr>
      <w:r>
        <w:rPr>
          <w:rFonts w:hint="eastAsia"/>
        </w:rPr>
        <w:t>积极推动“源网荷储”一体化集成优化和一体化协调发展，着力推动“可再生能源+储能”创新发展，依托现有规划的风力发电站、光伏电站以及储能电站，探索创建若干个“源网荷储”一体化基地。</w:t>
      </w:r>
    </w:p>
    <w:p>
      <w:pPr>
        <w:pStyle w:val="39"/>
        <w:ind w:firstLine="640"/>
      </w:pPr>
    </w:p>
    <w:tbl>
      <w:tblPr>
        <w:tblStyle w:val="25"/>
        <w:tblW w:w="82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8263" w:type="dxa"/>
            <w:vAlign w:val="top"/>
          </w:tcPr>
          <w:p>
            <w:pPr>
              <w:pStyle w:val="53"/>
              <w:adjustRightInd w:val="0"/>
              <w:snapToGrid w:val="0"/>
              <w:spacing w:line="580" w:lineRule="exact"/>
              <w:ind w:firstLine="562"/>
              <w:jc w:val="center"/>
              <w:rPr>
                <w:rFonts w:eastAsia="仿宋_GB2312"/>
                <w:b/>
                <w:sz w:val="32"/>
                <w:szCs w:val="32"/>
              </w:rPr>
            </w:pPr>
            <w:r>
              <w:rPr>
                <w:rFonts w:eastAsia="楷体_GB2312"/>
                <w:b/>
                <w:bCs/>
                <w:szCs w:val="28"/>
              </w:rPr>
              <w:t>专栏3 重点工程列表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7" w:hRule="atLeast"/>
        </w:trPr>
        <w:tc>
          <w:tcPr>
            <w:tcW w:w="8263" w:type="dxa"/>
            <w:vAlign w:val="top"/>
          </w:tcPr>
          <w:p>
            <w:pPr>
              <w:adjustRightInd w:val="0"/>
              <w:snapToGrid w:val="0"/>
              <w:ind w:firstLine="482" w:firstLineChars="200"/>
              <w:rPr>
                <w:rFonts w:eastAsia="仿宋_GB2312"/>
                <w:sz w:val="24"/>
              </w:rPr>
            </w:pPr>
            <w:r>
              <w:rPr>
                <w:rFonts w:eastAsia="仿宋_GB2312"/>
                <w:b/>
                <w:sz w:val="24"/>
              </w:rPr>
              <w:t>煤电</w:t>
            </w:r>
            <w:r>
              <w:rPr>
                <w:rFonts w:eastAsia="仿宋_GB2312"/>
                <w:sz w:val="24"/>
              </w:rPr>
              <w:t>：新增投产神华国华清远发电工程项目。</w:t>
            </w:r>
          </w:p>
          <w:p>
            <w:pPr>
              <w:ind w:firstLine="482" w:firstLineChars="200"/>
              <w:rPr>
                <w:rFonts w:eastAsia="仿宋_GB2312"/>
                <w:sz w:val="24"/>
              </w:rPr>
            </w:pPr>
            <w:r>
              <w:rPr>
                <w:rFonts w:eastAsia="仿宋_GB2312"/>
                <w:b/>
                <w:sz w:val="24"/>
              </w:rPr>
              <w:t>气电</w:t>
            </w:r>
            <w:r>
              <w:rPr>
                <w:rFonts w:eastAsia="仿宋_GB2312"/>
                <w:sz w:val="24"/>
              </w:rPr>
              <w:t>：新增投产</w:t>
            </w:r>
            <w:r>
              <w:rPr>
                <w:rFonts w:hint="eastAsia" w:eastAsia="仿宋_GB2312"/>
                <w:sz w:val="24"/>
              </w:rPr>
              <w:t>顺德清远（英德）经信合作区热电联产（2×9F级）项目、佛冈燃气分布式能源站项目、清远石角天然气分布式能源站、高新区分布式能源站项目、清远华侨工业园天然气分布式能源站项目。</w:t>
            </w:r>
            <w:r>
              <w:rPr>
                <w:rFonts w:eastAsia="仿宋_GB2312"/>
                <w:sz w:val="24"/>
              </w:rPr>
              <w:t>积极</w:t>
            </w:r>
            <w:r>
              <w:rPr>
                <w:rFonts w:hint="eastAsia" w:eastAsia="仿宋_GB2312"/>
                <w:sz w:val="24"/>
              </w:rPr>
              <w:t>推动清远石角天然气热电联产项目</w:t>
            </w:r>
            <w:r>
              <w:rPr>
                <w:rFonts w:eastAsia="仿宋_GB2312"/>
                <w:sz w:val="24"/>
              </w:rPr>
              <w:t>开工建设。</w:t>
            </w:r>
          </w:p>
          <w:p>
            <w:pPr>
              <w:ind w:firstLine="482" w:firstLineChars="200"/>
              <w:rPr>
                <w:rFonts w:eastAsia="仿宋_GB2312"/>
                <w:sz w:val="24"/>
              </w:rPr>
            </w:pPr>
            <w:r>
              <w:rPr>
                <w:rFonts w:eastAsia="仿宋_GB2312"/>
                <w:b/>
                <w:sz w:val="24"/>
              </w:rPr>
              <w:t>风电：</w:t>
            </w:r>
            <w:r>
              <w:rPr>
                <w:rFonts w:eastAsia="仿宋_GB2312"/>
                <w:sz w:val="24"/>
              </w:rPr>
              <w:t>新增投产</w:t>
            </w:r>
            <w:r>
              <w:rPr>
                <w:rFonts w:hint="eastAsia" w:eastAsia="仿宋_GB2312"/>
                <w:sz w:val="24"/>
              </w:rPr>
              <w:t>清远连州福山风电场扩建项目</w:t>
            </w:r>
            <w:r>
              <w:rPr>
                <w:rFonts w:eastAsia="仿宋_GB2312"/>
                <w:sz w:val="24"/>
              </w:rPr>
              <w:t>、</w:t>
            </w:r>
            <w:r>
              <w:rPr>
                <w:rFonts w:hint="eastAsia" w:eastAsia="仿宋_GB2312"/>
                <w:sz w:val="24"/>
              </w:rPr>
              <w:t>清远连州福山风电场扩建项目</w:t>
            </w:r>
            <w:r>
              <w:rPr>
                <w:rFonts w:eastAsia="仿宋_GB2312"/>
                <w:sz w:val="24"/>
              </w:rPr>
              <w:t>等13</w:t>
            </w:r>
            <w:r>
              <w:rPr>
                <w:rFonts w:hint="eastAsia" w:eastAsia="仿宋_GB2312"/>
                <w:sz w:val="24"/>
              </w:rPr>
              <w:t>个</w:t>
            </w:r>
            <w:r>
              <w:rPr>
                <w:rFonts w:eastAsia="仿宋_GB2312"/>
                <w:sz w:val="24"/>
              </w:rPr>
              <w:t>项目。</w:t>
            </w:r>
          </w:p>
          <w:p>
            <w:pPr>
              <w:ind w:firstLine="482" w:firstLineChars="200"/>
              <w:rPr>
                <w:rFonts w:eastAsia="仿宋_GB2312"/>
                <w:sz w:val="24"/>
                <w:highlight w:val="red"/>
              </w:rPr>
            </w:pPr>
            <w:r>
              <w:rPr>
                <w:rFonts w:eastAsia="仿宋_GB2312"/>
                <w:b/>
                <w:sz w:val="24"/>
              </w:rPr>
              <w:t>光伏</w:t>
            </w:r>
            <w:r>
              <w:rPr>
                <w:rFonts w:eastAsia="仿宋_GB2312"/>
                <w:sz w:val="24"/>
              </w:rPr>
              <w:t>：新增投产</w:t>
            </w:r>
            <w:r>
              <w:rPr>
                <w:rFonts w:hint="eastAsia" w:eastAsia="仿宋_GB2312"/>
                <w:sz w:val="24"/>
              </w:rPr>
              <w:t>清远市清新区1GW（一期500MW）渔光互补旅游综合示范项目</w:t>
            </w:r>
            <w:r>
              <w:rPr>
                <w:rFonts w:eastAsia="仿宋_GB2312"/>
                <w:sz w:val="24"/>
              </w:rPr>
              <w:t>等48</w:t>
            </w:r>
            <w:r>
              <w:rPr>
                <w:rFonts w:hint="eastAsia" w:eastAsia="仿宋_GB2312"/>
                <w:sz w:val="24"/>
              </w:rPr>
              <w:t>个</w:t>
            </w:r>
            <w:r>
              <w:rPr>
                <w:rFonts w:eastAsia="仿宋_GB2312"/>
                <w:sz w:val="24"/>
              </w:rPr>
              <w:t>项目。</w:t>
            </w:r>
          </w:p>
          <w:p>
            <w:pPr>
              <w:adjustRightInd w:val="0"/>
              <w:snapToGrid w:val="0"/>
              <w:ind w:firstLine="482" w:firstLineChars="200"/>
              <w:rPr>
                <w:rFonts w:eastAsia="仿宋_GB2312"/>
                <w:sz w:val="24"/>
              </w:rPr>
            </w:pPr>
            <w:r>
              <w:rPr>
                <w:rFonts w:eastAsia="仿宋_GB2312"/>
                <w:b/>
                <w:sz w:val="24"/>
              </w:rPr>
              <w:t>生物质发电：</w:t>
            </w:r>
            <w:r>
              <w:rPr>
                <w:rFonts w:eastAsia="仿宋_GB2312"/>
                <w:sz w:val="24"/>
              </w:rPr>
              <w:t>积极推动</w:t>
            </w:r>
            <w:r>
              <w:rPr>
                <w:rFonts w:hint="eastAsia" w:eastAsia="仿宋_GB2312"/>
                <w:sz w:val="24"/>
              </w:rPr>
              <w:t>清新区禾云镇清农清远鸡养殖基地3MW沼气发电项目、清远北部（三连一阳）能源生态园项目</w:t>
            </w:r>
            <w:r>
              <w:rPr>
                <w:rFonts w:eastAsia="仿宋_GB2312"/>
                <w:sz w:val="24"/>
              </w:rPr>
              <w:t>等2</w:t>
            </w:r>
            <w:r>
              <w:rPr>
                <w:rFonts w:hint="eastAsia" w:eastAsia="仿宋_GB2312"/>
                <w:sz w:val="24"/>
              </w:rPr>
              <w:t>个</w:t>
            </w:r>
            <w:r>
              <w:rPr>
                <w:rFonts w:eastAsia="仿宋_GB2312"/>
                <w:sz w:val="24"/>
              </w:rPr>
              <w:t>生物质发电项目建设。</w:t>
            </w:r>
          </w:p>
          <w:p>
            <w:pPr>
              <w:adjustRightInd w:val="0"/>
              <w:snapToGrid w:val="0"/>
              <w:ind w:firstLine="482" w:firstLineChars="200"/>
              <w:rPr>
                <w:rFonts w:eastAsia="仿宋_GB2312"/>
                <w:sz w:val="24"/>
              </w:rPr>
            </w:pPr>
            <w:r>
              <w:rPr>
                <w:rFonts w:eastAsia="仿宋_GB2312"/>
                <w:b/>
                <w:sz w:val="24"/>
              </w:rPr>
              <w:t>抽水蓄能：</w:t>
            </w:r>
            <w:r>
              <w:rPr>
                <w:rFonts w:eastAsia="仿宋_GB2312"/>
                <w:sz w:val="24"/>
              </w:rPr>
              <w:t>积极推动广东英德抽水蓄能项目、连州市潭岭（天湖）抽水蓄能电站项目开展前期工作。</w:t>
            </w:r>
          </w:p>
          <w:p>
            <w:pPr>
              <w:pStyle w:val="4"/>
              <w:spacing w:line="360" w:lineRule="auto"/>
              <w:ind w:firstLine="482"/>
              <w:rPr>
                <w:rFonts w:eastAsia="仿宋_GB2312"/>
                <w:bCs w:val="0"/>
                <w:sz w:val="24"/>
                <w:szCs w:val="24"/>
              </w:rPr>
            </w:pPr>
            <w:r>
              <w:rPr>
                <w:rFonts w:hint="eastAsia" w:eastAsia="仿宋_GB2312"/>
                <w:bCs w:val="0"/>
                <w:sz w:val="24"/>
                <w:szCs w:val="24"/>
              </w:rPr>
              <w:t>源网荷储”一体化和储能：</w:t>
            </w:r>
            <w:r>
              <w:rPr>
                <w:rFonts w:hint="eastAsia" w:eastAsia="仿宋_GB2312"/>
                <w:b w:val="0"/>
                <w:bCs w:val="0"/>
                <w:sz w:val="24"/>
                <w:szCs w:val="24"/>
              </w:rPr>
              <w:t>积极推动清远清城区源网荷储一体化等4个项目开工建设。</w:t>
            </w:r>
          </w:p>
        </w:tc>
      </w:tr>
    </w:tbl>
    <w:p>
      <w:pPr>
        <w:rPr>
          <w:highlight w:val="yellow"/>
        </w:rPr>
      </w:pPr>
    </w:p>
    <w:p>
      <w:pPr>
        <w:pStyle w:val="3"/>
        <w:rPr>
          <w:rFonts w:cs="Times New Roman"/>
        </w:rPr>
      </w:pPr>
      <w:bookmarkStart w:id="18" w:name="_Toc76568822"/>
      <w:r>
        <w:rPr>
          <w:rFonts w:cs="Times New Roman"/>
        </w:rPr>
        <w:t>第二节  夯实基础，构建坚强可靠的能源</w:t>
      </w:r>
      <w:r>
        <w:rPr>
          <w:rFonts w:hint="eastAsia" w:cs="Times New Roman"/>
        </w:rPr>
        <w:t>储运</w:t>
      </w:r>
      <w:r>
        <w:rPr>
          <w:rFonts w:cs="Times New Roman"/>
        </w:rPr>
        <w:t>体系</w:t>
      </w:r>
      <w:bookmarkEnd w:id="18"/>
    </w:p>
    <w:p>
      <w:pPr>
        <w:pStyle w:val="4"/>
        <w:ind w:firstLine="643"/>
      </w:pPr>
      <w:r>
        <w:rPr>
          <w:rFonts w:hint="eastAsia"/>
        </w:rPr>
        <w:t>（一）</w:t>
      </w:r>
      <w:r>
        <w:t>优化完善坚强电网</w:t>
      </w:r>
    </w:p>
    <w:p>
      <w:pPr>
        <w:pStyle w:val="39"/>
        <w:ind w:firstLine="640"/>
      </w:pPr>
      <w:r>
        <w:rPr>
          <w:rFonts w:hint="eastAsia"/>
        </w:rPr>
        <w:t>在“做强主网、做优配网”的基础上，遵循差异化原则，充分发掘主配网短板，加快解决网架薄弱问题，</w:t>
      </w:r>
      <w:r>
        <w:t>加强重点地区变电站和输电线路建设</w:t>
      </w:r>
      <w:r>
        <w:rPr>
          <w:rFonts w:hint="eastAsia"/>
        </w:rPr>
        <w:t>，</w:t>
      </w:r>
      <w:r>
        <w:t>实施新一轮农网改造升级工程，加强电网质量，逐步形成结构合理、安全可靠、经济环保、技术先进、信息畅通的现代化电网。</w:t>
      </w:r>
    </w:p>
    <w:p>
      <w:pPr>
        <w:pStyle w:val="39"/>
        <w:ind w:firstLine="640"/>
      </w:pPr>
      <w:r>
        <w:t>强化清远500千伏骨干电网，建成500千伏清城输变电工程，增加降压容量，缓解供电压力，改善中心城区电网薄弱的状况。220千伏电网基本形成以3座500千伏变电站为中心，地方骨干电源为支撑的双回链式结构网架，各分区之间通过联络线路具备事故支援能力，</w:t>
      </w:r>
      <w:r>
        <w:rPr>
          <w:rFonts w:hint="eastAsia"/>
        </w:rPr>
        <w:t>其中西北片（三连一阳+清新区中北部）形成以500千伏贤令山站为支撑的“双回路环网+不完全日字型”结构。东北片（英德市）形成以500千伏库湾站为中心、以英德热电联产及韶关上大压小电厂为支撑的“双回路日字型”结构。南部负荷中心形成以500千伏库湾站、清城站东、西互供互备，以500千伏东坡、花都为支援的“1（日字型）+3（双回路环网）+1（双回路链式）”结构。</w:t>
      </w:r>
      <w:r>
        <w:t>建设清远北部山区可再生能源南送通道，提高连阳片区电力送出能力，衔接好可再生能源发电项目与配套电网建设，保障可再生能源发电项目顺利并网高效利用。提高负荷集中区（清城、佛冈及清新南部）110千伏变电站的供电能力，加强高压配电网网架建设，改造110千伏电网单线供电、35千伏线路辐射型接线的线路，提高供电可靠性。</w:t>
      </w:r>
    </w:p>
    <w:p>
      <w:pPr>
        <w:pStyle w:val="4"/>
        <w:ind w:firstLine="643"/>
      </w:pPr>
      <w:r>
        <w:rPr>
          <w:rFonts w:hint="eastAsia"/>
        </w:rPr>
        <w:t>（二）</w:t>
      </w:r>
      <w:r>
        <w:t>加快天然气</w:t>
      </w:r>
      <w:r>
        <w:rPr>
          <w:rFonts w:hint="eastAsia"/>
        </w:rPr>
        <w:t>管网体系建设</w:t>
      </w:r>
    </w:p>
    <w:p>
      <w:pPr>
        <w:pStyle w:val="39"/>
        <w:ind w:firstLine="640"/>
      </w:pPr>
      <w:r>
        <w:t>推进市域天然气长输管线和城市高压管道建设，加快城镇天然气中低压管网建设，形成接入国家和省级主干管网、连通主要燃气电厂、覆盖两区两市四县的天然气管网新格局。</w:t>
      </w:r>
    </w:p>
    <w:p>
      <w:pPr>
        <w:pStyle w:val="39"/>
        <w:ind w:firstLine="640"/>
      </w:pPr>
      <w:r>
        <w:t>加快省“县县通”工程建设，争取我市尚未通管道天然气的县（市、区）全部纳入“县县通”工程建设范围，力争202</w:t>
      </w:r>
      <w:r>
        <w:rPr>
          <w:rFonts w:hint="eastAsia"/>
        </w:rPr>
        <w:t>2</w:t>
      </w:r>
      <w:r>
        <w:t>年前省天然气主干管网通达我市全部县级行政区。</w:t>
      </w:r>
      <w:r>
        <w:rPr>
          <w:rFonts w:hint="eastAsia"/>
        </w:rPr>
        <w:t>重点推动清禾专线项目、禾云-连州-连山项目开工建设。</w:t>
      </w:r>
    </w:p>
    <w:p>
      <w:pPr>
        <w:pStyle w:val="39"/>
        <w:ind w:firstLine="640"/>
      </w:pPr>
      <w:r>
        <w:t>加快全市“一张网”建设，优先支持中心城区“一张网”建设，推动高新区、源潭片区、云龙工业园片区燃气管道互联互通建设，架构全市“一张网”基本骨架，推动我市“一张网”与国家和省“一张网”的充分衔接。</w:t>
      </w:r>
    </w:p>
    <w:p>
      <w:pPr>
        <w:pStyle w:val="39"/>
        <w:ind w:firstLine="640"/>
        <w:rPr>
          <w:b/>
        </w:rPr>
      </w:pPr>
      <w:r>
        <w:rPr>
          <w:rFonts w:hint="eastAsia"/>
        </w:rPr>
        <w:t>对尚不具备通达管道气的大用户和产业集聚区，努力增加补充气源，支持大型工业用户直接与上游气源企业签订燃气购销合同。</w:t>
      </w:r>
    </w:p>
    <w:p>
      <w:pPr>
        <w:pStyle w:val="39"/>
        <w:ind w:firstLine="640"/>
      </w:pPr>
      <w:r>
        <w:t>“十四五”期间，新增</w:t>
      </w:r>
      <w:r>
        <w:rPr>
          <w:rFonts w:hint="eastAsia"/>
        </w:rPr>
        <w:t>天然气供应</w:t>
      </w:r>
      <w:r>
        <w:t>能力20.8亿立方米，管道气化率由提高到60%左右，城镇居民气化率提高到70%左右。</w:t>
      </w:r>
    </w:p>
    <w:p>
      <w:pPr>
        <w:pStyle w:val="4"/>
        <w:ind w:firstLine="643"/>
      </w:pPr>
      <w:r>
        <w:rPr>
          <w:rFonts w:hint="eastAsia"/>
        </w:rPr>
        <w:t>（三）</w:t>
      </w:r>
      <w:r>
        <w:t>加强应急储备</w:t>
      </w:r>
      <w:r>
        <w:rPr>
          <w:rFonts w:hint="eastAsia"/>
        </w:rPr>
        <w:t>能力</w:t>
      </w:r>
      <w:r>
        <w:t>建设</w:t>
      </w:r>
    </w:p>
    <w:p>
      <w:pPr>
        <w:pStyle w:val="39"/>
        <w:ind w:firstLine="643"/>
      </w:pPr>
      <w:r>
        <w:rPr>
          <w:b/>
        </w:rPr>
        <w:t>——</w:t>
      </w:r>
      <w:r>
        <w:rPr>
          <w:rFonts w:hint="eastAsia"/>
          <w:b/>
        </w:rPr>
        <w:t>加强天然气储备能力建设。</w:t>
      </w:r>
      <w:r>
        <w:t>统筹落实城市燃气储气能力，助力形成多气源、多主体的天然气供应格局</w:t>
      </w:r>
      <w:r>
        <w:rPr>
          <w:rFonts w:hint="eastAsia"/>
        </w:rPr>
        <w:t>。</w:t>
      </w:r>
      <w:r>
        <w:t>加强备用气源和应急气站的规划建设，统筹谋划布局一批LNG储供气基础设施，面向中心城区规划建设天然气应急储备气库1座。到2025年共建成LNG气化站总储存容积2.5万立方米。</w:t>
      </w:r>
    </w:p>
    <w:p>
      <w:pPr>
        <w:pStyle w:val="39"/>
        <w:ind w:firstLine="643"/>
      </w:pPr>
      <w:r>
        <w:rPr>
          <w:b/>
        </w:rPr>
        <w:t>——完善保底网架</w:t>
      </w:r>
      <w:r>
        <w:rPr>
          <w:rFonts w:hint="eastAsia"/>
          <w:b/>
        </w:rPr>
        <w:t>建设。</w:t>
      </w:r>
      <w:r>
        <w:rPr>
          <w:rFonts w:hint="eastAsia"/>
        </w:rPr>
        <w:t>强化电网安全底线思维，推动建设保底电网，补全电网短板。</w:t>
      </w:r>
      <w:r>
        <w:t>建成</w:t>
      </w:r>
      <w:r>
        <w:rPr>
          <w:rFonts w:hint="eastAsia"/>
        </w:rPr>
        <w:t>3</w:t>
      </w:r>
      <w:r>
        <w:t>个220千伏输变电工程及6个防冰加固改造项目。</w:t>
      </w:r>
      <w:r>
        <w:rPr>
          <w:rFonts w:hint="eastAsia"/>
        </w:rPr>
        <w:t>完成</w:t>
      </w:r>
      <w:r>
        <w:t>“500千伏库湾站～220千伏浩源～220千伏燕河～220千伏堤岸、500千伏库湾～220千伏岭塘～220千伏清远”</w:t>
      </w:r>
      <w:r>
        <w:rPr>
          <w:rFonts w:hint="eastAsia"/>
        </w:rPr>
        <w:t>、</w:t>
      </w:r>
      <w:r>
        <w:t>“500千伏库湾站～220千伏白庙站”通道</w:t>
      </w:r>
      <w:r>
        <w:rPr>
          <w:rFonts w:hint="eastAsia"/>
        </w:rPr>
        <w:t>建设</w:t>
      </w:r>
      <w:r>
        <w:t>，进一步完善中心城区保底电网建设</w:t>
      </w:r>
      <w:r>
        <w:rPr>
          <w:rFonts w:hint="eastAsia"/>
        </w:rPr>
        <w:t>；</w:t>
      </w:r>
      <w:r>
        <w:t>完成220千伏山安甲线等6项防冰加固改造，完成山安乙线等11回220千伏及以上保底线路冰期前试验</w:t>
      </w:r>
      <w:r>
        <w:rPr>
          <w:rFonts w:hint="eastAsia"/>
        </w:rPr>
        <w:t>。</w:t>
      </w:r>
    </w:p>
    <w:p>
      <w:pPr>
        <w:spacing w:line="240" w:lineRule="auto"/>
        <w:jc w:val="left"/>
        <w:rPr>
          <w:rFonts w:eastAsia="仿宋_GB2312"/>
          <w:color w:val="000000"/>
          <w:sz w:val="30"/>
          <w:szCs w:val="32"/>
        </w:rPr>
      </w:pPr>
    </w:p>
    <w:tbl>
      <w:tblPr>
        <w:tblStyle w:val="25"/>
        <w:tblW w:w="82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8263" w:type="dxa"/>
            <w:vAlign w:val="top"/>
          </w:tcPr>
          <w:p>
            <w:pPr>
              <w:pStyle w:val="53"/>
              <w:adjustRightInd w:val="0"/>
              <w:snapToGrid w:val="0"/>
              <w:spacing w:line="580" w:lineRule="exact"/>
              <w:ind w:firstLine="0"/>
              <w:jc w:val="center"/>
              <w:rPr>
                <w:rFonts w:eastAsia="仿宋_GB2312"/>
                <w:b/>
                <w:sz w:val="32"/>
                <w:szCs w:val="32"/>
                <w:highlight w:val="yellow"/>
              </w:rPr>
            </w:pPr>
            <w:r>
              <w:rPr>
                <w:rFonts w:eastAsia="楷体_GB2312"/>
                <w:b/>
                <w:bCs/>
                <w:sz w:val="24"/>
              </w:rPr>
              <w:t>专栏4  电网重点工程列表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7" w:hRule="atLeast"/>
        </w:trPr>
        <w:tc>
          <w:tcPr>
            <w:tcW w:w="8263" w:type="dxa"/>
            <w:vAlign w:val="top"/>
          </w:tcPr>
          <w:p>
            <w:pPr>
              <w:adjustRightInd w:val="0"/>
              <w:snapToGrid w:val="0"/>
              <w:spacing w:line="440" w:lineRule="exact"/>
              <w:ind w:firstLine="482" w:firstLineChars="200"/>
              <w:rPr>
                <w:rFonts w:eastAsia="仿宋_GB2312"/>
                <w:sz w:val="24"/>
              </w:rPr>
            </w:pPr>
            <w:r>
              <w:rPr>
                <w:rFonts w:eastAsia="仿宋_GB2312"/>
                <w:b/>
                <w:sz w:val="24"/>
              </w:rPr>
              <w:t>500千伏项目：</w:t>
            </w:r>
            <w:r>
              <w:rPr>
                <w:rFonts w:eastAsia="仿宋_GB2312"/>
                <w:sz w:val="24"/>
              </w:rPr>
              <w:t>新建500千伏变电站1座，扩建2座，共新增500千伏主变容量375万千伏安，新建550千伏线路630千米。至2025年共有500千伏变电站3座，总容量825万千伏安。</w:t>
            </w:r>
          </w:p>
          <w:p>
            <w:pPr>
              <w:adjustRightInd w:val="0"/>
              <w:snapToGrid w:val="0"/>
              <w:spacing w:line="440" w:lineRule="exact"/>
              <w:ind w:firstLine="482" w:firstLineChars="200"/>
              <w:rPr>
                <w:rFonts w:eastAsia="仿宋_GB2312"/>
                <w:sz w:val="24"/>
              </w:rPr>
            </w:pPr>
            <w:r>
              <w:rPr>
                <w:rFonts w:eastAsia="仿宋_GB2312"/>
                <w:b/>
                <w:sz w:val="24"/>
              </w:rPr>
              <w:t>220千伏项目：</w:t>
            </w:r>
            <w:r>
              <w:rPr>
                <w:rFonts w:eastAsia="仿宋_GB2312"/>
                <w:sz w:val="24"/>
              </w:rPr>
              <w:t>新建220千伏变电站11座，扩建4座，共新增220千伏主变容量516万千伏安，新建220千伏线路679.8千米。至2025年底，共有220千伏变电站达25座，主变容量1122万千伏安。</w:t>
            </w:r>
          </w:p>
          <w:p>
            <w:pPr>
              <w:adjustRightInd w:val="0"/>
              <w:snapToGrid w:val="0"/>
              <w:spacing w:line="440" w:lineRule="exact"/>
              <w:ind w:firstLine="482" w:firstLineChars="200"/>
              <w:rPr>
                <w:rFonts w:eastAsia="仿宋_GB2312"/>
                <w:sz w:val="24"/>
              </w:rPr>
            </w:pPr>
            <w:r>
              <w:rPr>
                <w:rFonts w:eastAsia="仿宋_GB2312"/>
                <w:b/>
                <w:sz w:val="24"/>
              </w:rPr>
              <w:t>110千伏及以下项目：</w:t>
            </w:r>
            <w:r>
              <w:rPr>
                <w:rFonts w:eastAsia="仿宋_GB2312"/>
                <w:sz w:val="24"/>
              </w:rPr>
              <w:t>新建110千伏变电站25座，容量305.8万千伏安；扩建110千伏变电站3座，容量18.9万千伏安；增容110千伏变电站1座，容量1.85万千伏安；至2025年共有110千伏变电站99座，总容量1054.55万千伏安。新建35千伏变电站3座，新增容量4.8万千伏安；扩建35千伏变电站6座，新增容量4.8万千伏安；退役35千伏变电站1座，退役容量1.8万千伏安。至2025年，建成35千伏变电站39座，总容量53.815万千伏安。</w:t>
            </w:r>
          </w:p>
        </w:tc>
      </w:tr>
    </w:tbl>
    <w:p>
      <w:pPr>
        <w:widowControl w:val="0"/>
        <w:adjustRightInd w:val="0"/>
        <w:snapToGrid w:val="0"/>
        <w:spacing w:line="560" w:lineRule="exact"/>
        <w:ind w:firstLine="640" w:firstLineChars="200"/>
        <w:rPr>
          <w:rFonts w:eastAsia="仿宋_GB2312"/>
          <w:color w:val="000000"/>
          <w:sz w:val="32"/>
          <w:szCs w:val="32"/>
          <w:highlight w:val="yellow"/>
        </w:rPr>
      </w:pPr>
    </w:p>
    <w:tbl>
      <w:tblPr>
        <w:tblStyle w:val="25"/>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28" w:type="dxa"/>
            <w:vAlign w:val="center"/>
          </w:tcPr>
          <w:p>
            <w:pPr>
              <w:pStyle w:val="53"/>
              <w:adjustRightInd w:val="0"/>
              <w:snapToGrid w:val="0"/>
              <w:spacing w:line="580" w:lineRule="exact"/>
              <w:ind w:firstLine="0"/>
              <w:jc w:val="center"/>
              <w:rPr>
                <w:rFonts w:eastAsia="仿宋_GB2312"/>
                <w:sz w:val="24"/>
              </w:rPr>
            </w:pPr>
            <w:r>
              <w:rPr>
                <w:rFonts w:eastAsia="楷体_GB2312"/>
                <w:b/>
                <w:bCs/>
                <w:sz w:val="24"/>
              </w:rPr>
              <w:t xml:space="preserve">专栏5  </w:t>
            </w:r>
            <w:r>
              <w:rPr>
                <w:rFonts w:hint="eastAsia" w:eastAsia="楷体_GB2312"/>
                <w:b/>
                <w:bCs/>
                <w:sz w:val="24"/>
              </w:rPr>
              <w:t>天然气储运</w:t>
            </w:r>
            <w:r>
              <w:rPr>
                <w:rFonts w:eastAsia="楷体_GB2312"/>
                <w:b/>
                <w:bCs/>
                <w:sz w:val="24"/>
              </w:rPr>
              <w:t>重点工程列表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28" w:type="dxa"/>
            <w:vAlign w:val="top"/>
          </w:tcPr>
          <w:p>
            <w:pPr>
              <w:adjustRightInd w:val="0"/>
              <w:snapToGrid w:val="0"/>
              <w:spacing w:line="360" w:lineRule="exact"/>
              <w:ind w:firstLine="361" w:firstLineChars="150"/>
              <w:rPr>
                <w:rFonts w:eastAsia="仿宋_GB2312"/>
                <w:sz w:val="24"/>
              </w:rPr>
            </w:pPr>
            <w:r>
              <w:rPr>
                <w:rFonts w:eastAsia="仿宋_GB2312"/>
                <w:b/>
                <w:bCs/>
                <w:sz w:val="24"/>
              </w:rPr>
              <w:t>1.</w:t>
            </w:r>
            <w:r>
              <w:t xml:space="preserve"> </w:t>
            </w:r>
            <w:r>
              <w:rPr>
                <w:rFonts w:hint="eastAsia" w:eastAsia="仿宋_GB2312"/>
                <w:b/>
                <w:bCs/>
                <w:sz w:val="24"/>
              </w:rPr>
              <w:t>液化天然气接收站、储气库</w:t>
            </w:r>
            <w:r>
              <w:rPr>
                <w:rFonts w:eastAsia="仿宋_GB2312"/>
                <w:sz w:val="24"/>
              </w:rPr>
              <w:t>：</w:t>
            </w:r>
            <w:r>
              <w:rPr>
                <w:rFonts w:hint="eastAsia" w:eastAsia="仿宋_GB2312"/>
                <w:sz w:val="24"/>
              </w:rPr>
              <w:t>广德（英德）产业园天然气综合场站。</w:t>
            </w:r>
          </w:p>
          <w:p>
            <w:pPr>
              <w:adjustRightInd w:val="0"/>
              <w:snapToGrid w:val="0"/>
              <w:spacing w:line="360" w:lineRule="exact"/>
              <w:ind w:firstLine="361" w:firstLineChars="150"/>
              <w:rPr>
                <w:rFonts w:eastAsia="仿宋_GB2312"/>
                <w:sz w:val="24"/>
              </w:rPr>
            </w:pPr>
            <w:r>
              <w:rPr>
                <w:rFonts w:hint="eastAsia" w:eastAsia="仿宋_GB2312"/>
                <w:b/>
                <w:bCs/>
                <w:sz w:val="24"/>
              </w:rPr>
              <w:t>2</w:t>
            </w:r>
            <w:r>
              <w:rPr>
                <w:rFonts w:eastAsia="仿宋_GB2312"/>
                <w:b/>
                <w:bCs/>
                <w:sz w:val="24"/>
              </w:rPr>
              <w:t xml:space="preserve">. </w:t>
            </w:r>
            <w:r>
              <w:rPr>
                <w:rFonts w:hint="eastAsia" w:eastAsia="仿宋_GB2312"/>
                <w:b/>
                <w:bCs/>
                <w:sz w:val="24"/>
              </w:rPr>
              <w:t>油气管网项目：</w:t>
            </w:r>
            <w:r>
              <w:rPr>
                <w:rFonts w:eastAsia="仿宋_GB2312"/>
                <w:sz w:val="24"/>
              </w:rPr>
              <w:t>新增投产</w:t>
            </w:r>
            <w:r>
              <w:rPr>
                <w:rFonts w:hint="eastAsia" w:eastAsia="仿宋_GB2312"/>
                <w:sz w:val="24"/>
              </w:rPr>
              <w:t>清远正茂燃气有限公司天然气综合利用工程等项目，积极推进广德（英德）产业园天然气综合场站、协鑫佛冈专线、县县通接收调压站、连山LNG站二期、连山至永和工业园区燃气管网等项目开工建设。</w:t>
            </w:r>
          </w:p>
        </w:tc>
      </w:tr>
    </w:tbl>
    <w:p>
      <w:pPr>
        <w:pStyle w:val="3"/>
        <w:rPr>
          <w:rFonts w:cs="Times New Roman"/>
        </w:rPr>
      </w:pPr>
      <w:bookmarkStart w:id="19" w:name="_Toc76568823"/>
      <w:r>
        <w:rPr>
          <w:rFonts w:cs="Times New Roman"/>
        </w:rPr>
        <w:t>第三节  绿色发展，构建清洁低碳的能源消费体系</w:t>
      </w:r>
      <w:bookmarkEnd w:id="19"/>
    </w:p>
    <w:p>
      <w:pPr>
        <w:pStyle w:val="39"/>
        <w:ind w:firstLine="640"/>
      </w:pPr>
      <w:r>
        <w:t>坚持能源节约与高效利用并举，推动能源消费侧革命，大力推动工业、交通、建筑等重点领域节能工作和需求侧管理，严格控制能源消费总量过快增长，切实扭转粗放用能方式，不断提高能源使用效率。</w:t>
      </w:r>
    </w:p>
    <w:p>
      <w:pPr>
        <w:pStyle w:val="4"/>
        <w:ind w:firstLine="643"/>
      </w:pPr>
      <w:r>
        <w:rPr>
          <w:rFonts w:hint="eastAsia"/>
        </w:rPr>
        <w:t>（一）</w:t>
      </w:r>
      <w:r>
        <w:t>优化布局淘汰落后产能</w:t>
      </w:r>
    </w:p>
    <w:p>
      <w:pPr>
        <w:pStyle w:val="39"/>
        <w:ind w:firstLine="640"/>
      </w:pPr>
      <w:r>
        <w:t>优化发展布局、鼓励资本运作、加大政策支持，不断提升工业经济发展质态。改造提升传统制造业，推动传统制造业加快向附加值高的产业链环节延伸，推动低能耗产业加快发展。鼓励企业（单位）开展</w:t>
      </w:r>
      <w:r>
        <w:rPr>
          <w:rFonts w:hint="eastAsia"/>
        </w:rPr>
        <w:t>节能</w:t>
      </w:r>
      <w:r>
        <w:t>改造，推动水泥、陶瓷、钢铁、有色金属等传统行业绿色化改造；充分发挥市场机制的倒逼作用，综合运用差别电价、惩罚性电价、阶梯电价、信贷投放等经济手段推动落后产能主动退出市场。加强节能减排监管，倒逼过剩产能退出，制订扶持政策推动过剩产能企业转型发展，鼓励行业优强企业跨地区、跨所有制形式兼并重组，进一步压缩过剩产能。严格按照企业投资项目准入负面清单做好产能过剩行业项目管理，严控新增产能。</w:t>
      </w:r>
    </w:p>
    <w:p>
      <w:pPr>
        <w:pStyle w:val="4"/>
        <w:ind w:firstLine="643"/>
      </w:pPr>
      <w:r>
        <w:rPr>
          <w:rFonts w:hint="eastAsia"/>
        </w:rPr>
        <w:t>（二）</w:t>
      </w:r>
      <w:r>
        <w:t>深挖工业领域节能潜力</w:t>
      </w:r>
    </w:p>
    <w:p>
      <w:pPr>
        <w:pStyle w:val="39"/>
        <w:ind w:firstLine="640"/>
        <w:rPr>
          <w:highlight w:val="yellow"/>
        </w:rPr>
      </w:pPr>
      <w:r>
        <w:t>精准施策，严格控制工业领域能源消费过快增长。严格限制新建扩大产能的水泥熟料建设项目，依法淘汰不达标产能。引导水泥行业降低熟料生产比例，减少熟料外销的比例。积极推进陶瓷行业节能技术改造，鼓励陶瓷企业增加成品的生产比例，促进陶瓷产品向生产高端、高附加值发展。严格控制新增钢铁产能，限停建设扩大钢铁产能规模的投资项目。开展能耗执法专项行动，对达不到能耗限额要求的，限期要求其整改，逾期未整改或整改不达标的，依法关停退出。</w:t>
      </w:r>
    </w:p>
    <w:p>
      <w:pPr>
        <w:pStyle w:val="4"/>
        <w:ind w:firstLine="643"/>
      </w:pPr>
      <w:r>
        <w:rPr>
          <w:rFonts w:hint="eastAsia"/>
        </w:rPr>
        <w:t>（三）</w:t>
      </w:r>
      <w:r>
        <w:t>加快建筑领域节能发展</w:t>
      </w:r>
    </w:p>
    <w:p>
      <w:pPr>
        <w:pStyle w:val="39"/>
        <w:ind w:firstLine="640"/>
      </w:pPr>
      <w:r>
        <w:t>完善新建建筑在规划、设计、施工、竣工验收等环节的节能监管机制，加强县区一级建筑节能监管力度，严格执行工程建设节能强制性标准；在城镇新建民用建筑中全面推进绿色建筑行动。加强绿色建筑工程质量管理，鼓励发展二星级及以上绿色建筑，政府投资的公益性建筑、大型公共建筑及新建保障性住房全面执行绿色建筑标准。加强可再生能源建筑应用，全面推进太阳能光热、光电技术建筑应用。推广既有建筑节能改造、开展大型公共建筑能耗统计、能源审计、能效公示和能耗监测平台建设。推动农村建筑节能，推进节能绿色农房建设，稳步推进农房节能改造。</w:t>
      </w:r>
    </w:p>
    <w:p>
      <w:pPr>
        <w:pStyle w:val="4"/>
        <w:ind w:firstLine="643"/>
      </w:pPr>
      <w:r>
        <w:rPr>
          <w:rFonts w:hint="eastAsia"/>
        </w:rPr>
        <w:t>（四）</w:t>
      </w:r>
      <w:r>
        <w:t>推动绿色交通体系建设</w:t>
      </w:r>
    </w:p>
    <w:p>
      <w:pPr>
        <w:pStyle w:val="39"/>
        <w:ind w:firstLine="640"/>
      </w:pPr>
      <w:r>
        <w:t>全面构建绿色低碳交通运输体系，完善综合运输线路网络和公路网体系，推进内河航运体系建设。倡导绿色出行，深化发展公共交通和慢行交通，提高出行信息服务能力。加快新能源汽车推广应用，全面推进电动汽车充电设施建设。鼓励压缩天然气（CNG）、液化天然气（LNG）、纯电动、混合动力等清洁能源车船应用</w:t>
      </w:r>
      <w:r>
        <w:rPr>
          <w:rFonts w:hint="eastAsia"/>
        </w:rPr>
        <w:t>，</w:t>
      </w:r>
      <w:r>
        <w:t>加快港口装卸机械技术升级改造，全面推进港口装卸机械“油改电”。推动运输船舶LNG清洁动力和纯电动改造，全面推广港口岸电，新建、改建、扩建码头100%配套建设岸电设施。加强交通能源服务网络建设，依托公交首末站场及夜间回车场，建设公交充电站。优先在车流大、路网密的片区就近布点社会公共充电站，鼓励已建成的高速公路服务区和有条件的加油站改造增建充电桩。在住宅小区、各单位办公场所、社会公共停车场，合理分散建设社会乘用车慢充充电桩。</w:t>
      </w:r>
      <w:r>
        <w:rPr>
          <w:rFonts w:hint="eastAsia"/>
        </w:rPr>
        <w:t>到2</w:t>
      </w:r>
      <w:r>
        <w:t>025</w:t>
      </w:r>
      <w:r>
        <w:rPr>
          <w:rFonts w:hint="eastAsia"/>
        </w:rPr>
        <w:t>年，力争在通航条件较好的北江流域选址建设LNG加注站及配套码头3座，全市建成充电桩约</w:t>
      </w:r>
      <w:r>
        <w:t>2000</w:t>
      </w:r>
      <w:r>
        <w:rPr>
          <w:rFonts w:hint="eastAsia"/>
        </w:rPr>
        <w:t>个</w:t>
      </w:r>
      <w:r>
        <w:t>。</w:t>
      </w:r>
    </w:p>
    <w:p>
      <w:pPr>
        <w:pStyle w:val="4"/>
        <w:ind w:firstLine="643"/>
      </w:pPr>
      <w:r>
        <w:rPr>
          <w:rFonts w:hint="eastAsia"/>
        </w:rPr>
        <w:t>（五）</w:t>
      </w:r>
      <w:r>
        <w:t>强化能源需求侧管理</w:t>
      </w:r>
    </w:p>
    <w:p>
      <w:pPr>
        <w:pStyle w:val="39"/>
        <w:ind w:firstLine="640"/>
      </w:pPr>
      <w:r>
        <w:t>加强电力需求侧管理，督促电网企业根据年度电力电量节约指标推进电力需求侧管理相关工作。鼓励并引导电网企业、能源服务公司、电力用户等共同参与，改变用电方式，减少电力消耗，提高终端用能效率。实施全民节能行动计划，在全社会推广节约用能理念，形成节能消费模式，引导全社会科学用能。</w:t>
      </w:r>
      <w:r>
        <w:rPr>
          <w:rFonts w:hint="eastAsia"/>
        </w:rPr>
        <w:t>积极开展电能替代工作，加速各行业再电气化进程，推进终端用能领域以电代煤、以电代油，推广新能源汽车、高效热泵、电窑炉等新型用能方式。</w:t>
      </w:r>
    </w:p>
    <w:p>
      <w:pPr>
        <w:pStyle w:val="4"/>
        <w:ind w:firstLine="643"/>
      </w:pPr>
      <w:r>
        <w:rPr>
          <w:rFonts w:hint="eastAsia"/>
        </w:rPr>
        <w:t>（六）加快推进发展循环经济</w:t>
      </w:r>
    </w:p>
    <w:p>
      <w:pPr>
        <w:pStyle w:val="39"/>
        <w:ind w:firstLine="640"/>
      </w:pPr>
      <w:r>
        <w:rPr>
          <w:rFonts w:hint="eastAsia"/>
        </w:rPr>
        <w:t>全面加强对各类可循环利用的城市固体废弃物的回收利用，实现城市废弃物减量化、资源化、无害化，促进资源循环低碳利用；以构建生态循环农业模式为载体，完善农业废弃物收储运体系、提高农业废弃物处置能力，推动畜禽粪污和农作物秸秆资源化利用，废旧农膜和农药包装废弃物回收，推动实现主要农业废弃物资源化利用；鼓励高新技术企业参与废弃物综合利用，以技术创新和制度创新实现垃圾处理的无害化、减量化；鼓励龙头企业积极参与我市“无废城市”建设，探索集固废“分类收集、中转运输、资源回收、终端处理”于一体的“大环卫、全覆盖、一体化”一站式综合管理服务无废园区示范项目建设。</w:t>
      </w:r>
    </w:p>
    <w:p>
      <w:pPr>
        <w:pStyle w:val="4"/>
        <w:ind w:firstLine="643"/>
      </w:pPr>
      <w:r>
        <w:rPr>
          <w:rFonts w:hint="eastAsia"/>
        </w:rPr>
        <w:t>（七）</w:t>
      </w:r>
      <w:r>
        <w:t>推进</w:t>
      </w:r>
      <w:r>
        <w:rPr>
          <w:rFonts w:hint="eastAsia"/>
        </w:rPr>
        <w:t>数据中心绿色转型</w:t>
      </w:r>
    </w:p>
    <w:p>
      <w:pPr>
        <w:pStyle w:val="39"/>
        <w:ind w:firstLine="640"/>
      </w:pPr>
      <w:r>
        <w:t>开展绿色数据中心技术创新和推广。数据中心关键设备生产企业要加强生态设计，提高设备能源使用效率，控制有毒有害物质使用，采用易于拆解和回收处理的设计。要加强绿色智能服务器、能源管理信息化系统、热场管理、余热利用、自然冷源、水循环利用、分布式供能、直流供电等技术和产品应用。</w:t>
      </w:r>
    </w:p>
    <w:p>
      <w:pPr>
        <w:pStyle w:val="39"/>
        <w:ind w:firstLine="640"/>
      </w:pPr>
      <w:r>
        <w:t>提高绿色数据中心管理水平。要建立绿色数据中心运维管理体系，明确数据中心节能、低碳、节水、污染控制、综合利用等节能环保目标和实施计划，建立绿色数据中心管理团队和技术团队的协调机制。鼓励建立试点数据中心节能环保指标监测体系，定期统计数据中心的自监测数据，建立数据中心节能环保基础数据库，制定完善涵盖节能、节水、低碳、运维管理办法等绿色指标的评估和评价方法。鼓励试点单位和节能服务公司拓展合同能源管理，研究节能量交易机制，探索绿色数据中心融资租赁等金融服务模式。</w:t>
      </w:r>
    </w:p>
    <w:p>
      <w:pPr>
        <w:pStyle w:val="39"/>
        <w:ind w:firstLine="640"/>
        <w:rPr>
          <w:highlight w:val="yellow"/>
        </w:rPr>
      </w:pPr>
    </w:p>
    <w:p>
      <w:pPr>
        <w:pStyle w:val="3"/>
        <w:rPr>
          <w:rFonts w:cs="Times New Roman"/>
        </w:rPr>
      </w:pPr>
      <w:bookmarkStart w:id="20" w:name="_Toc76568824"/>
      <w:r>
        <w:rPr>
          <w:rFonts w:cs="Times New Roman"/>
        </w:rPr>
        <w:t>第四节  创新驱动，构建智慧融合的能源产业体系</w:t>
      </w:r>
      <w:bookmarkEnd w:id="20"/>
    </w:p>
    <w:p>
      <w:pPr>
        <w:pStyle w:val="4"/>
        <w:ind w:firstLine="643"/>
      </w:pPr>
      <w:r>
        <w:rPr>
          <w:rFonts w:hint="eastAsia"/>
        </w:rPr>
        <w:t>（一）</w:t>
      </w:r>
      <w:r>
        <w:t>推动能源科技创新</w:t>
      </w:r>
    </w:p>
    <w:p>
      <w:pPr>
        <w:pStyle w:val="39"/>
        <w:ind w:firstLine="640"/>
      </w:pPr>
      <w:r>
        <w:t>推动“可再生能源+储能”系统和微电网系统建设，加快电网侧、发电侧和用户侧的储能技术推广运用。推进可再生能源在5G基站、充电桩、大数据中心等领域的应用。加大研发投入力度，加强对前沿性重点技术的攻关，重点加强对农村有机废弃物循环利用、太阳能建筑一体化</w:t>
      </w:r>
      <w:r>
        <w:rPr>
          <w:sz w:val="30"/>
          <w:szCs w:val="30"/>
        </w:rPr>
        <w:t>（</w:t>
      </w:r>
      <w:r>
        <w:rPr>
          <w:rFonts w:eastAsia="仿宋"/>
          <w:sz w:val="30"/>
          <w:szCs w:val="30"/>
        </w:rPr>
        <w:t>BIPV</w:t>
      </w:r>
      <w:r>
        <w:t>）等技术的研究和设备研发。探索在农村种养基地开展生物天然气示范工程、循环农业示范工程。围绕可再生能源装备、并网消纳、新能源汽车、生物质利用等打造检验检测、中试服务等共性技术服务平台，推动提升能源技术创新水平。</w:t>
      </w:r>
    </w:p>
    <w:p>
      <w:pPr>
        <w:pStyle w:val="4"/>
        <w:ind w:firstLine="643"/>
      </w:pPr>
      <w:r>
        <w:rPr>
          <w:rFonts w:hint="eastAsia"/>
        </w:rPr>
        <w:t>（二）</w:t>
      </w:r>
      <w:r>
        <w:t>推动能源产业创新</w:t>
      </w:r>
    </w:p>
    <w:p>
      <w:pPr>
        <w:pStyle w:val="39"/>
        <w:ind w:firstLine="640"/>
        <w:rPr>
          <w:szCs w:val="30"/>
        </w:rPr>
      </w:pPr>
      <w:r>
        <w:rPr>
          <w:szCs w:val="30"/>
        </w:rPr>
        <w:t>结合广清一体化进程，逐步构建“广州总部+清远基地”、“广州研发+清远制造”、“广州孵化+清远产业化”等产业协作模式，积极谋划建设环湾先进制造业集聚区，大力促进传统优势产业高端化、智能化、集约化、绿色化发展，以能源装备制造、能源项目示范为产业创新发展方向，科学谋划示范项目，统筹考虑新能源、能源装备制造、技术研发项目布局，业态发展坚持产用结合与循环促进。坚持依托清远原材料资源优势，引进广州、佛山以及大湾区资源导向性能源装备加工制造业，同时结合已有科研院所和研发平台适当承接重大科研项目，推动产学研项目成果转化。</w:t>
      </w:r>
    </w:p>
    <w:p>
      <w:pPr>
        <w:pStyle w:val="4"/>
        <w:ind w:firstLine="643"/>
      </w:pPr>
      <w:r>
        <w:rPr>
          <w:rFonts w:hint="eastAsia"/>
        </w:rPr>
        <w:t>（三）</w:t>
      </w:r>
      <w:r>
        <w:t>构建智慧能源系统</w:t>
      </w:r>
    </w:p>
    <w:p>
      <w:pPr>
        <w:pStyle w:val="39"/>
        <w:ind w:firstLine="640"/>
      </w:pPr>
      <w:r>
        <w:t>应用云计算、多能数据融合、人工智能、区块链等技术，推动电厂信息化、智能化、网络化升级。加强智慧燃气建设，推动电网、燃气网、热力网与交通网的柔性互联和联合调控。推动综合能源网络建设，探索以智能电网为基础，融合热力管网、天然气管网、5G基站等多种类型网络，打造智慧能源生态体系。提高智能化管理及调度运行能力，提高能源设备监测预警系统响应速度。积极发展智慧园区、智能楼宇、智能家居、智能交通和智能物流等，提升终端能源消费智能化水平。探索研究“互联网+”智慧能源（能源互联网）示范项目。</w:t>
      </w:r>
    </w:p>
    <w:p>
      <w:pPr>
        <w:pStyle w:val="39"/>
        <w:ind w:firstLine="640"/>
      </w:pPr>
    </w:p>
    <w:p>
      <w:pPr>
        <w:pStyle w:val="3"/>
        <w:rPr>
          <w:rFonts w:cs="Times New Roman"/>
        </w:rPr>
      </w:pPr>
      <w:bookmarkStart w:id="21" w:name="_Toc76568825"/>
      <w:r>
        <w:rPr>
          <w:rFonts w:cs="Times New Roman"/>
        </w:rPr>
        <w:t>第五节  深化改革，探索协调有效的能源治理体系</w:t>
      </w:r>
      <w:bookmarkEnd w:id="21"/>
    </w:p>
    <w:p>
      <w:pPr>
        <w:pStyle w:val="4"/>
        <w:ind w:firstLine="643"/>
      </w:pPr>
      <w:r>
        <w:rPr>
          <w:rFonts w:hint="eastAsia"/>
        </w:rPr>
        <w:t>（一）推进能源体制改革</w:t>
      </w:r>
    </w:p>
    <w:p>
      <w:pPr>
        <w:pStyle w:val="39"/>
        <w:ind w:firstLine="640"/>
      </w:pPr>
      <w:r>
        <w:rPr>
          <w:rFonts w:hint="eastAsia"/>
        </w:rPr>
        <w:t>落实能源消费总量和能源强度“双控”。进一步加强能源消费总量控制，目标分解至各县区，加强责任落实和监督考核。</w:t>
      </w:r>
    </w:p>
    <w:p>
      <w:pPr>
        <w:pStyle w:val="39"/>
        <w:ind w:firstLine="640"/>
      </w:pPr>
      <w:r>
        <w:rPr>
          <w:rFonts w:hint="eastAsia"/>
        </w:rPr>
        <w:t>完善能源价格形成机制。积极配合上级主管部门，研究明确省级电网输电成本和地区间交叉补贴。完善居民用电、用气阶梯价格制度，实施差别价格政策，对超能耗产品实行惩罚性定价。研究分布式能源、需求侧响应、储能发展配套价格政策，探索实施绿色电价、峰谷电价、尖峰电价、高可靠性用气用电价格、气电联动价格等导向型价格政策，充分发挥能源市场价格杠杆调节作用。</w:t>
      </w:r>
      <w:r>
        <w:t>配合国家油气体制机制改革进程，落实关于城市燃气天然气管道运输定价成本监审相关工作，合理调整城市燃气天然气管道输配价格，</w:t>
      </w:r>
      <w:r>
        <w:rPr>
          <w:rFonts w:hint="eastAsia"/>
        </w:rPr>
        <w:t>以全省“县县通”工程建设为契机，依法依规突破特许经营权限改善燃气营商环境，</w:t>
      </w:r>
      <w:r>
        <w:t>探索不断降低天然气价格至合理水平。</w:t>
      </w:r>
    </w:p>
    <w:p>
      <w:pPr>
        <w:pStyle w:val="39"/>
        <w:ind w:firstLine="640"/>
      </w:pPr>
      <w:r>
        <w:rPr>
          <w:rFonts w:hint="eastAsia"/>
        </w:rPr>
        <w:t>加快推进天然气体制改革。</w:t>
      </w:r>
      <w:r>
        <w:t>抓住广东省多举措降低天然气成本、大力拓展天然气利用规模、基本实现天然气管道“县县通”的有利时机，主动抓住中石油西二线广州鳌头互联互通工程建设和省粤北主干网广州至韶关干线项目建设机遇，支持我市燃气骨干企业深度纳入国家和省的“一张网”布局。建立全市“一张网”运营机制，打通调运瓶颈，加强区域间、企业间、气源间互供互保，推动电网、燃气网、热力网与交通网的柔性互联和联合调控。推动港华、昆仑和正茂3家供气企业管网互通，推动区域独立供气加快转向全市联合供气，充分用好省管网和西气东输二线气源，探索构建多气源竞争的供应体系。研究引进独立第三方LNG供气主体，推动长输管道气、LNG气等联结成网。针对优先保障全市“一张网”、重要储气基础设施、重大天然气利用工程项目建设用地需求，各产业集聚区和产业园区要将天然气利用工程项目作为配套基础设施，研究出台土地保障、投融资、价格调节等优惠政策。</w:t>
      </w:r>
    </w:p>
    <w:p>
      <w:pPr>
        <w:pStyle w:val="4"/>
        <w:ind w:firstLine="643"/>
      </w:pPr>
      <w:r>
        <w:rPr>
          <w:rFonts w:hint="eastAsia"/>
        </w:rPr>
        <w:t>（二）加强能源安全保障</w:t>
      </w:r>
    </w:p>
    <w:p>
      <w:pPr>
        <w:pStyle w:val="39"/>
        <w:ind w:firstLine="643"/>
      </w:pPr>
      <w:r>
        <w:rPr>
          <w:b/>
        </w:rPr>
        <w:t>——</w:t>
      </w:r>
      <w:r>
        <w:rPr>
          <w:rFonts w:hint="eastAsia"/>
          <w:b/>
        </w:rPr>
        <w:t>推进建设能源安全预警体系。</w:t>
      </w:r>
      <w:r>
        <w:rPr>
          <w:rFonts w:hint="eastAsia"/>
        </w:rPr>
        <w:t>加强能源监测预警能力建设，搭建主要能源品种的监测预警系统，加强能源经济形势分析研判，提升突发事件预警能效，增强能源决策服务能力。做好全市煤、油、气、电等重要能源产品供应情况及价格走势的跟踪监测，对能源供求变化、能源价格波动以及能源安全风险状况等进行预测预警，及时发现问题并响应解决。</w:t>
      </w:r>
    </w:p>
    <w:p>
      <w:pPr>
        <w:pStyle w:val="39"/>
        <w:ind w:firstLine="643"/>
      </w:pPr>
      <w:r>
        <w:rPr>
          <w:b/>
        </w:rPr>
        <w:t>——</w:t>
      </w:r>
      <w:r>
        <w:rPr>
          <w:rFonts w:hint="eastAsia"/>
          <w:b/>
        </w:rPr>
        <w:t>加强能源基础设施安全保护。</w:t>
      </w:r>
      <w:r>
        <w:rPr>
          <w:rFonts w:hint="eastAsia"/>
        </w:rPr>
        <w:t>强化安全红线意识，健全安全生产责任体系，落实安全主体责任和安全措施，重点加强石油天然气输送管道安全管理。有效防范遏制油气输送管道重特大事故，加强管道检测和巡查，开展风险点危险源排查工作，严防安全隐患。对市燃气中转站站场设备进行更新维护，继续完善站场管理制度。切实开展行业风险点危险源排查管控工作，根据相关文件要求，切实建立完善城镇燃气、油气输送管道保护和安全管理长效机制，有针对性地开展风险隐患排查治理工作，并实施动态化管理。加强发电厂、输变电设施、新能源汽车充电设施等安全管理，开展常态化安全排查，确保电力系统安全稳定运行和可靠供电。加强网络信息安全管控，对重要的联网设备、信息系统和网站等，尤其是关键信息基础设施，深入排查整改风险隐患，确保网络信息安全。</w:t>
      </w:r>
    </w:p>
    <w:p>
      <w:pPr>
        <w:pStyle w:val="39"/>
        <w:ind w:firstLine="643"/>
      </w:pPr>
      <w:r>
        <w:rPr>
          <w:b/>
        </w:rPr>
        <w:t>——</w:t>
      </w:r>
      <w:r>
        <w:rPr>
          <w:rFonts w:hint="eastAsia"/>
          <w:b/>
        </w:rPr>
        <w:t>建设应急联动处置体系。</w:t>
      </w:r>
      <w:r>
        <w:rPr>
          <w:rFonts w:hint="eastAsia"/>
        </w:rPr>
        <w:t>建立健全能源应急协调联动机制，加强应急组织，增强应对极端天气、突发事件及受遏制等极端状态下能源供应短缺、供应中断等突发性事件的能力。完善电力用户应急自备电源配置，加强公用应急移动电源建设。完善油气应急预案，加强应急演练，提升应急救援队伍的整体能力。</w:t>
      </w:r>
    </w:p>
    <w:p>
      <w:pPr>
        <w:pStyle w:val="3"/>
        <w:rPr>
          <w:rFonts w:cs="Times New Roman"/>
        </w:rPr>
      </w:pPr>
      <w:bookmarkStart w:id="22" w:name="_Toc76568826"/>
      <w:r>
        <w:rPr>
          <w:rFonts w:cs="Times New Roman"/>
        </w:rPr>
        <w:t>第六节  惠民利民，构建</w:t>
      </w:r>
      <w:r>
        <w:rPr>
          <w:rFonts w:hint="eastAsia" w:cs="Times New Roman"/>
        </w:rPr>
        <w:t>高质量</w:t>
      </w:r>
      <w:r>
        <w:rPr>
          <w:rFonts w:cs="Times New Roman"/>
        </w:rPr>
        <w:t>农村</w:t>
      </w:r>
      <w:r>
        <w:rPr>
          <w:rFonts w:hint="eastAsia" w:cs="Times New Roman"/>
        </w:rPr>
        <w:t>现代</w:t>
      </w:r>
      <w:r>
        <w:rPr>
          <w:rFonts w:cs="Times New Roman"/>
        </w:rPr>
        <w:t>能源体系</w:t>
      </w:r>
      <w:bookmarkEnd w:id="22"/>
    </w:p>
    <w:p>
      <w:pPr>
        <w:pStyle w:val="4"/>
        <w:ind w:firstLine="643"/>
      </w:pPr>
      <w:r>
        <w:rPr>
          <w:rFonts w:hint="eastAsia"/>
        </w:rPr>
        <w:t>（一）</w:t>
      </w:r>
      <w:r>
        <w:t>优化农村能源供给结构</w:t>
      </w:r>
    </w:p>
    <w:p>
      <w:pPr>
        <w:pStyle w:val="39"/>
        <w:ind w:firstLine="640"/>
      </w:pPr>
      <w:r>
        <w:t>加强农村能源多能互补和综合利用，推进农业供给侧结构性改革。因地制宜利用农林废弃物、畜禽养殖废弃物、农村生活垃圾等资源，支持规模化沼气综合利用示范项目建设，积极开展畜禽粪污综合利用试点，重点研究开发多联产技术产品深加工等关键技术，建设农村代谢共生产业园，将农林废物、农村生活垃圾、畜禽粪便等的治理和利用与现代能源、化工结合，提高现代农业的附加值。结合新农村建设推广太阳能路灯、村镇级光伏集中应用，开展对生物燃气和生物有机肥等终端产品补贴示范，通过补贴带动和促进农村可再生能源可持续发展。推进绿色能源县、乡、村建设，加强以太阳能、生物沼气为重点的清洁能源建设及相关技术服务，实现农村用能方式的根本性转变。</w:t>
      </w:r>
    </w:p>
    <w:p>
      <w:pPr>
        <w:pStyle w:val="4"/>
        <w:ind w:firstLine="643"/>
      </w:pPr>
      <w:r>
        <w:rPr>
          <w:rFonts w:hint="eastAsia"/>
        </w:rPr>
        <w:t>（二）</w:t>
      </w:r>
      <w:r>
        <w:t>加强农村能源基础设施建设</w:t>
      </w:r>
    </w:p>
    <w:p>
      <w:pPr>
        <w:pStyle w:val="39"/>
        <w:ind w:firstLine="640"/>
      </w:pPr>
      <w:r>
        <w:t>加快</w:t>
      </w:r>
      <w:r>
        <w:rPr>
          <w:rFonts w:hint="eastAsia"/>
        </w:rPr>
        <w:t>推进</w:t>
      </w:r>
      <w:r>
        <w:t>新一轮农村电网升级改造</w:t>
      </w:r>
      <w:r>
        <w:rPr>
          <w:rFonts w:hint="eastAsia"/>
        </w:rPr>
        <w:t>。加快升级改造农村电网，推进乡村电力主网、配网和老旧线路设备改造与建设，加强农村各类线网管理。提高</w:t>
      </w:r>
      <w:r>
        <w:t>农村电网智能化水平，加快配电自动化、线路调压器等新技术新设备的推广应用，解决农村地域宽广、环境复杂带来的供电问题，进一步缩小城乡供电服务差距</w:t>
      </w:r>
      <w:r>
        <w:rPr>
          <w:rFonts w:hint="eastAsia"/>
        </w:rPr>
        <w:t>，逐步实现城乡电力服务一体化。</w:t>
      </w:r>
    </w:p>
    <w:p>
      <w:pPr>
        <w:pStyle w:val="39"/>
        <w:ind w:firstLine="640"/>
      </w:pPr>
      <w:r>
        <w:t>推动供气设施向农村延伸，开展分布式能源系统示范项目。提升农村地区燃气普及率，推进“美丽乡村燃气建设、气化村镇”等惠民工程</w:t>
      </w:r>
      <w:r>
        <w:rPr>
          <w:rFonts w:hint="eastAsia"/>
        </w:rPr>
        <w:t>，</w:t>
      </w:r>
      <w:r>
        <w:t>推广农村智能微管网工程</w:t>
      </w:r>
      <w:r>
        <w:rPr>
          <w:rFonts w:hint="eastAsia"/>
        </w:rPr>
        <w:t>；</w:t>
      </w:r>
      <w:r>
        <w:t>推进天然气进入农业产业园，支持农业产业园内企业使用天然气等清洁能源。因地制宜推广被动低能耗农宅，推动光伏建筑一体化。</w:t>
      </w:r>
    </w:p>
    <w:p>
      <w:pPr>
        <w:pStyle w:val="4"/>
        <w:ind w:firstLine="643"/>
      </w:pPr>
      <w:r>
        <w:rPr>
          <w:rFonts w:hint="eastAsia"/>
        </w:rPr>
        <w:t>（三）探索</w:t>
      </w:r>
      <w:r>
        <w:t>发展农村“互联网+”智慧能源</w:t>
      </w:r>
    </w:p>
    <w:p>
      <w:pPr>
        <w:pStyle w:val="39"/>
        <w:ind w:firstLine="640"/>
      </w:pPr>
      <w:r>
        <w:t>在新一轮农网升级改造中，推进分布式电网和集中式电网同步建设，发挥不同能源在季节、天气、地域上的互补作用，打造具有农村特色的“源网荷储用”协调发展的能源互联网。以农业生产、乡村产业、农村生活、供电服务为重点，实施农网加强工程和智慧用能示范项目，探索建设农村能源革命示范区，鼓励发展农村智慧能源服务站、农村电气化智慧大棚、电气化水产、电气化畜牧养殖、果蔬加工、智慧家居和农村智慧台区、智慧营业厅等智慧能源示范项目。</w:t>
      </w:r>
    </w:p>
    <w:p>
      <w:pPr>
        <w:pStyle w:val="4"/>
        <w:ind w:firstLine="643"/>
      </w:pPr>
      <w:r>
        <w:rPr>
          <w:rFonts w:hint="eastAsia"/>
        </w:rPr>
        <w:t>（四）</w:t>
      </w:r>
      <w:r>
        <w:t>提升农村能源运维服务能力</w:t>
      </w:r>
    </w:p>
    <w:p>
      <w:pPr>
        <w:pStyle w:val="39"/>
        <w:ind w:firstLine="640"/>
      </w:pPr>
      <w:r>
        <w:t>按照城乡统筹和普遍服务的原则，以能源公共服务均等化为导向，结合城镇化进程和新型农村社区建设，统筹完善城乡能源供应网络、技术和服务体系，推动城乡能源一体化发展，提高城乡能源公共服务均等化水平。积极建立各类能源设施维修和技术服务站，培育农村能源专业化服务业企业和人才，加快提高向农村提供能源普遍服务的能力。</w:t>
      </w:r>
      <w:r>
        <w:rPr>
          <w:rFonts w:hint="eastAsia"/>
        </w:rPr>
        <w:t>根据农村用能特点和农民经济承受能力，积极探索能源服务商业模式和运行机制，引导鼓励社会主体参与，</w:t>
      </w:r>
      <w:r>
        <w:t>通过特许经营、招标或其他竞争性必选方式，择优选择有质量保证、长期经营能力强的能源建设和服务企业，实行市场化运作，统一负责农村能源建设，运营管理和技术服务等事务。</w:t>
      </w:r>
    </w:p>
    <w:p>
      <w:pPr>
        <w:pStyle w:val="4"/>
        <w:ind w:firstLine="643"/>
      </w:pPr>
      <w:r>
        <w:rPr>
          <w:rFonts w:hint="eastAsia"/>
        </w:rPr>
        <w:t>（五）</w:t>
      </w:r>
      <w:r>
        <w:t>大力推进农村绿色能源示范</w:t>
      </w:r>
    </w:p>
    <w:p>
      <w:pPr>
        <w:pStyle w:val="39"/>
        <w:ind w:firstLine="640"/>
      </w:pPr>
      <w:r>
        <w:t>以全面推进新型城镇化和加强生态文明为契机，积极开展能源领域各类示范试点，将我市打造成为率先引领的低碳能源示范城市。推进新能源绿色能源示范县、示范城镇以及低碳农村和农业可再生能源循环利用示范区建设。</w:t>
      </w:r>
    </w:p>
    <w:p>
      <w:pPr>
        <w:pStyle w:val="2"/>
        <w:widowControl w:val="0"/>
        <w:numPr>
          <w:ilvl w:val="0"/>
          <w:numId w:val="1"/>
        </w:numPr>
        <w:spacing w:before="300" w:after="200" w:line="560" w:lineRule="exact"/>
        <w:ind w:left="0" w:firstLine="0"/>
        <w:jc w:val="center"/>
        <w:rPr>
          <w:rFonts w:eastAsia="黑体"/>
          <w:b w:val="0"/>
          <w:color w:val="auto"/>
          <w:sz w:val="36"/>
          <w:szCs w:val="44"/>
        </w:rPr>
      </w:pPr>
      <w:bookmarkStart w:id="23" w:name="_Toc76568827"/>
      <w:bookmarkStart w:id="24" w:name="_Toc54190070"/>
      <w:r>
        <w:rPr>
          <w:rFonts w:eastAsia="黑体"/>
          <w:b w:val="0"/>
          <w:color w:val="auto"/>
          <w:sz w:val="36"/>
          <w:szCs w:val="44"/>
        </w:rPr>
        <w:t>环境影响评价</w:t>
      </w:r>
      <w:bookmarkEnd w:id="23"/>
      <w:bookmarkEnd w:id="24"/>
    </w:p>
    <w:p>
      <w:pPr>
        <w:pStyle w:val="3"/>
        <w:rPr>
          <w:rFonts w:cs="Times New Roman"/>
        </w:rPr>
      </w:pPr>
      <w:bookmarkStart w:id="25" w:name="_Toc76568828"/>
      <w:bookmarkStart w:id="26" w:name="_Toc54190071"/>
      <w:r>
        <w:rPr>
          <w:rFonts w:cs="Times New Roman"/>
        </w:rPr>
        <w:t>第一节 环境影响分析</w:t>
      </w:r>
      <w:bookmarkEnd w:id="25"/>
      <w:bookmarkEnd w:id="26"/>
    </w:p>
    <w:p>
      <w:pPr>
        <w:pStyle w:val="39"/>
        <w:ind w:firstLine="640"/>
        <w:rPr>
          <w:highlight w:val="none"/>
        </w:rPr>
      </w:pPr>
      <w:r>
        <w:t>本规划以构建“清洁低碳、安全高效</w:t>
      </w:r>
      <w:r>
        <w:rPr>
          <w:rFonts w:hint="eastAsia"/>
        </w:rPr>
        <w:t>、智能创新</w:t>
      </w:r>
      <w:r>
        <w:t>”的现代能源体系为目标</w:t>
      </w:r>
      <w:r>
        <w:rPr>
          <w:rFonts w:hint="eastAsia"/>
        </w:rPr>
        <w:t>，</w:t>
      </w:r>
      <w:r>
        <w:t>与我市重大发展战略及相关政策保持一致。本规划与</w:t>
      </w:r>
      <w:r>
        <w:rPr>
          <w:rFonts w:hint="eastAsia"/>
        </w:rPr>
        <w:t>清远市</w:t>
      </w:r>
      <w:r>
        <w:t>其他专项规划充分衔接</w:t>
      </w:r>
      <w:r>
        <w:rPr>
          <w:rFonts w:hint="eastAsia"/>
        </w:rPr>
        <w:t>，</w:t>
      </w:r>
      <w:r>
        <w:t>保障经济社会持续健康发展的前提下，积极提升能源利用效率、保持能源需求低速增长，持续优化能源供应机构和消费模式，使能源消费更加高</w:t>
      </w:r>
      <w:r>
        <w:rPr>
          <w:highlight w:val="none"/>
        </w:rPr>
        <w:t>效、清洁、低碳，环境效益进一步凸显。</w:t>
      </w:r>
    </w:p>
    <w:p>
      <w:pPr>
        <w:pStyle w:val="39"/>
        <w:ind w:firstLine="640"/>
      </w:pPr>
      <w:r>
        <w:rPr>
          <w:highlight w:val="none"/>
        </w:rPr>
        <w:t>能源消费低速增长，2025年我市能源消费总量控制在</w:t>
      </w:r>
      <w:r>
        <w:rPr>
          <w:rFonts w:hint="eastAsia"/>
          <w:highlight w:val="none"/>
        </w:rPr>
        <w:t>1595</w:t>
      </w:r>
      <w:r>
        <w:rPr>
          <w:highlight w:val="none"/>
        </w:rPr>
        <w:t>万吨标准煤左右，“十四五”年均增长</w:t>
      </w:r>
      <w:r>
        <w:rPr>
          <w:rFonts w:hint="eastAsia"/>
          <w:highlight w:val="none"/>
        </w:rPr>
        <w:t>约3</w:t>
      </w:r>
      <w:r>
        <w:rPr>
          <w:highlight w:val="none"/>
        </w:rPr>
        <w:t>%。能源供给结构向清洁、低碳方向持续优化</w:t>
      </w:r>
      <w:r>
        <w:rPr>
          <w:rFonts w:hint="eastAsia"/>
          <w:highlight w:val="none"/>
        </w:rPr>
        <w:t>，</w:t>
      </w:r>
      <w:r>
        <w:rPr>
          <w:highlight w:val="none"/>
        </w:rPr>
        <w:t>天然气利用水平</w:t>
      </w:r>
      <w:r>
        <w:rPr>
          <w:rFonts w:hint="eastAsia"/>
          <w:highlight w:val="none"/>
        </w:rPr>
        <w:t>明显提升</w:t>
      </w:r>
      <w:r>
        <w:rPr>
          <w:highlight w:val="none"/>
        </w:rPr>
        <w:t>，</w:t>
      </w:r>
      <w:r>
        <w:rPr>
          <w:rFonts w:hint="eastAsia"/>
          <w:highlight w:val="none"/>
        </w:rPr>
        <w:t>与2020年相比，天然气消费比重提高</w:t>
      </w:r>
      <w:r>
        <w:rPr>
          <w:highlight w:val="none"/>
        </w:rPr>
        <w:t>17</w:t>
      </w:r>
      <w:r>
        <w:rPr>
          <w:rFonts w:hint="eastAsia"/>
          <w:highlight w:val="none"/>
        </w:rPr>
        <w:t>个百分点。</w:t>
      </w:r>
      <w:r>
        <w:rPr>
          <w:highlight w:val="none"/>
        </w:rPr>
        <w:t>能源效率持续提高，</w:t>
      </w:r>
      <w:r>
        <w:rPr>
          <w:rFonts w:hint="eastAsia"/>
          <w:highlight w:val="none"/>
        </w:rPr>
        <w:t>单位GDP能耗累计下</w:t>
      </w:r>
      <w:r>
        <w:rPr>
          <w:rFonts w:hint="eastAsia"/>
        </w:rPr>
        <w:t>降完成广东省分解任务。二氧化碳排放量持续下降，单位GDP二氧化碳排放量累计下降率完成广东省分解任务。</w:t>
      </w:r>
    </w:p>
    <w:p>
      <w:pPr>
        <w:pStyle w:val="39"/>
        <w:ind w:firstLine="640"/>
      </w:pPr>
    </w:p>
    <w:p>
      <w:pPr>
        <w:pStyle w:val="3"/>
        <w:rPr>
          <w:rFonts w:cs="Times New Roman"/>
        </w:rPr>
      </w:pPr>
      <w:bookmarkStart w:id="27" w:name="_Toc54190072"/>
      <w:bookmarkStart w:id="28" w:name="_Toc76568829"/>
      <w:r>
        <w:rPr>
          <w:rFonts w:cs="Times New Roman"/>
        </w:rPr>
        <w:t xml:space="preserve">第二节 </w:t>
      </w:r>
      <w:bookmarkEnd w:id="27"/>
      <w:r>
        <w:rPr>
          <w:rFonts w:cs="Times New Roman"/>
        </w:rPr>
        <w:t>环境保护措施</w:t>
      </w:r>
      <w:bookmarkEnd w:id="28"/>
    </w:p>
    <w:p>
      <w:pPr>
        <w:pStyle w:val="39"/>
        <w:ind w:firstLine="640"/>
      </w:pPr>
      <w:r>
        <w:t>充分发挥能源规划的引导和约束作用。做好各能源品种之前的规划衔接，科学规划和合理开发能源资源，依据规划布局能源基础设施建设，优化项目实施方案，不断提高资源综合利用水平和能源利用效率，降低对生态环境的影响。</w:t>
      </w:r>
    </w:p>
    <w:p>
      <w:pPr>
        <w:pStyle w:val="39"/>
        <w:ind w:firstLine="640"/>
      </w:pPr>
      <w:r>
        <w:t>加强能源产供销各环节的</w:t>
      </w:r>
      <w:r>
        <w:rPr>
          <w:rFonts w:hint="eastAsia"/>
        </w:rPr>
        <w:t>环境</w:t>
      </w:r>
      <w:r>
        <w:t>保护。优先采用高效率、低污染的能源生产设备，大力推广利用清洁能源，不断提高能源综合利用水平，推进重点领域、重点行业的节能改造，提升环保水平。</w:t>
      </w:r>
    </w:p>
    <w:p>
      <w:pPr>
        <w:pStyle w:val="39"/>
        <w:ind w:firstLine="640"/>
      </w:pPr>
      <w:r>
        <w:t>加强能源项目的环境监督管理。全面贯彻</w:t>
      </w:r>
      <w:r>
        <w:rPr>
          <w:rFonts w:hint="eastAsia"/>
        </w:rPr>
        <w:t>环境</w:t>
      </w:r>
      <w:r>
        <w:t>保护、节约能源相关法律法规。认真执行能源项目开发的节能评估和审查制度，加强对重要生态功能区和生态脆弱区的能源开发生产的生态保护与环境监管，强调具体项目实施要进行项目环评，注意落实环保要求并配套完善的环保措施。</w:t>
      </w:r>
    </w:p>
    <w:p>
      <w:pPr>
        <w:pStyle w:val="2"/>
        <w:widowControl w:val="0"/>
        <w:numPr>
          <w:ilvl w:val="0"/>
          <w:numId w:val="1"/>
        </w:numPr>
        <w:spacing w:before="300" w:after="200" w:line="560" w:lineRule="exact"/>
        <w:ind w:left="0" w:firstLine="0"/>
        <w:jc w:val="center"/>
        <w:rPr>
          <w:rFonts w:eastAsia="黑体"/>
          <w:b w:val="0"/>
          <w:color w:val="auto"/>
          <w:sz w:val="36"/>
          <w:szCs w:val="44"/>
        </w:rPr>
      </w:pPr>
      <w:r>
        <w:rPr>
          <w:rFonts w:hint="eastAsia" w:eastAsia="黑体"/>
          <w:b w:val="0"/>
          <w:color w:val="auto"/>
          <w:sz w:val="36"/>
          <w:szCs w:val="44"/>
        </w:rPr>
        <w:t xml:space="preserve"> </w:t>
      </w:r>
      <w:bookmarkStart w:id="29" w:name="_Toc76568830"/>
      <w:r>
        <w:rPr>
          <w:rFonts w:eastAsia="黑体"/>
          <w:b w:val="0"/>
          <w:color w:val="auto"/>
          <w:sz w:val="36"/>
          <w:szCs w:val="44"/>
        </w:rPr>
        <w:t>保障措施</w:t>
      </w:r>
      <w:bookmarkEnd w:id="29"/>
    </w:p>
    <w:p>
      <w:pPr>
        <w:pStyle w:val="3"/>
        <w:rPr>
          <w:rFonts w:cs="Times New Roman"/>
        </w:rPr>
      </w:pPr>
      <w:bookmarkStart w:id="30" w:name="_Toc76568831"/>
      <w:bookmarkStart w:id="31" w:name="_Toc14791533"/>
      <w:bookmarkStart w:id="32" w:name="_Toc8314484"/>
      <w:bookmarkStart w:id="33" w:name="_Toc14789491"/>
      <w:r>
        <w:rPr>
          <w:rFonts w:cs="Times New Roman"/>
        </w:rPr>
        <w:t>第一节  加强规划衔接</w:t>
      </w:r>
      <w:bookmarkEnd w:id="30"/>
    </w:p>
    <w:p>
      <w:pPr>
        <w:pStyle w:val="39"/>
        <w:ind w:firstLine="640"/>
      </w:pPr>
      <w:r>
        <w:t>积极对接国家、省相关能源规划，分解落实约束性目标，明确相关主体工作责任，共同推进落实规划目标和任务。统筹安排项目建设，重点做好能源项目建设用地、环境总量指标平衡，协调能源规划与综合交通运输体系发展、生态文明建设、农业农村现代化、生态环境保护和土地储备等专项规划，做好公众沟通，促进能源项目科学布局和顺利落地。</w:t>
      </w:r>
    </w:p>
    <w:p>
      <w:pPr>
        <w:pStyle w:val="39"/>
        <w:ind w:firstLine="640"/>
      </w:pPr>
    </w:p>
    <w:p>
      <w:pPr>
        <w:pStyle w:val="3"/>
        <w:rPr>
          <w:rFonts w:cs="Times New Roman"/>
        </w:rPr>
      </w:pPr>
      <w:bookmarkStart w:id="34" w:name="_Toc76568832"/>
      <w:r>
        <w:rPr>
          <w:rFonts w:cs="Times New Roman"/>
        </w:rPr>
        <w:t>第二节</w:t>
      </w:r>
      <w:bookmarkEnd w:id="31"/>
      <w:bookmarkEnd w:id="32"/>
      <w:bookmarkEnd w:id="33"/>
      <w:r>
        <w:rPr>
          <w:rFonts w:cs="Times New Roman"/>
        </w:rPr>
        <w:t xml:space="preserve">  加强组织实施</w:t>
      </w:r>
      <w:bookmarkEnd w:id="34"/>
    </w:p>
    <w:p>
      <w:pPr>
        <w:pStyle w:val="39"/>
        <w:ind w:firstLine="640"/>
      </w:pPr>
      <w:r>
        <w:t>各有关单位要加强衔接配合，共同推进本规划的落实。各</w:t>
      </w:r>
      <w:r>
        <w:rPr>
          <w:rFonts w:hint="eastAsia"/>
        </w:rPr>
        <w:t>县（市、区）</w:t>
      </w:r>
      <w:r>
        <w:t>政府积极推进本辖区能源消费总量控制及节能降耗、能源建设用地落实等工作。有关能源企业应依据本规划制定企业发展规划和实施方案,按照相关规定开展项目建设工作。</w:t>
      </w:r>
    </w:p>
    <w:p>
      <w:pPr>
        <w:pStyle w:val="39"/>
        <w:ind w:firstLine="640"/>
      </w:pPr>
    </w:p>
    <w:p>
      <w:pPr>
        <w:pStyle w:val="3"/>
        <w:rPr>
          <w:rFonts w:cs="Times New Roman"/>
        </w:rPr>
      </w:pPr>
      <w:bookmarkStart w:id="35" w:name="_Toc8314487"/>
      <w:bookmarkStart w:id="36" w:name="_Toc14791536"/>
      <w:bookmarkStart w:id="37" w:name="_Toc14789494"/>
      <w:bookmarkStart w:id="38" w:name="_Toc76568833"/>
      <w:r>
        <w:rPr>
          <w:rFonts w:cs="Times New Roman"/>
        </w:rPr>
        <w:t>第三节</w:t>
      </w:r>
      <w:bookmarkEnd w:id="35"/>
      <w:bookmarkEnd w:id="36"/>
      <w:bookmarkEnd w:id="37"/>
      <w:r>
        <w:rPr>
          <w:rFonts w:cs="Times New Roman"/>
        </w:rPr>
        <w:t xml:space="preserve">  加强政策支持</w:t>
      </w:r>
      <w:bookmarkEnd w:id="38"/>
    </w:p>
    <w:p>
      <w:pPr>
        <w:pStyle w:val="39"/>
        <w:ind w:firstLine="640"/>
      </w:pPr>
      <w:r>
        <w:t>贯彻落实国家和广东省能源领域法规政策，及时推动制定地方配套落实政策。鼓励支持企业和社会资本参与可再生能源、分布式能源、能源节约和清洁能源利用。加大对公益性能源设施建设的财政支持，积极探索节能环保、新能源领域股权、债权融资。进一步完善可再生能源财政支持、新能源公开公平接入和能源产业衔接配合，以及能源领域人才培养、引进、使用激励等方面的政策。梳理整合现有光伏、风电等可再生能源发展扶持政策、新能源汽车推广使用支持政策，进一步加大实施力度。</w:t>
      </w:r>
    </w:p>
    <w:p>
      <w:pPr>
        <w:pStyle w:val="39"/>
        <w:ind w:firstLine="640"/>
      </w:pPr>
    </w:p>
    <w:p>
      <w:pPr>
        <w:pStyle w:val="3"/>
        <w:rPr>
          <w:rFonts w:cs="Times New Roman"/>
        </w:rPr>
      </w:pPr>
      <w:bookmarkStart w:id="39" w:name="_Toc76568834"/>
      <w:r>
        <w:rPr>
          <w:rFonts w:cs="Times New Roman"/>
        </w:rPr>
        <w:t>第四节  加强评估调整</w:t>
      </w:r>
      <w:bookmarkEnd w:id="39"/>
    </w:p>
    <w:p>
      <w:pPr>
        <w:pStyle w:val="39"/>
        <w:ind w:firstLine="640"/>
      </w:pPr>
      <w:r>
        <w:t>规划实施年度中每年对规划执行情况进行回顾、梳理、评估，结合实施情况对规划项目进行微调。坚持规划中期评估制度，严格评估程序，委托第三方机构开展评估工作，分析规划实施效果，及时查找和解决问题，对规划滚动实施提出建议，根据规划实施和政策调整情况，修订调整能源规划目标和任务，强化能源规划对全市能源改革发展的指导地位。</w:t>
      </w:r>
    </w:p>
    <w:p>
      <w:pPr>
        <w:spacing w:line="240" w:lineRule="auto"/>
        <w:jc w:val="both"/>
      </w:pPr>
    </w:p>
    <w:sectPr>
      <w:pgSz w:w="11906" w:h="16838"/>
      <w:pgMar w:top="1440" w:right="1803" w:bottom="1440" w:left="1803" w:header="1021" w:footer="1020" w:gutter="0"/>
      <w:paperSrc/>
      <w:cols w:space="0" w:num="1"/>
      <w:rtlGutter w:val="0"/>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auto"/>
    <w:pitch w:val="default"/>
    <w:sig w:usb0="A00002EF" w:usb1="4000207B" w:usb2="00000000"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等线">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fldChar w:fldCharType="begin"/>
    </w:r>
    <w:r>
      <w:instrText xml:space="preserve">PAGE   \* MERGEFORMAT</w:instrText>
    </w:r>
    <w:r>
      <w:fldChar w:fldCharType="separate"/>
    </w:r>
    <w:r>
      <w:rPr>
        <w:lang w:val="zh-CN"/>
      </w:rP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fldChar w:fldCharType="begin"/>
    </w:r>
    <w:r>
      <w:instrText xml:space="preserve">PAGE   \* MERGEFORMAT</w:instrText>
    </w:r>
    <w:r>
      <w:fldChar w:fldCharType="separate"/>
    </w:r>
    <w:r>
      <w:rPr>
        <w:lang w:val="zh-CN"/>
      </w:rPr>
      <w:t>11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5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6D5810"/>
    <w:multiLevelType w:val="multilevel"/>
    <w:tmpl w:val="526D5810"/>
    <w:lvl w:ilvl="0" w:tentative="0">
      <w:start w:val="1"/>
      <w:numFmt w:val="japaneseCounting"/>
      <w:lvlText w:val="第%1章"/>
      <w:lvlJc w:val="left"/>
      <w:pPr>
        <w:ind w:left="1440" w:hanging="14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38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24F"/>
    <w:rsid w:val="00005B25"/>
    <w:rsid w:val="00006E6C"/>
    <w:rsid w:val="00006F9F"/>
    <w:rsid w:val="000102EA"/>
    <w:rsid w:val="00013908"/>
    <w:rsid w:val="000158CA"/>
    <w:rsid w:val="000174AC"/>
    <w:rsid w:val="00021DAD"/>
    <w:rsid w:val="00021E1A"/>
    <w:rsid w:val="00021EF5"/>
    <w:rsid w:val="00022677"/>
    <w:rsid w:val="000250F4"/>
    <w:rsid w:val="00025AE9"/>
    <w:rsid w:val="00026956"/>
    <w:rsid w:val="00026AA1"/>
    <w:rsid w:val="00027F6D"/>
    <w:rsid w:val="000311EC"/>
    <w:rsid w:val="000316A9"/>
    <w:rsid w:val="000316E9"/>
    <w:rsid w:val="0003177F"/>
    <w:rsid w:val="00031874"/>
    <w:rsid w:val="000324AC"/>
    <w:rsid w:val="00032ED9"/>
    <w:rsid w:val="000348DF"/>
    <w:rsid w:val="00034E94"/>
    <w:rsid w:val="00036A21"/>
    <w:rsid w:val="00043602"/>
    <w:rsid w:val="00043680"/>
    <w:rsid w:val="00043FB8"/>
    <w:rsid w:val="00044E04"/>
    <w:rsid w:val="000452B9"/>
    <w:rsid w:val="0004743F"/>
    <w:rsid w:val="0005111D"/>
    <w:rsid w:val="00051C55"/>
    <w:rsid w:val="0005260A"/>
    <w:rsid w:val="0005510A"/>
    <w:rsid w:val="00056D3F"/>
    <w:rsid w:val="00063A12"/>
    <w:rsid w:val="00064128"/>
    <w:rsid w:val="000657A8"/>
    <w:rsid w:val="00065A9A"/>
    <w:rsid w:val="00066F17"/>
    <w:rsid w:val="000678B3"/>
    <w:rsid w:val="00067D1C"/>
    <w:rsid w:val="00067EEA"/>
    <w:rsid w:val="000703F6"/>
    <w:rsid w:val="00070EA4"/>
    <w:rsid w:val="00072883"/>
    <w:rsid w:val="00073F2C"/>
    <w:rsid w:val="00074110"/>
    <w:rsid w:val="00074DDB"/>
    <w:rsid w:val="00075124"/>
    <w:rsid w:val="00075482"/>
    <w:rsid w:val="00076093"/>
    <w:rsid w:val="00081574"/>
    <w:rsid w:val="000822D1"/>
    <w:rsid w:val="00083C0F"/>
    <w:rsid w:val="000850D8"/>
    <w:rsid w:val="000851F8"/>
    <w:rsid w:val="00085A62"/>
    <w:rsid w:val="000872A0"/>
    <w:rsid w:val="000878A1"/>
    <w:rsid w:val="00087AB7"/>
    <w:rsid w:val="00091447"/>
    <w:rsid w:val="00091560"/>
    <w:rsid w:val="000917F9"/>
    <w:rsid w:val="00092AE4"/>
    <w:rsid w:val="00094198"/>
    <w:rsid w:val="000947C9"/>
    <w:rsid w:val="00094FB6"/>
    <w:rsid w:val="000A041D"/>
    <w:rsid w:val="000A0F6E"/>
    <w:rsid w:val="000A1477"/>
    <w:rsid w:val="000A1A98"/>
    <w:rsid w:val="000A1C49"/>
    <w:rsid w:val="000A3820"/>
    <w:rsid w:val="000A3F00"/>
    <w:rsid w:val="000A43A8"/>
    <w:rsid w:val="000A4B25"/>
    <w:rsid w:val="000A5443"/>
    <w:rsid w:val="000A5AE8"/>
    <w:rsid w:val="000A772B"/>
    <w:rsid w:val="000B0A87"/>
    <w:rsid w:val="000B0EF9"/>
    <w:rsid w:val="000B0F13"/>
    <w:rsid w:val="000B1B5E"/>
    <w:rsid w:val="000B2AAC"/>
    <w:rsid w:val="000B2B2E"/>
    <w:rsid w:val="000B4BF8"/>
    <w:rsid w:val="000B69C6"/>
    <w:rsid w:val="000B6CBD"/>
    <w:rsid w:val="000B7268"/>
    <w:rsid w:val="000B72A7"/>
    <w:rsid w:val="000C0584"/>
    <w:rsid w:val="000C0E0E"/>
    <w:rsid w:val="000C0FCA"/>
    <w:rsid w:val="000C240E"/>
    <w:rsid w:val="000C3C62"/>
    <w:rsid w:val="000C4293"/>
    <w:rsid w:val="000C44E4"/>
    <w:rsid w:val="000C54D5"/>
    <w:rsid w:val="000C5929"/>
    <w:rsid w:val="000C7BD4"/>
    <w:rsid w:val="000D2E42"/>
    <w:rsid w:val="000E0B8C"/>
    <w:rsid w:val="000E2385"/>
    <w:rsid w:val="000E3463"/>
    <w:rsid w:val="000E441B"/>
    <w:rsid w:val="000E4C31"/>
    <w:rsid w:val="000E6106"/>
    <w:rsid w:val="000E6274"/>
    <w:rsid w:val="000E628E"/>
    <w:rsid w:val="000F1EFF"/>
    <w:rsid w:val="000F3123"/>
    <w:rsid w:val="000F523E"/>
    <w:rsid w:val="000F5DBE"/>
    <w:rsid w:val="000F637B"/>
    <w:rsid w:val="001010B8"/>
    <w:rsid w:val="00101873"/>
    <w:rsid w:val="00105387"/>
    <w:rsid w:val="00106397"/>
    <w:rsid w:val="00107CA4"/>
    <w:rsid w:val="00107DD8"/>
    <w:rsid w:val="00110525"/>
    <w:rsid w:val="00110D17"/>
    <w:rsid w:val="00111000"/>
    <w:rsid w:val="00111805"/>
    <w:rsid w:val="00112852"/>
    <w:rsid w:val="00113D85"/>
    <w:rsid w:val="001143AF"/>
    <w:rsid w:val="00115F82"/>
    <w:rsid w:val="001169EC"/>
    <w:rsid w:val="001171B4"/>
    <w:rsid w:val="001177DA"/>
    <w:rsid w:val="00117A3B"/>
    <w:rsid w:val="00122829"/>
    <w:rsid w:val="001236C0"/>
    <w:rsid w:val="00125440"/>
    <w:rsid w:val="00125CEE"/>
    <w:rsid w:val="00126078"/>
    <w:rsid w:val="001264C2"/>
    <w:rsid w:val="00126A5D"/>
    <w:rsid w:val="0012704D"/>
    <w:rsid w:val="001279F1"/>
    <w:rsid w:val="0013054C"/>
    <w:rsid w:val="00130B16"/>
    <w:rsid w:val="00132E59"/>
    <w:rsid w:val="00133361"/>
    <w:rsid w:val="00133E36"/>
    <w:rsid w:val="00133F53"/>
    <w:rsid w:val="00134637"/>
    <w:rsid w:val="00134973"/>
    <w:rsid w:val="00140978"/>
    <w:rsid w:val="00140A79"/>
    <w:rsid w:val="00141E34"/>
    <w:rsid w:val="0014227B"/>
    <w:rsid w:val="0014245F"/>
    <w:rsid w:val="0014471F"/>
    <w:rsid w:val="00146F68"/>
    <w:rsid w:val="00147436"/>
    <w:rsid w:val="001475FA"/>
    <w:rsid w:val="00147EB5"/>
    <w:rsid w:val="00151B1A"/>
    <w:rsid w:val="00152917"/>
    <w:rsid w:val="001530A6"/>
    <w:rsid w:val="00153AE6"/>
    <w:rsid w:val="00154E5B"/>
    <w:rsid w:val="00160951"/>
    <w:rsid w:val="00160B41"/>
    <w:rsid w:val="0016274E"/>
    <w:rsid w:val="00162E0A"/>
    <w:rsid w:val="00163247"/>
    <w:rsid w:val="00163A9C"/>
    <w:rsid w:val="00163D1C"/>
    <w:rsid w:val="001643DF"/>
    <w:rsid w:val="0016572C"/>
    <w:rsid w:val="001665E8"/>
    <w:rsid w:val="001676AA"/>
    <w:rsid w:val="001703F1"/>
    <w:rsid w:val="0017153F"/>
    <w:rsid w:val="00172A27"/>
    <w:rsid w:val="00176148"/>
    <w:rsid w:val="00181C69"/>
    <w:rsid w:val="00185484"/>
    <w:rsid w:val="00185A38"/>
    <w:rsid w:val="00186C51"/>
    <w:rsid w:val="0018789F"/>
    <w:rsid w:val="00190B65"/>
    <w:rsid w:val="00191EEA"/>
    <w:rsid w:val="001921E5"/>
    <w:rsid w:val="00192826"/>
    <w:rsid w:val="00192F48"/>
    <w:rsid w:val="001952B6"/>
    <w:rsid w:val="001956FE"/>
    <w:rsid w:val="00197440"/>
    <w:rsid w:val="00197E31"/>
    <w:rsid w:val="00197E7B"/>
    <w:rsid w:val="001A05C8"/>
    <w:rsid w:val="001A07F1"/>
    <w:rsid w:val="001A13B7"/>
    <w:rsid w:val="001A1D16"/>
    <w:rsid w:val="001A275E"/>
    <w:rsid w:val="001A2DDA"/>
    <w:rsid w:val="001A2DF8"/>
    <w:rsid w:val="001A4001"/>
    <w:rsid w:val="001A6EAB"/>
    <w:rsid w:val="001A7E60"/>
    <w:rsid w:val="001B0B8D"/>
    <w:rsid w:val="001B224D"/>
    <w:rsid w:val="001B283D"/>
    <w:rsid w:val="001B2D0F"/>
    <w:rsid w:val="001B2E54"/>
    <w:rsid w:val="001B4B01"/>
    <w:rsid w:val="001C187B"/>
    <w:rsid w:val="001C393F"/>
    <w:rsid w:val="001C3DC1"/>
    <w:rsid w:val="001C3F93"/>
    <w:rsid w:val="001C50DA"/>
    <w:rsid w:val="001C7021"/>
    <w:rsid w:val="001D0D84"/>
    <w:rsid w:val="001D0FCF"/>
    <w:rsid w:val="001D1462"/>
    <w:rsid w:val="001D4BE7"/>
    <w:rsid w:val="001D78D8"/>
    <w:rsid w:val="001E05B7"/>
    <w:rsid w:val="001E0DDD"/>
    <w:rsid w:val="001E1CAC"/>
    <w:rsid w:val="001E224D"/>
    <w:rsid w:val="001E2348"/>
    <w:rsid w:val="001E28FB"/>
    <w:rsid w:val="001E2968"/>
    <w:rsid w:val="001E370F"/>
    <w:rsid w:val="001E5114"/>
    <w:rsid w:val="001E571A"/>
    <w:rsid w:val="001E58C2"/>
    <w:rsid w:val="001E6A2F"/>
    <w:rsid w:val="001E750C"/>
    <w:rsid w:val="001F0FB4"/>
    <w:rsid w:val="001F46B0"/>
    <w:rsid w:val="001F5414"/>
    <w:rsid w:val="001F6C70"/>
    <w:rsid w:val="001F72E1"/>
    <w:rsid w:val="00200733"/>
    <w:rsid w:val="00200845"/>
    <w:rsid w:val="00200EAB"/>
    <w:rsid w:val="0020496C"/>
    <w:rsid w:val="002059E5"/>
    <w:rsid w:val="00206A12"/>
    <w:rsid w:val="00206AF4"/>
    <w:rsid w:val="00206E9F"/>
    <w:rsid w:val="0020754F"/>
    <w:rsid w:val="0020756F"/>
    <w:rsid w:val="00210BE7"/>
    <w:rsid w:val="00212ECA"/>
    <w:rsid w:val="00213163"/>
    <w:rsid w:val="00213D17"/>
    <w:rsid w:val="002141BB"/>
    <w:rsid w:val="0021489C"/>
    <w:rsid w:val="00214D19"/>
    <w:rsid w:val="00215E7D"/>
    <w:rsid w:val="00216197"/>
    <w:rsid w:val="002162E9"/>
    <w:rsid w:val="00217DF9"/>
    <w:rsid w:val="00217E48"/>
    <w:rsid w:val="00220DAC"/>
    <w:rsid w:val="00222BC3"/>
    <w:rsid w:val="00222E84"/>
    <w:rsid w:val="002235AF"/>
    <w:rsid w:val="00224C78"/>
    <w:rsid w:val="002264AE"/>
    <w:rsid w:val="002275BC"/>
    <w:rsid w:val="00230389"/>
    <w:rsid w:val="00230786"/>
    <w:rsid w:val="00230C70"/>
    <w:rsid w:val="00230F67"/>
    <w:rsid w:val="00231DB6"/>
    <w:rsid w:val="00232BC0"/>
    <w:rsid w:val="00232DE9"/>
    <w:rsid w:val="00233F38"/>
    <w:rsid w:val="00234CCF"/>
    <w:rsid w:val="00236941"/>
    <w:rsid w:val="00237155"/>
    <w:rsid w:val="002378FA"/>
    <w:rsid w:val="00241430"/>
    <w:rsid w:val="0024146F"/>
    <w:rsid w:val="00241EA7"/>
    <w:rsid w:val="0024319E"/>
    <w:rsid w:val="00243552"/>
    <w:rsid w:val="002445EC"/>
    <w:rsid w:val="00244E0F"/>
    <w:rsid w:val="002477A0"/>
    <w:rsid w:val="00247B16"/>
    <w:rsid w:val="00247D8D"/>
    <w:rsid w:val="00250742"/>
    <w:rsid w:val="00250ED8"/>
    <w:rsid w:val="00250FD9"/>
    <w:rsid w:val="00251899"/>
    <w:rsid w:val="0025191C"/>
    <w:rsid w:val="0025505E"/>
    <w:rsid w:val="00255724"/>
    <w:rsid w:val="002571D6"/>
    <w:rsid w:val="00257C75"/>
    <w:rsid w:val="0026008B"/>
    <w:rsid w:val="00260350"/>
    <w:rsid w:val="00260A32"/>
    <w:rsid w:val="00260D07"/>
    <w:rsid w:val="0026488B"/>
    <w:rsid w:val="00264B85"/>
    <w:rsid w:val="0026606E"/>
    <w:rsid w:val="00266875"/>
    <w:rsid w:val="00270458"/>
    <w:rsid w:val="00270520"/>
    <w:rsid w:val="0027059A"/>
    <w:rsid w:val="002705C7"/>
    <w:rsid w:val="00270FBC"/>
    <w:rsid w:val="0027154C"/>
    <w:rsid w:val="002725C6"/>
    <w:rsid w:val="00272E1E"/>
    <w:rsid w:val="00274AB1"/>
    <w:rsid w:val="002750D3"/>
    <w:rsid w:val="002756AF"/>
    <w:rsid w:val="00276E5F"/>
    <w:rsid w:val="00276F0B"/>
    <w:rsid w:val="0027772B"/>
    <w:rsid w:val="00280A30"/>
    <w:rsid w:val="0028114E"/>
    <w:rsid w:val="002825FB"/>
    <w:rsid w:val="0028325C"/>
    <w:rsid w:val="00283577"/>
    <w:rsid w:val="00283611"/>
    <w:rsid w:val="002842D2"/>
    <w:rsid w:val="002842F5"/>
    <w:rsid w:val="00284579"/>
    <w:rsid w:val="0028569D"/>
    <w:rsid w:val="00285736"/>
    <w:rsid w:val="00285B30"/>
    <w:rsid w:val="00287733"/>
    <w:rsid w:val="00287788"/>
    <w:rsid w:val="0029006E"/>
    <w:rsid w:val="002921E3"/>
    <w:rsid w:val="002932A7"/>
    <w:rsid w:val="00293787"/>
    <w:rsid w:val="00293B61"/>
    <w:rsid w:val="002958B5"/>
    <w:rsid w:val="00296132"/>
    <w:rsid w:val="00296280"/>
    <w:rsid w:val="002977F9"/>
    <w:rsid w:val="002A0B8A"/>
    <w:rsid w:val="002A20A3"/>
    <w:rsid w:val="002A28EE"/>
    <w:rsid w:val="002A331F"/>
    <w:rsid w:val="002A3FC4"/>
    <w:rsid w:val="002A696F"/>
    <w:rsid w:val="002A725B"/>
    <w:rsid w:val="002A7A52"/>
    <w:rsid w:val="002A7F6E"/>
    <w:rsid w:val="002B021B"/>
    <w:rsid w:val="002B0A70"/>
    <w:rsid w:val="002B0B46"/>
    <w:rsid w:val="002B1182"/>
    <w:rsid w:val="002B21D7"/>
    <w:rsid w:val="002B2224"/>
    <w:rsid w:val="002B463C"/>
    <w:rsid w:val="002B4A9C"/>
    <w:rsid w:val="002B6E79"/>
    <w:rsid w:val="002B7B52"/>
    <w:rsid w:val="002C0E41"/>
    <w:rsid w:val="002C12F4"/>
    <w:rsid w:val="002C4B2B"/>
    <w:rsid w:val="002C5066"/>
    <w:rsid w:val="002C59EF"/>
    <w:rsid w:val="002C633A"/>
    <w:rsid w:val="002C63AF"/>
    <w:rsid w:val="002C7A8E"/>
    <w:rsid w:val="002D0237"/>
    <w:rsid w:val="002D1637"/>
    <w:rsid w:val="002D253B"/>
    <w:rsid w:val="002D50F0"/>
    <w:rsid w:val="002D60F0"/>
    <w:rsid w:val="002D67AF"/>
    <w:rsid w:val="002E1449"/>
    <w:rsid w:val="002E2033"/>
    <w:rsid w:val="002E2821"/>
    <w:rsid w:val="002E3685"/>
    <w:rsid w:val="002E43FE"/>
    <w:rsid w:val="002E441C"/>
    <w:rsid w:val="002E53B6"/>
    <w:rsid w:val="002E5F44"/>
    <w:rsid w:val="002F029C"/>
    <w:rsid w:val="002F0BD2"/>
    <w:rsid w:val="002F10FC"/>
    <w:rsid w:val="002F224A"/>
    <w:rsid w:val="002F2F7B"/>
    <w:rsid w:val="002F4C21"/>
    <w:rsid w:val="002F4F7B"/>
    <w:rsid w:val="002F5213"/>
    <w:rsid w:val="002F6E7F"/>
    <w:rsid w:val="002F7179"/>
    <w:rsid w:val="002F7793"/>
    <w:rsid w:val="003002A3"/>
    <w:rsid w:val="0030130C"/>
    <w:rsid w:val="0030178C"/>
    <w:rsid w:val="0030182D"/>
    <w:rsid w:val="0030224D"/>
    <w:rsid w:val="00302389"/>
    <w:rsid w:val="0030273F"/>
    <w:rsid w:val="00303A61"/>
    <w:rsid w:val="00304035"/>
    <w:rsid w:val="00306B5A"/>
    <w:rsid w:val="00307B0F"/>
    <w:rsid w:val="00312145"/>
    <w:rsid w:val="00312B06"/>
    <w:rsid w:val="0031374B"/>
    <w:rsid w:val="00313E70"/>
    <w:rsid w:val="003146C2"/>
    <w:rsid w:val="00314D8C"/>
    <w:rsid w:val="00316D12"/>
    <w:rsid w:val="00317073"/>
    <w:rsid w:val="00317A1F"/>
    <w:rsid w:val="00317A78"/>
    <w:rsid w:val="0032017E"/>
    <w:rsid w:val="0032150B"/>
    <w:rsid w:val="00321EB2"/>
    <w:rsid w:val="0032434E"/>
    <w:rsid w:val="003244E5"/>
    <w:rsid w:val="00325D10"/>
    <w:rsid w:val="00327149"/>
    <w:rsid w:val="003271CF"/>
    <w:rsid w:val="00330B05"/>
    <w:rsid w:val="00332F28"/>
    <w:rsid w:val="00333217"/>
    <w:rsid w:val="00334BC5"/>
    <w:rsid w:val="003352D3"/>
    <w:rsid w:val="003361A4"/>
    <w:rsid w:val="0034482B"/>
    <w:rsid w:val="0034594A"/>
    <w:rsid w:val="0034620E"/>
    <w:rsid w:val="00346D3E"/>
    <w:rsid w:val="00346D7B"/>
    <w:rsid w:val="00346E26"/>
    <w:rsid w:val="00346F5E"/>
    <w:rsid w:val="0034774A"/>
    <w:rsid w:val="0034788F"/>
    <w:rsid w:val="003501E1"/>
    <w:rsid w:val="00351B3E"/>
    <w:rsid w:val="00351E7C"/>
    <w:rsid w:val="003520E2"/>
    <w:rsid w:val="00352256"/>
    <w:rsid w:val="00352BB9"/>
    <w:rsid w:val="00354116"/>
    <w:rsid w:val="00354145"/>
    <w:rsid w:val="00355062"/>
    <w:rsid w:val="00355314"/>
    <w:rsid w:val="00356076"/>
    <w:rsid w:val="003573B8"/>
    <w:rsid w:val="00360E96"/>
    <w:rsid w:val="00361A8B"/>
    <w:rsid w:val="003637E4"/>
    <w:rsid w:val="00363DD9"/>
    <w:rsid w:val="00363E25"/>
    <w:rsid w:val="00364355"/>
    <w:rsid w:val="00364572"/>
    <w:rsid w:val="00365125"/>
    <w:rsid w:val="00365344"/>
    <w:rsid w:val="00365883"/>
    <w:rsid w:val="0036747E"/>
    <w:rsid w:val="0037009E"/>
    <w:rsid w:val="003719D0"/>
    <w:rsid w:val="0037353B"/>
    <w:rsid w:val="00376092"/>
    <w:rsid w:val="00376165"/>
    <w:rsid w:val="00377483"/>
    <w:rsid w:val="003774AF"/>
    <w:rsid w:val="00377E3C"/>
    <w:rsid w:val="003800A3"/>
    <w:rsid w:val="0038042D"/>
    <w:rsid w:val="00380567"/>
    <w:rsid w:val="00381316"/>
    <w:rsid w:val="003823E7"/>
    <w:rsid w:val="0038391F"/>
    <w:rsid w:val="00383FA4"/>
    <w:rsid w:val="00384EF9"/>
    <w:rsid w:val="003853DE"/>
    <w:rsid w:val="003866BC"/>
    <w:rsid w:val="0039071E"/>
    <w:rsid w:val="00390922"/>
    <w:rsid w:val="00390D98"/>
    <w:rsid w:val="00391354"/>
    <w:rsid w:val="00392A2B"/>
    <w:rsid w:val="00394FD1"/>
    <w:rsid w:val="0039509E"/>
    <w:rsid w:val="00395517"/>
    <w:rsid w:val="00395D53"/>
    <w:rsid w:val="00397812"/>
    <w:rsid w:val="00397D63"/>
    <w:rsid w:val="003A01F1"/>
    <w:rsid w:val="003A0CE0"/>
    <w:rsid w:val="003A17C2"/>
    <w:rsid w:val="003A18D3"/>
    <w:rsid w:val="003A1D6F"/>
    <w:rsid w:val="003A20A0"/>
    <w:rsid w:val="003A247E"/>
    <w:rsid w:val="003A3519"/>
    <w:rsid w:val="003A3EE3"/>
    <w:rsid w:val="003A4B19"/>
    <w:rsid w:val="003A58D7"/>
    <w:rsid w:val="003A5F83"/>
    <w:rsid w:val="003A680B"/>
    <w:rsid w:val="003A744A"/>
    <w:rsid w:val="003A755B"/>
    <w:rsid w:val="003A786D"/>
    <w:rsid w:val="003A7A58"/>
    <w:rsid w:val="003B0323"/>
    <w:rsid w:val="003B0DD8"/>
    <w:rsid w:val="003B1D5F"/>
    <w:rsid w:val="003B2631"/>
    <w:rsid w:val="003B2795"/>
    <w:rsid w:val="003B32F2"/>
    <w:rsid w:val="003B377A"/>
    <w:rsid w:val="003B43A7"/>
    <w:rsid w:val="003B45D3"/>
    <w:rsid w:val="003B48DC"/>
    <w:rsid w:val="003B519E"/>
    <w:rsid w:val="003B74AD"/>
    <w:rsid w:val="003C0F4D"/>
    <w:rsid w:val="003C144D"/>
    <w:rsid w:val="003C1EB1"/>
    <w:rsid w:val="003C1EDF"/>
    <w:rsid w:val="003C25CA"/>
    <w:rsid w:val="003C27E7"/>
    <w:rsid w:val="003C3046"/>
    <w:rsid w:val="003C4D43"/>
    <w:rsid w:val="003C527D"/>
    <w:rsid w:val="003C5D6E"/>
    <w:rsid w:val="003C61DD"/>
    <w:rsid w:val="003C6802"/>
    <w:rsid w:val="003C7240"/>
    <w:rsid w:val="003D00C8"/>
    <w:rsid w:val="003D25F8"/>
    <w:rsid w:val="003D4537"/>
    <w:rsid w:val="003D4660"/>
    <w:rsid w:val="003D52C4"/>
    <w:rsid w:val="003D7B22"/>
    <w:rsid w:val="003D7C8A"/>
    <w:rsid w:val="003E113D"/>
    <w:rsid w:val="003E193D"/>
    <w:rsid w:val="003E1F62"/>
    <w:rsid w:val="003E2456"/>
    <w:rsid w:val="003E3244"/>
    <w:rsid w:val="003E393F"/>
    <w:rsid w:val="003E444F"/>
    <w:rsid w:val="003E4E0C"/>
    <w:rsid w:val="003E57E7"/>
    <w:rsid w:val="003E58FC"/>
    <w:rsid w:val="003E6FAD"/>
    <w:rsid w:val="003E7726"/>
    <w:rsid w:val="003F005F"/>
    <w:rsid w:val="003F1A44"/>
    <w:rsid w:val="003F2DEE"/>
    <w:rsid w:val="003F30E3"/>
    <w:rsid w:val="003F3729"/>
    <w:rsid w:val="003F5593"/>
    <w:rsid w:val="003F7E0C"/>
    <w:rsid w:val="0040071E"/>
    <w:rsid w:val="0040286D"/>
    <w:rsid w:val="00402903"/>
    <w:rsid w:val="00402B33"/>
    <w:rsid w:val="004044BE"/>
    <w:rsid w:val="00405181"/>
    <w:rsid w:val="00405B56"/>
    <w:rsid w:val="00406FBD"/>
    <w:rsid w:val="004071BD"/>
    <w:rsid w:val="00407B12"/>
    <w:rsid w:val="00407FF0"/>
    <w:rsid w:val="00413879"/>
    <w:rsid w:val="00413978"/>
    <w:rsid w:val="00414016"/>
    <w:rsid w:val="004147F0"/>
    <w:rsid w:val="00414B0F"/>
    <w:rsid w:val="00415A3F"/>
    <w:rsid w:val="00415F11"/>
    <w:rsid w:val="00416987"/>
    <w:rsid w:val="00420141"/>
    <w:rsid w:val="0042068C"/>
    <w:rsid w:val="00422504"/>
    <w:rsid w:val="00422F8E"/>
    <w:rsid w:val="00423621"/>
    <w:rsid w:val="00423948"/>
    <w:rsid w:val="004244F3"/>
    <w:rsid w:val="004265EF"/>
    <w:rsid w:val="004273CF"/>
    <w:rsid w:val="00430402"/>
    <w:rsid w:val="0043055C"/>
    <w:rsid w:val="00430939"/>
    <w:rsid w:val="004330B2"/>
    <w:rsid w:val="00433E9A"/>
    <w:rsid w:val="00434B50"/>
    <w:rsid w:val="00435859"/>
    <w:rsid w:val="004358EB"/>
    <w:rsid w:val="004413BE"/>
    <w:rsid w:val="00442465"/>
    <w:rsid w:val="004449D5"/>
    <w:rsid w:val="00446A9F"/>
    <w:rsid w:val="004470D3"/>
    <w:rsid w:val="0044764C"/>
    <w:rsid w:val="0045382E"/>
    <w:rsid w:val="00454166"/>
    <w:rsid w:val="004541ED"/>
    <w:rsid w:val="0045504B"/>
    <w:rsid w:val="004551E6"/>
    <w:rsid w:val="004560F2"/>
    <w:rsid w:val="00457D0C"/>
    <w:rsid w:val="0046041A"/>
    <w:rsid w:val="00465BA1"/>
    <w:rsid w:val="00466BC5"/>
    <w:rsid w:val="0046738F"/>
    <w:rsid w:val="00467EE8"/>
    <w:rsid w:val="004708F9"/>
    <w:rsid w:val="004710A1"/>
    <w:rsid w:val="0047199E"/>
    <w:rsid w:val="00473790"/>
    <w:rsid w:val="004737D9"/>
    <w:rsid w:val="00473BAA"/>
    <w:rsid w:val="00474153"/>
    <w:rsid w:val="0047444F"/>
    <w:rsid w:val="00474863"/>
    <w:rsid w:val="00475C5C"/>
    <w:rsid w:val="0047706D"/>
    <w:rsid w:val="00480659"/>
    <w:rsid w:val="004806DF"/>
    <w:rsid w:val="00480C35"/>
    <w:rsid w:val="0048121E"/>
    <w:rsid w:val="004813C2"/>
    <w:rsid w:val="00481DCF"/>
    <w:rsid w:val="00483A02"/>
    <w:rsid w:val="00484FED"/>
    <w:rsid w:val="0048534D"/>
    <w:rsid w:val="00487D69"/>
    <w:rsid w:val="004902A0"/>
    <w:rsid w:val="00490A9F"/>
    <w:rsid w:val="00490E20"/>
    <w:rsid w:val="0049106F"/>
    <w:rsid w:val="00492732"/>
    <w:rsid w:val="00492E58"/>
    <w:rsid w:val="0049335C"/>
    <w:rsid w:val="0049377E"/>
    <w:rsid w:val="004937FC"/>
    <w:rsid w:val="00493B0A"/>
    <w:rsid w:val="00494147"/>
    <w:rsid w:val="00495752"/>
    <w:rsid w:val="00495AF0"/>
    <w:rsid w:val="00495ECC"/>
    <w:rsid w:val="00496274"/>
    <w:rsid w:val="00496B45"/>
    <w:rsid w:val="00496DE0"/>
    <w:rsid w:val="00497151"/>
    <w:rsid w:val="00497312"/>
    <w:rsid w:val="004A0F35"/>
    <w:rsid w:val="004A2191"/>
    <w:rsid w:val="004A79C9"/>
    <w:rsid w:val="004A7D05"/>
    <w:rsid w:val="004A7E12"/>
    <w:rsid w:val="004B0438"/>
    <w:rsid w:val="004B05B9"/>
    <w:rsid w:val="004B2479"/>
    <w:rsid w:val="004B3001"/>
    <w:rsid w:val="004B48D7"/>
    <w:rsid w:val="004B4E7F"/>
    <w:rsid w:val="004B5E0F"/>
    <w:rsid w:val="004B6422"/>
    <w:rsid w:val="004C06B4"/>
    <w:rsid w:val="004C23D0"/>
    <w:rsid w:val="004C2633"/>
    <w:rsid w:val="004C2B49"/>
    <w:rsid w:val="004C2EB4"/>
    <w:rsid w:val="004C3032"/>
    <w:rsid w:val="004C32BD"/>
    <w:rsid w:val="004C3B05"/>
    <w:rsid w:val="004C4A29"/>
    <w:rsid w:val="004C4F5A"/>
    <w:rsid w:val="004C590E"/>
    <w:rsid w:val="004C66DD"/>
    <w:rsid w:val="004C7A5C"/>
    <w:rsid w:val="004D06CF"/>
    <w:rsid w:val="004D105A"/>
    <w:rsid w:val="004D189D"/>
    <w:rsid w:val="004D2497"/>
    <w:rsid w:val="004D27B4"/>
    <w:rsid w:val="004D3EE5"/>
    <w:rsid w:val="004D40EA"/>
    <w:rsid w:val="004D444A"/>
    <w:rsid w:val="004D458D"/>
    <w:rsid w:val="004D4AA8"/>
    <w:rsid w:val="004D51D7"/>
    <w:rsid w:val="004D634D"/>
    <w:rsid w:val="004D6D29"/>
    <w:rsid w:val="004D7E8B"/>
    <w:rsid w:val="004E4D36"/>
    <w:rsid w:val="004E5A51"/>
    <w:rsid w:val="004E6620"/>
    <w:rsid w:val="004E756C"/>
    <w:rsid w:val="004F0D3E"/>
    <w:rsid w:val="004F17F9"/>
    <w:rsid w:val="004F1C08"/>
    <w:rsid w:val="004F290C"/>
    <w:rsid w:val="004F2A79"/>
    <w:rsid w:val="004F41F6"/>
    <w:rsid w:val="004F4BB6"/>
    <w:rsid w:val="004F50B3"/>
    <w:rsid w:val="004F74DD"/>
    <w:rsid w:val="004F7EDB"/>
    <w:rsid w:val="00500137"/>
    <w:rsid w:val="00500B4D"/>
    <w:rsid w:val="0050489A"/>
    <w:rsid w:val="00504E22"/>
    <w:rsid w:val="00505977"/>
    <w:rsid w:val="00505BE9"/>
    <w:rsid w:val="00506690"/>
    <w:rsid w:val="00510C00"/>
    <w:rsid w:val="0051204D"/>
    <w:rsid w:val="0051264F"/>
    <w:rsid w:val="00512CD8"/>
    <w:rsid w:val="005139E0"/>
    <w:rsid w:val="00513B78"/>
    <w:rsid w:val="005158D9"/>
    <w:rsid w:val="00515D66"/>
    <w:rsid w:val="00515FD1"/>
    <w:rsid w:val="00516DB4"/>
    <w:rsid w:val="0051740D"/>
    <w:rsid w:val="0052008B"/>
    <w:rsid w:val="00520498"/>
    <w:rsid w:val="00520DD7"/>
    <w:rsid w:val="00522C64"/>
    <w:rsid w:val="005239DF"/>
    <w:rsid w:val="00523E5E"/>
    <w:rsid w:val="005241B8"/>
    <w:rsid w:val="00526576"/>
    <w:rsid w:val="00526785"/>
    <w:rsid w:val="00533D5F"/>
    <w:rsid w:val="00536110"/>
    <w:rsid w:val="0054003A"/>
    <w:rsid w:val="00541FDC"/>
    <w:rsid w:val="0054266B"/>
    <w:rsid w:val="0054274D"/>
    <w:rsid w:val="00542E4D"/>
    <w:rsid w:val="00543BEC"/>
    <w:rsid w:val="00543FAA"/>
    <w:rsid w:val="00545354"/>
    <w:rsid w:val="005461FD"/>
    <w:rsid w:val="00547E7C"/>
    <w:rsid w:val="00550F98"/>
    <w:rsid w:val="0055223F"/>
    <w:rsid w:val="005534FB"/>
    <w:rsid w:val="00553E62"/>
    <w:rsid w:val="005546C6"/>
    <w:rsid w:val="005570B7"/>
    <w:rsid w:val="00557534"/>
    <w:rsid w:val="0055768F"/>
    <w:rsid w:val="00557FCF"/>
    <w:rsid w:val="00560553"/>
    <w:rsid w:val="00560D56"/>
    <w:rsid w:val="00561C84"/>
    <w:rsid w:val="005634F7"/>
    <w:rsid w:val="00563A05"/>
    <w:rsid w:val="00563A10"/>
    <w:rsid w:val="0056414A"/>
    <w:rsid w:val="005668ED"/>
    <w:rsid w:val="0056741C"/>
    <w:rsid w:val="00570B9A"/>
    <w:rsid w:val="005722F9"/>
    <w:rsid w:val="00573375"/>
    <w:rsid w:val="00574848"/>
    <w:rsid w:val="00576A66"/>
    <w:rsid w:val="0058054F"/>
    <w:rsid w:val="005812A4"/>
    <w:rsid w:val="005814B4"/>
    <w:rsid w:val="0058189C"/>
    <w:rsid w:val="00581C68"/>
    <w:rsid w:val="0058211F"/>
    <w:rsid w:val="00583535"/>
    <w:rsid w:val="00583C5A"/>
    <w:rsid w:val="005844E0"/>
    <w:rsid w:val="00591609"/>
    <w:rsid w:val="0059166B"/>
    <w:rsid w:val="00592B16"/>
    <w:rsid w:val="00594272"/>
    <w:rsid w:val="0059582A"/>
    <w:rsid w:val="00595D70"/>
    <w:rsid w:val="00597186"/>
    <w:rsid w:val="005973AA"/>
    <w:rsid w:val="00597A2F"/>
    <w:rsid w:val="00597EC7"/>
    <w:rsid w:val="005A15A0"/>
    <w:rsid w:val="005A1FDC"/>
    <w:rsid w:val="005A200C"/>
    <w:rsid w:val="005A28FA"/>
    <w:rsid w:val="005A38D4"/>
    <w:rsid w:val="005A39AB"/>
    <w:rsid w:val="005A4ADF"/>
    <w:rsid w:val="005A5E67"/>
    <w:rsid w:val="005A63B6"/>
    <w:rsid w:val="005A731E"/>
    <w:rsid w:val="005B0D14"/>
    <w:rsid w:val="005B1DBD"/>
    <w:rsid w:val="005B2559"/>
    <w:rsid w:val="005B259C"/>
    <w:rsid w:val="005B3792"/>
    <w:rsid w:val="005B3800"/>
    <w:rsid w:val="005B4173"/>
    <w:rsid w:val="005B4DF1"/>
    <w:rsid w:val="005B4DFA"/>
    <w:rsid w:val="005B5B8A"/>
    <w:rsid w:val="005B5B9B"/>
    <w:rsid w:val="005B67B0"/>
    <w:rsid w:val="005C0B1B"/>
    <w:rsid w:val="005C1941"/>
    <w:rsid w:val="005C1C0F"/>
    <w:rsid w:val="005C1E21"/>
    <w:rsid w:val="005C206F"/>
    <w:rsid w:val="005C2139"/>
    <w:rsid w:val="005C3DF2"/>
    <w:rsid w:val="005C3FB7"/>
    <w:rsid w:val="005C417C"/>
    <w:rsid w:val="005C44D8"/>
    <w:rsid w:val="005C473A"/>
    <w:rsid w:val="005C5955"/>
    <w:rsid w:val="005C7888"/>
    <w:rsid w:val="005D025A"/>
    <w:rsid w:val="005D13D0"/>
    <w:rsid w:val="005D2300"/>
    <w:rsid w:val="005D2713"/>
    <w:rsid w:val="005D2808"/>
    <w:rsid w:val="005D42C0"/>
    <w:rsid w:val="005D4854"/>
    <w:rsid w:val="005D510D"/>
    <w:rsid w:val="005D6C73"/>
    <w:rsid w:val="005D7674"/>
    <w:rsid w:val="005E0D34"/>
    <w:rsid w:val="005E1510"/>
    <w:rsid w:val="005E15BB"/>
    <w:rsid w:val="005E1A45"/>
    <w:rsid w:val="005E1A65"/>
    <w:rsid w:val="005E29CE"/>
    <w:rsid w:val="005E4321"/>
    <w:rsid w:val="005E4DCF"/>
    <w:rsid w:val="005E5FE6"/>
    <w:rsid w:val="005E67AF"/>
    <w:rsid w:val="005E6A3E"/>
    <w:rsid w:val="005F07E9"/>
    <w:rsid w:val="005F1C34"/>
    <w:rsid w:val="005F2D53"/>
    <w:rsid w:val="005F38DF"/>
    <w:rsid w:val="005F41B9"/>
    <w:rsid w:val="005F531E"/>
    <w:rsid w:val="005F7D98"/>
    <w:rsid w:val="006004A1"/>
    <w:rsid w:val="00602064"/>
    <w:rsid w:val="0060394C"/>
    <w:rsid w:val="00604254"/>
    <w:rsid w:val="00604546"/>
    <w:rsid w:val="00605794"/>
    <w:rsid w:val="00605A56"/>
    <w:rsid w:val="006068DE"/>
    <w:rsid w:val="00607A31"/>
    <w:rsid w:val="00610646"/>
    <w:rsid w:val="006111B5"/>
    <w:rsid w:val="00611C42"/>
    <w:rsid w:val="00612E68"/>
    <w:rsid w:val="006133E9"/>
    <w:rsid w:val="00613452"/>
    <w:rsid w:val="00613478"/>
    <w:rsid w:val="0061411C"/>
    <w:rsid w:val="006141F7"/>
    <w:rsid w:val="0061477A"/>
    <w:rsid w:val="00614D94"/>
    <w:rsid w:val="00614F11"/>
    <w:rsid w:val="00616506"/>
    <w:rsid w:val="00621D7A"/>
    <w:rsid w:val="00621FC6"/>
    <w:rsid w:val="006246A3"/>
    <w:rsid w:val="006246E6"/>
    <w:rsid w:val="006247D7"/>
    <w:rsid w:val="006251C1"/>
    <w:rsid w:val="006257F1"/>
    <w:rsid w:val="00626102"/>
    <w:rsid w:val="006274C7"/>
    <w:rsid w:val="00632CFA"/>
    <w:rsid w:val="0063412A"/>
    <w:rsid w:val="00635333"/>
    <w:rsid w:val="006362F9"/>
    <w:rsid w:val="0063673C"/>
    <w:rsid w:val="00641E08"/>
    <w:rsid w:val="00641EA9"/>
    <w:rsid w:val="006422E7"/>
    <w:rsid w:val="00645B1B"/>
    <w:rsid w:val="00646B4E"/>
    <w:rsid w:val="00651921"/>
    <w:rsid w:val="00651FF0"/>
    <w:rsid w:val="00652D09"/>
    <w:rsid w:val="00654C22"/>
    <w:rsid w:val="006559A4"/>
    <w:rsid w:val="00656173"/>
    <w:rsid w:val="006562F9"/>
    <w:rsid w:val="006572A6"/>
    <w:rsid w:val="00660C6C"/>
    <w:rsid w:val="006643BE"/>
    <w:rsid w:val="00665AD2"/>
    <w:rsid w:val="00667F2B"/>
    <w:rsid w:val="00670531"/>
    <w:rsid w:val="006732A4"/>
    <w:rsid w:val="0067350B"/>
    <w:rsid w:val="00673E36"/>
    <w:rsid w:val="00676336"/>
    <w:rsid w:val="0067695C"/>
    <w:rsid w:val="00676E85"/>
    <w:rsid w:val="0067715B"/>
    <w:rsid w:val="006775FF"/>
    <w:rsid w:val="00677BCB"/>
    <w:rsid w:val="0068039E"/>
    <w:rsid w:val="00681998"/>
    <w:rsid w:val="00681B9D"/>
    <w:rsid w:val="0068269C"/>
    <w:rsid w:val="00682868"/>
    <w:rsid w:val="006834FF"/>
    <w:rsid w:val="00683F53"/>
    <w:rsid w:val="00685F8F"/>
    <w:rsid w:val="00691ACA"/>
    <w:rsid w:val="00691C26"/>
    <w:rsid w:val="00692B27"/>
    <w:rsid w:val="00692D02"/>
    <w:rsid w:val="00693552"/>
    <w:rsid w:val="00694E5D"/>
    <w:rsid w:val="00695E87"/>
    <w:rsid w:val="006A1632"/>
    <w:rsid w:val="006A2081"/>
    <w:rsid w:val="006A2B78"/>
    <w:rsid w:val="006A33DE"/>
    <w:rsid w:val="006A3628"/>
    <w:rsid w:val="006A3FD3"/>
    <w:rsid w:val="006A5BE0"/>
    <w:rsid w:val="006A60AC"/>
    <w:rsid w:val="006A650D"/>
    <w:rsid w:val="006A6D46"/>
    <w:rsid w:val="006A7299"/>
    <w:rsid w:val="006B176E"/>
    <w:rsid w:val="006B2ACE"/>
    <w:rsid w:val="006B3AE0"/>
    <w:rsid w:val="006B476A"/>
    <w:rsid w:val="006B47DF"/>
    <w:rsid w:val="006B6032"/>
    <w:rsid w:val="006B76D1"/>
    <w:rsid w:val="006B7B8D"/>
    <w:rsid w:val="006C2180"/>
    <w:rsid w:val="006C2864"/>
    <w:rsid w:val="006C2D25"/>
    <w:rsid w:val="006C34F3"/>
    <w:rsid w:val="006C4105"/>
    <w:rsid w:val="006C487B"/>
    <w:rsid w:val="006C57C1"/>
    <w:rsid w:val="006C6248"/>
    <w:rsid w:val="006C63AC"/>
    <w:rsid w:val="006C7407"/>
    <w:rsid w:val="006C7733"/>
    <w:rsid w:val="006D0B4F"/>
    <w:rsid w:val="006D293E"/>
    <w:rsid w:val="006D417C"/>
    <w:rsid w:val="006D49E3"/>
    <w:rsid w:val="006D5749"/>
    <w:rsid w:val="006D681F"/>
    <w:rsid w:val="006D7B50"/>
    <w:rsid w:val="006D7C6F"/>
    <w:rsid w:val="006E08FB"/>
    <w:rsid w:val="006E0A0F"/>
    <w:rsid w:val="006E20E8"/>
    <w:rsid w:val="006E2CE7"/>
    <w:rsid w:val="006E2F42"/>
    <w:rsid w:val="006E35E1"/>
    <w:rsid w:val="006E3930"/>
    <w:rsid w:val="006E4EEE"/>
    <w:rsid w:val="006E57CE"/>
    <w:rsid w:val="006E5882"/>
    <w:rsid w:val="006E6549"/>
    <w:rsid w:val="006E67EB"/>
    <w:rsid w:val="006E7393"/>
    <w:rsid w:val="006F018F"/>
    <w:rsid w:val="006F063E"/>
    <w:rsid w:val="006F20BD"/>
    <w:rsid w:val="006F28A2"/>
    <w:rsid w:val="006F3146"/>
    <w:rsid w:val="006F4E41"/>
    <w:rsid w:val="006F53C3"/>
    <w:rsid w:val="0070093B"/>
    <w:rsid w:val="0070112D"/>
    <w:rsid w:val="00702EE2"/>
    <w:rsid w:val="00703A42"/>
    <w:rsid w:val="00704B83"/>
    <w:rsid w:val="00704E70"/>
    <w:rsid w:val="00704EB2"/>
    <w:rsid w:val="007054D1"/>
    <w:rsid w:val="007062F0"/>
    <w:rsid w:val="00707D72"/>
    <w:rsid w:val="00707EA8"/>
    <w:rsid w:val="00707EEC"/>
    <w:rsid w:val="007125ED"/>
    <w:rsid w:val="00712640"/>
    <w:rsid w:val="007126AC"/>
    <w:rsid w:val="00713C55"/>
    <w:rsid w:val="00715597"/>
    <w:rsid w:val="00715C6F"/>
    <w:rsid w:val="00716EA2"/>
    <w:rsid w:val="00720C8D"/>
    <w:rsid w:val="00720E9F"/>
    <w:rsid w:val="00721AF0"/>
    <w:rsid w:val="00721E3F"/>
    <w:rsid w:val="007220F7"/>
    <w:rsid w:val="00723569"/>
    <w:rsid w:val="0072484C"/>
    <w:rsid w:val="00724B29"/>
    <w:rsid w:val="007259A7"/>
    <w:rsid w:val="00725A12"/>
    <w:rsid w:val="0072629D"/>
    <w:rsid w:val="007267D4"/>
    <w:rsid w:val="007277B6"/>
    <w:rsid w:val="00730DE9"/>
    <w:rsid w:val="00734CEF"/>
    <w:rsid w:val="00735155"/>
    <w:rsid w:val="0073713C"/>
    <w:rsid w:val="0074097F"/>
    <w:rsid w:val="00742C0A"/>
    <w:rsid w:val="00743257"/>
    <w:rsid w:val="0074363F"/>
    <w:rsid w:val="00744327"/>
    <w:rsid w:val="0074477B"/>
    <w:rsid w:val="007453BB"/>
    <w:rsid w:val="007458F4"/>
    <w:rsid w:val="00745B34"/>
    <w:rsid w:val="00747932"/>
    <w:rsid w:val="00747D40"/>
    <w:rsid w:val="00752E48"/>
    <w:rsid w:val="00752F7C"/>
    <w:rsid w:val="00753549"/>
    <w:rsid w:val="00755F68"/>
    <w:rsid w:val="00757E77"/>
    <w:rsid w:val="007600A3"/>
    <w:rsid w:val="00760D2D"/>
    <w:rsid w:val="00761058"/>
    <w:rsid w:val="00761085"/>
    <w:rsid w:val="007626D4"/>
    <w:rsid w:val="0076330F"/>
    <w:rsid w:val="00766834"/>
    <w:rsid w:val="007668B2"/>
    <w:rsid w:val="0077080D"/>
    <w:rsid w:val="007708CA"/>
    <w:rsid w:val="00770AE6"/>
    <w:rsid w:val="00771077"/>
    <w:rsid w:val="0077109A"/>
    <w:rsid w:val="0077240C"/>
    <w:rsid w:val="007728AB"/>
    <w:rsid w:val="00772EF8"/>
    <w:rsid w:val="00773674"/>
    <w:rsid w:val="00775247"/>
    <w:rsid w:val="0077622D"/>
    <w:rsid w:val="00776B9E"/>
    <w:rsid w:val="007772AE"/>
    <w:rsid w:val="00777492"/>
    <w:rsid w:val="00780919"/>
    <w:rsid w:val="00780C55"/>
    <w:rsid w:val="00780E4A"/>
    <w:rsid w:val="00781233"/>
    <w:rsid w:val="0078323B"/>
    <w:rsid w:val="00791978"/>
    <w:rsid w:val="00792B14"/>
    <w:rsid w:val="007935D9"/>
    <w:rsid w:val="00793FC5"/>
    <w:rsid w:val="007954B5"/>
    <w:rsid w:val="007967C8"/>
    <w:rsid w:val="007A1560"/>
    <w:rsid w:val="007A18C7"/>
    <w:rsid w:val="007A1BE9"/>
    <w:rsid w:val="007A2664"/>
    <w:rsid w:val="007A2687"/>
    <w:rsid w:val="007A2CB4"/>
    <w:rsid w:val="007A423E"/>
    <w:rsid w:val="007A5350"/>
    <w:rsid w:val="007A6295"/>
    <w:rsid w:val="007A704D"/>
    <w:rsid w:val="007B0064"/>
    <w:rsid w:val="007B0DA9"/>
    <w:rsid w:val="007B25AA"/>
    <w:rsid w:val="007B2E72"/>
    <w:rsid w:val="007B4514"/>
    <w:rsid w:val="007B54FB"/>
    <w:rsid w:val="007B577C"/>
    <w:rsid w:val="007B5884"/>
    <w:rsid w:val="007B5DAC"/>
    <w:rsid w:val="007B60C9"/>
    <w:rsid w:val="007B6D1C"/>
    <w:rsid w:val="007B6E65"/>
    <w:rsid w:val="007B703B"/>
    <w:rsid w:val="007B7668"/>
    <w:rsid w:val="007B7B14"/>
    <w:rsid w:val="007C029C"/>
    <w:rsid w:val="007C08F8"/>
    <w:rsid w:val="007C1091"/>
    <w:rsid w:val="007C15F2"/>
    <w:rsid w:val="007C1D86"/>
    <w:rsid w:val="007C2662"/>
    <w:rsid w:val="007C26E7"/>
    <w:rsid w:val="007C32FE"/>
    <w:rsid w:val="007C3443"/>
    <w:rsid w:val="007C4524"/>
    <w:rsid w:val="007C481E"/>
    <w:rsid w:val="007C4D66"/>
    <w:rsid w:val="007C622B"/>
    <w:rsid w:val="007C6C3D"/>
    <w:rsid w:val="007C6E48"/>
    <w:rsid w:val="007C7F14"/>
    <w:rsid w:val="007D101C"/>
    <w:rsid w:val="007D16D4"/>
    <w:rsid w:val="007D2487"/>
    <w:rsid w:val="007D2E65"/>
    <w:rsid w:val="007D3A25"/>
    <w:rsid w:val="007D491D"/>
    <w:rsid w:val="007D62A3"/>
    <w:rsid w:val="007D6B75"/>
    <w:rsid w:val="007D7F63"/>
    <w:rsid w:val="007E1010"/>
    <w:rsid w:val="007E10ED"/>
    <w:rsid w:val="007E175F"/>
    <w:rsid w:val="007E18E6"/>
    <w:rsid w:val="007E3172"/>
    <w:rsid w:val="007E35B5"/>
    <w:rsid w:val="007E3BE6"/>
    <w:rsid w:val="007E4EE9"/>
    <w:rsid w:val="007E500C"/>
    <w:rsid w:val="007E5600"/>
    <w:rsid w:val="007E6C5F"/>
    <w:rsid w:val="007E728E"/>
    <w:rsid w:val="007E7C63"/>
    <w:rsid w:val="007F14DF"/>
    <w:rsid w:val="007F246D"/>
    <w:rsid w:val="007F2A10"/>
    <w:rsid w:val="007F2C8A"/>
    <w:rsid w:val="007F303B"/>
    <w:rsid w:val="007F4584"/>
    <w:rsid w:val="007F62B0"/>
    <w:rsid w:val="007F67D1"/>
    <w:rsid w:val="007F69DF"/>
    <w:rsid w:val="007F6C1E"/>
    <w:rsid w:val="008008E5"/>
    <w:rsid w:val="008014DA"/>
    <w:rsid w:val="00801808"/>
    <w:rsid w:val="00801A50"/>
    <w:rsid w:val="00801E14"/>
    <w:rsid w:val="00804366"/>
    <w:rsid w:val="008053BA"/>
    <w:rsid w:val="00805FA7"/>
    <w:rsid w:val="00806089"/>
    <w:rsid w:val="0080666E"/>
    <w:rsid w:val="008067C8"/>
    <w:rsid w:val="00806B9A"/>
    <w:rsid w:val="00806D6A"/>
    <w:rsid w:val="00807E4A"/>
    <w:rsid w:val="00810B34"/>
    <w:rsid w:val="00812534"/>
    <w:rsid w:val="008129DC"/>
    <w:rsid w:val="00813DA4"/>
    <w:rsid w:val="00814188"/>
    <w:rsid w:val="00817BD3"/>
    <w:rsid w:val="00817E8B"/>
    <w:rsid w:val="00820696"/>
    <w:rsid w:val="00820D8D"/>
    <w:rsid w:val="00821018"/>
    <w:rsid w:val="00825039"/>
    <w:rsid w:val="00825A68"/>
    <w:rsid w:val="00825F9D"/>
    <w:rsid w:val="00826F70"/>
    <w:rsid w:val="008278B6"/>
    <w:rsid w:val="00830991"/>
    <w:rsid w:val="008312E8"/>
    <w:rsid w:val="0083160C"/>
    <w:rsid w:val="008328E9"/>
    <w:rsid w:val="00832BD1"/>
    <w:rsid w:val="0083473C"/>
    <w:rsid w:val="00837F27"/>
    <w:rsid w:val="00840089"/>
    <w:rsid w:val="00840CD4"/>
    <w:rsid w:val="008447F6"/>
    <w:rsid w:val="0084569C"/>
    <w:rsid w:val="0084694A"/>
    <w:rsid w:val="00846A9A"/>
    <w:rsid w:val="00847D9E"/>
    <w:rsid w:val="00850555"/>
    <w:rsid w:val="00850967"/>
    <w:rsid w:val="00850D4E"/>
    <w:rsid w:val="0085174D"/>
    <w:rsid w:val="008519E7"/>
    <w:rsid w:val="008520B7"/>
    <w:rsid w:val="008523BC"/>
    <w:rsid w:val="00852700"/>
    <w:rsid w:val="00853789"/>
    <w:rsid w:val="008539CB"/>
    <w:rsid w:val="00854518"/>
    <w:rsid w:val="00854BFF"/>
    <w:rsid w:val="008554E9"/>
    <w:rsid w:val="008555FE"/>
    <w:rsid w:val="00855BA4"/>
    <w:rsid w:val="008561AD"/>
    <w:rsid w:val="00856868"/>
    <w:rsid w:val="0085721E"/>
    <w:rsid w:val="00857324"/>
    <w:rsid w:val="0085733F"/>
    <w:rsid w:val="0086103E"/>
    <w:rsid w:val="00861A1E"/>
    <w:rsid w:val="00861EFA"/>
    <w:rsid w:val="0086231A"/>
    <w:rsid w:val="00862C5A"/>
    <w:rsid w:val="0086355B"/>
    <w:rsid w:val="00865A39"/>
    <w:rsid w:val="0086629A"/>
    <w:rsid w:val="00866ADE"/>
    <w:rsid w:val="00867A2C"/>
    <w:rsid w:val="00867CCF"/>
    <w:rsid w:val="00867E05"/>
    <w:rsid w:val="008704E6"/>
    <w:rsid w:val="00870837"/>
    <w:rsid w:val="00870D03"/>
    <w:rsid w:val="00871EB5"/>
    <w:rsid w:val="00872149"/>
    <w:rsid w:val="00872DA7"/>
    <w:rsid w:val="008739E8"/>
    <w:rsid w:val="008740F3"/>
    <w:rsid w:val="00874D7F"/>
    <w:rsid w:val="00875424"/>
    <w:rsid w:val="00875975"/>
    <w:rsid w:val="00875E68"/>
    <w:rsid w:val="00876656"/>
    <w:rsid w:val="00877693"/>
    <w:rsid w:val="008778AE"/>
    <w:rsid w:val="008778EB"/>
    <w:rsid w:val="00880F58"/>
    <w:rsid w:val="00881569"/>
    <w:rsid w:val="00881932"/>
    <w:rsid w:val="0088242F"/>
    <w:rsid w:val="00882A16"/>
    <w:rsid w:val="00882BDB"/>
    <w:rsid w:val="0088413B"/>
    <w:rsid w:val="0088471F"/>
    <w:rsid w:val="008849DE"/>
    <w:rsid w:val="00885232"/>
    <w:rsid w:val="00885D57"/>
    <w:rsid w:val="00886E84"/>
    <w:rsid w:val="00886F10"/>
    <w:rsid w:val="00890AD5"/>
    <w:rsid w:val="00890E09"/>
    <w:rsid w:val="008911F6"/>
    <w:rsid w:val="008912C6"/>
    <w:rsid w:val="00891535"/>
    <w:rsid w:val="00892DC7"/>
    <w:rsid w:val="00893D73"/>
    <w:rsid w:val="00893DD1"/>
    <w:rsid w:val="00894787"/>
    <w:rsid w:val="00896706"/>
    <w:rsid w:val="008968A8"/>
    <w:rsid w:val="00897F0B"/>
    <w:rsid w:val="008A350D"/>
    <w:rsid w:val="008A3A07"/>
    <w:rsid w:val="008A4AB3"/>
    <w:rsid w:val="008A5AE2"/>
    <w:rsid w:val="008A5E63"/>
    <w:rsid w:val="008A66DC"/>
    <w:rsid w:val="008A7C44"/>
    <w:rsid w:val="008B107C"/>
    <w:rsid w:val="008B1E2E"/>
    <w:rsid w:val="008B225E"/>
    <w:rsid w:val="008B2C22"/>
    <w:rsid w:val="008B440A"/>
    <w:rsid w:val="008B5176"/>
    <w:rsid w:val="008B6257"/>
    <w:rsid w:val="008B6340"/>
    <w:rsid w:val="008B666D"/>
    <w:rsid w:val="008C0567"/>
    <w:rsid w:val="008C1C38"/>
    <w:rsid w:val="008C29A1"/>
    <w:rsid w:val="008C36CD"/>
    <w:rsid w:val="008C586A"/>
    <w:rsid w:val="008C627A"/>
    <w:rsid w:val="008C67CE"/>
    <w:rsid w:val="008C7610"/>
    <w:rsid w:val="008C7FC1"/>
    <w:rsid w:val="008D091A"/>
    <w:rsid w:val="008D25C6"/>
    <w:rsid w:val="008D2AC2"/>
    <w:rsid w:val="008D3149"/>
    <w:rsid w:val="008D3313"/>
    <w:rsid w:val="008D3F19"/>
    <w:rsid w:val="008D43C7"/>
    <w:rsid w:val="008D4786"/>
    <w:rsid w:val="008D59AB"/>
    <w:rsid w:val="008E0098"/>
    <w:rsid w:val="008E07FC"/>
    <w:rsid w:val="008E0942"/>
    <w:rsid w:val="008E0963"/>
    <w:rsid w:val="008E19D9"/>
    <w:rsid w:val="008E3906"/>
    <w:rsid w:val="008E4A70"/>
    <w:rsid w:val="008E4C73"/>
    <w:rsid w:val="008E5AFD"/>
    <w:rsid w:val="008E672B"/>
    <w:rsid w:val="008E6A26"/>
    <w:rsid w:val="008F0D97"/>
    <w:rsid w:val="008F0F26"/>
    <w:rsid w:val="008F132C"/>
    <w:rsid w:val="008F30E6"/>
    <w:rsid w:val="008F4417"/>
    <w:rsid w:val="008F466B"/>
    <w:rsid w:val="008F4776"/>
    <w:rsid w:val="008F4A2F"/>
    <w:rsid w:val="008F5746"/>
    <w:rsid w:val="008F7049"/>
    <w:rsid w:val="009027B9"/>
    <w:rsid w:val="009030CE"/>
    <w:rsid w:val="009056C7"/>
    <w:rsid w:val="00906378"/>
    <w:rsid w:val="00911CA1"/>
    <w:rsid w:val="009139A3"/>
    <w:rsid w:val="009151E0"/>
    <w:rsid w:val="00916758"/>
    <w:rsid w:val="00916C06"/>
    <w:rsid w:val="00916E8E"/>
    <w:rsid w:val="0091797A"/>
    <w:rsid w:val="009205E5"/>
    <w:rsid w:val="00921CA7"/>
    <w:rsid w:val="00922855"/>
    <w:rsid w:val="0092471F"/>
    <w:rsid w:val="009260AC"/>
    <w:rsid w:val="00931304"/>
    <w:rsid w:val="00932EAB"/>
    <w:rsid w:val="00934288"/>
    <w:rsid w:val="009350B1"/>
    <w:rsid w:val="0093663C"/>
    <w:rsid w:val="009376ED"/>
    <w:rsid w:val="0094083F"/>
    <w:rsid w:val="00942666"/>
    <w:rsid w:val="009438EC"/>
    <w:rsid w:val="00943C46"/>
    <w:rsid w:val="009453F8"/>
    <w:rsid w:val="009462CA"/>
    <w:rsid w:val="009466FC"/>
    <w:rsid w:val="00947B18"/>
    <w:rsid w:val="00950256"/>
    <w:rsid w:val="00951A79"/>
    <w:rsid w:val="0095480C"/>
    <w:rsid w:val="00956848"/>
    <w:rsid w:val="00957336"/>
    <w:rsid w:val="009618F4"/>
    <w:rsid w:val="00962BD2"/>
    <w:rsid w:val="0096362F"/>
    <w:rsid w:val="00964313"/>
    <w:rsid w:val="00965FA0"/>
    <w:rsid w:val="0096603E"/>
    <w:rsid w:val="00966109"/>
    <w:rsid w:val="00966AD4"/>
    <w:rsid w:val="00966AE6"/>
    <w:rsid w:val="0097014D"/>
    <w:rsid w:val="00970460"/>
    <w:rsid w:val="009750BF"/>
    <w:rsid w:val="00975AF3"/>
    <w:rsid w:val="009768C0"/>
    <w:rsid w:val="00980CFF"/>
    <w:rsid w:val="00981B84"/>
    <w:rsid w:val="00981F83"/>
    <w:rsid w:val="0098251D"/>
    <w:rsid w:val="009844A5"/>
    <w:rsid w:val="00984F11"/>
    <w:rsid w:val="0098501C"/>
    <w:rsid w:val="009856C0"/>
    <w:rsid w:val="00985917"/>
    <w:rsid w:val="00987934"/>
    <w:rsid w:val="00987939"/>
    <w:rsid w:val="00990A88"/>
    <w:rsid w:val="00990FB3"/>
    <w:rsid w:val="0099147C"/>
    <w:rsid w:val="00993A35"/>
    <w:rsid w:val="00994151"/>
    <w:rsid w:val="00995322"/>
    <w:rsid w:val="00997891"/>
    <w:rsid w:val="009A01E5"/>
    <w:rsid w:val="009A04A8"/>
    <w:rsid w:val="009A1BEC"/>
    <w:rsid w:val="009A25F4"/>
    <w:rsid w:val="009A388D"/>
    <w:rsid w:val="009A3F5A"/>
    <w:rsid w:val="009A4298"/>
    <w:rsid w:val="009A43A0"/>
    <w:rsid w:val="009A49C0"/>
    <w:rsid w:val="009A54B3"/>
    <w:rsid w:val="009A5807"/>
    <w:rsid w:val="009A5D9E"/>
    <w:rsid w:val="009A6018"/>
    <w:rsid w:val="009A6103"/>
    <w:rsid w:val="009A61FF"/>
    <w:rsid w:val="009B01DD"/>
    <w:rsid w:val="009B262B"/>
    <w:rsid w:val="009B617A"/>
    <w:rsid w:val="009B679B"/>
    <w:rsid w:val="009B7E61"/>
    <w:rsid w:val="009C09B0"/>
    <w:rsid w:val="009C1D6E"/>
    <w:rsid w:val="009C3D6C"/>
    <w:rsid w:val="009C44E3"/>
    <w:rsid w:val="009C5CA3"/>
    <w:rsid w:val="009C6DA1"/>
    <w:rsid w:val="009C6F19"/>
    <w:rsid w:val="009D0D3A"/>
    <w:rsid w:val="009D14C7"/>
    <w:rsid w:val="009D1FA8"/>
    <w:rsid w:val="009D2188"/>
    <w:rsid w:val="009D28AD"/>
    <w:rsid w:val="009D31BA"/>
    <w:rsid w:val="009D3432"/>
    <w:rsid w:val="009D34E6"/>
    <w:rsid w:val="009D3B06"/>
    <w:rsid w:val="009D3E1A"/>
    <w:rsid w:val="009D3F27"/>
    <w:rsid w:val="009D4135"/>
    <w:rsid w:val="009D4489"/>
    <w:rsid w:val="009D497E"/>
    <w:rsid w:val="009D5ACB"/>
    <w:rsid w:val="009D684A"/>
    <w:rsid w:val="009D6B28"/>
    <w:rsid w:val="009D6BB9"/>
    <w:rsid w:val="009D6CCC"/>
    <w:rsid w:val="009E008E"/>
    <w:rsid w:val="009E03DB"/>
    <w:rsid w:val="009E0958"/>
    <w:rsid w:val="009E0A9F"/>
    <w:rsid w:val="009E1BED"/>
    <w:rsid w:val="009E35DD"/>
    <w:rsid w:val="009E3B12"/>
    <w:rsid w:val="009E45C7"/>
    <w:rsid w:val="009E5E35"/>
    <w:rsid w:val="009E63F9"/>
    <w:rsid w:val="009E6F8D"/>
    <w:rsid w:val="009F1199"/>
    <w:rsid w:val="009F11C7"/>
    <w:rsid w:val="009F1290"/>
    <w:rsid w:val="009F319B"/>
    <w:rsid w:val="009F52B3"/>
    <w:rsid w:val="009F56AD"/>
    <w:rsid w:val="009F5AD4"/>
    <w:rsid w:val="009F63FC"/>
    <w:rsid w:val="009F66CF"/>
    <w:rsid w:val="009F6750"/>
    <w:rsid w:val="009F6C29"/>
    <w:rsid w:val="00A00C43"/>
    <w:rsid w:val="00A00E44"/>
    <w:rsid w:val="00A0111B"/>
    <w:rsid w:val="00A0389D"/>
    <w:rsid w:val="00A04603"/>
    <w:rsid w:val="00A058BB"/>
    <w:rsid w:val="00A05E76"/>
    <w:rsid w:val="00A120AF"/>
    <w:rsid w:val="00A14F9B"/>
    <w:rsid w:val="00A1659E"/>
    <w:rsid w:val="00A1724D"/>
    <w:rsid w:val="00A173E6"/>
    <w:rsid w:val="00A200BF"/>
    <w:rsid w:val="00A2090E"/>
    <w:rsid w:val="00A21CBA"/>
    <w:rsid w:val="00A24C7E"/>
    <w:rsid w:val="00A24D64"/>
    <w:rsid w:val="00A2536E"/>
    <w:rsid w:val="00A25633"/>
    <w:rsid w:val="00A25BCC"/>
    <w:rsid w:val="00A25E56"/>
    <w:rsid w:val="00A271AF"/>
    <w:rsid w:val="00A27849"/>
    <w:rsid w:val="00A2794B"/>
    <w:rsid w:val="00A279D3"/>
    <w:rsid w:val="00A3090F"/>
    <w:rsid w:val="00A30A91"/>
    <w:rsid w:val="00A319A4"/>
    <w:rsid w:val="00A32242"/>
    <w:rsid w:val="00A32534"/>
    <w:rsid w:val="00A3287B"/>
    <w:rsid w:val="00A36EA6"/>
    <w:rsid w:val="00A3720A"/>
    <w:rsid w:val="00A37449"/>
    <w:rsid w:val="00A40879"/>
    <w:rsid w:val="00A40FC0"/>
    <w:rsid w:val="00A432EC"/>
    <w:rsid w:val="00A43313"/>
    <w:rsid w:val="00A4441F"/>
    <w:rsid w:val="00A44A0D"/>
    <w:rsid w:val="00A4735B"/>
    <w:rsid w:val="00A4768B"/>
    <w:rsid w:val="00A51747"/>
    <w:rsid w:val="00A51E0F"/>
    <w:rsid w:val="00A539F3"/>
    <w:rsid w:val="00A53B97"/>
    <w:rsid w:val="00A54789"/>
    <w:rsid w:val="00A54B83"/>
    <w:rsid w:val="00A570A1"/>
    <w:rsid w:val="00A61700"/>
    <w:rsid w:val="00A61D7A"/>
    <w:rsid w:val="00A64D74"/>
    <w:rsid w:val="00A64F47"/>
    <w:rsid w:val="00A67103"/>
    <w:rsid w:val="00A70120"/>
    <w:rsid w:val="00A70204"/>
    <w:rsid w:val="00A709FA"/>
    <w:rsid w:val="00A71F92"/>
    <w:rsid w:val="00A721EF"/>
    <w:rsid w:val="00A7339C"/>
    <w:rsid w:val="00A73E59"/>
    <w:rsid w:val="00A75139"/>
    <w:rsid w:val="00A755FF"/>
    <w:rsid w:val="00A76DD5"/>
    <w:rsid w:val="00A77ABC"/>
    <w:rsid w:val="00A77B23"/>
    <w:rsid w:val="00A801AB"/>
    <w:rsid w:val="00A804CC"/>
    <w:rsid w:val="00A80AAA"/>
    <w:rsid w:val="00A81237"/>
    <w:rsid w:val="00A81814"/>
    <w:rsid w:val="00A8293D"/>
    <w:rsid w:val="00A82A50"/>
    <w:rsid w:val="00A83200"/>
    <w:rsid w:val="00A83BB8"/>
    <w:rsid w:val="00A841BC"/>
    <w:rsid w:val="00A84B0D"/>
    <w:rsid w:val="00A8507E"/>
    <w:rsid w:val="00A8522D"/>
    <w:rsid w:val="00A8532C"/>
    <w:rsid w:val="00A86FF6"/>
    <w:rsid w:val="00A872D7"/>
    <w:rsid w:val="00A87CFA"/>
    <w:rsid w:val="00A916AB"/>
    <w:rsid w:val="00A927C0"/>
    <w:rsid w:val="00A92880"/>
    <w:rsid w:val="00A947BB"/>
    <w:rsid w:val="00A95010"/>
    <w:rsid w:val="00A96CB2"/>
    <w:rsid w:val="00AA00F0"/>
    <w:rsid w:val="00AA0683"/>
    <w:rsid w:val="00AA083E"/>
    <w:rsid w:val="00AA27DB"/>
    <w:rsid w:val="00AA2A66"/>
    <w:rsid w:val="00AA400B"/>
    <w:rsid w:val="00AA5E72"/>
    <w:rsid w:val="00AA664B"/>
    <w:rsid w:val="00AA707A"/>
    <w:rsid w:val="00AA7C29"/>
    <w:rsid w:val="00AA7FE7"/>
    <w:rsid w:val="00AB0204"/>
    <w:rsid w:val="00AB02D2"/>
    <w:rsid w:val="00AB1689"/>
    <w:rsid w:val="00AB2236"/>
    <w:rsid w:val="00AB73BE"/>
    <w:rsid w:val="00AB7599"/>
    <w:rsid w:val="00AC0830"/>
    <w:rsid w:val="00AC0DE0"/>
    <w:rsid w:val="00AC0F93"/>
    <w:rsid w:val="00AC334F"/>
    <w:rsid w:val="00AC4C0B"/>
    <w:rsid w:val="00AC5DE8"/>
    <w:rsid w:val="00AC649B"/>
    <w:rsid w:val="00AC69EE"/>
    <w:rsid w:val="00AC6A8E"/>
    <w:rsid w:val="00AC6D79"/>
    <w:rsid w:val="00AC7B11"/>
    <w:rsid w:val="00AD0FD9"/>
    <w:rsid w:val="00AD107C"/>
    <w:rsid w:val="00AD1B0F"/>
    <w:rsid w:val="00AD2389"/>
    <w:rsid w:val="00AD30FC"/>
    <w:rsid w:val="00AD3DC5"/>
    <w:rsid w:val="00AD3F3C"/>
    <w:rsid w:val="00AD5DE0"/>
    <w:rsid w:val="00AD616F"/>
    <w:rsid w:val="00AD62E4"/>
    <w:rsid w:val="00AD7012"/>
    <w:rsid w:val="00AD7618"/>
    <w:rsid w:val="00AE12E1"/>
    <w:rsid w:val="00AE1ABC"/>
    <w:rsid w:val="00AE1B7E"/>
    <w:rsid w:val="00AE1D6A"/>
    <w:rsid w:val="00AE30F2"/>
    <w:rsid w:val="00AE322F"/>
    <w:rsid w:val="00AE3AF5"/>
    <w:rsid w:val="00AE3DA2"/>
    <w:rsid w:val="00AE40CF"/>
    <w:rsid w:val="00AE524A"/>
    <w:rsid w:val="00AE5426"/>
    <w:rsid w:val="00AE5866"/>
    <w:rsid w:val="00AE6807"/>
    <w:rsid w:val="00AE6EBA"/>
    <w:rsid w:val="00AE7955"/>
    <w:rsid w:val="00AE7F92"/>
    <w:rsid w:val="00AF11E9"/>
    <w:rsid w:val="00AF1DBA"/>
    <w:rsid w:val="00AF21CB"/>
    <w:rsid w:val="00AF2510"/>
    <w:rsid w:val="00AF2FC8"/>
    <w:rsid w:val="00AF3F1D"/>
    <w:rsid w:val="00AF4A12"/>
    <w:rsid w:val="00AF4E75"/>
    <w:rsid w:val="00AF5DBC"/>
    <w:rsid w:val="00AF69C1"/>
    <w:rsid w:val="00AF763A"/>
    <w:rsid w:val="00B004BF"/>
    <w:rsid w:val="00B00D51"/>
    <w:rsid w:val="00B041A1"/>
    <w:rsid w:val="00B04481"/>
    <w:rsid w:val="00B0577C"/>
    <w:rsid w:val="00B06E76"/>
    <w:rsid w:val="00B1043F"/>
    <w:rsid w:val="00B11C14"/>
    <w:rsid w:val="00B11E6D"/>
    <w:rsid w:val="00B12167"/>
    <w:rsid w:val="00B128E3"/>
    <w:rsid w:val="00B1384A"/>
    <w:rsid w:val="00B1571E"/>
    <w:rsid w:val="00B1623B"/>
    <w:rsid w:val="00B16364"/>
    <w:rsid w:val="00B17191"/>
    <w:rsid w:val="00B20885"/>
    <w:rsid w:val="00B2168E"/>
    <w:rsid w:val="00B23F42"/>
    <w:rsid w:val="00B243F3"/>
    <w:rsid w:val="00B24DE8"/>
    <w:rsid w:val="00B256AB"/>
    <w:rsid w:val="00B26FDB"/>
    <w:rsid w:val="00B2730C"/>
    <w:rsid w:val="00B2761F"/>
    <w:rsid w:val="00B3031A"/>
    <w:rsid w:val="00B305ED"/>
    <w:rsid w:val="00B30A4E"/>
    <w:rsid w:val="00B30A99"/>
    <w:rsid w:val="00B325B6"/>
    <w:rsid w:val="00B35F81"/>
    <w:rsid w:val="00B36595"/>
    <w:rsid w:val="00B37154"/>
    <w:rsid w:val="00B37A2C"/>
    <w:rsid w:val="00B403AB"/>
    <w:rsid w:val="00B41C55"/>
    <w:rsid w:val="00B423CA"/>
    <w:rsid w:val="00B42B84"/>
    <w:rsid w:val="00B42D5C"/>
    <w:rsid w:val="00B43D09"/>
    <w:rsid w:val="00B43F38"/>
    <w:rsid w:val="00B44B9E"/>
    <w:rsid w:val="00B44D61"/>
    <w:rsid w:val="00B45C4D"/>
    <w:rsid w:val="00B46626"/>
    <w:rsid w:val="00B50390"/>
    <w:rsid w:val="00B514E2"/>
    <w:rsid w:val="00B51C7F"/>
    <w:rsid w:val="00B524BE"/>
    <w:rsid w:val="00B52AAD"/>
    <w:rsid w:val="00B52E85"/>
    <w:rsid w:val="00B5555D"/>
    <w:rsid w:val="00B55BEB"/>
    <w:rsid w:val="00B56627"/>
    <w:rsid w:val="00B61A7F"/>
    <w:rsid w:val="00B62873"/>
    <w:rsid w:val="00B63428"/>
    <w:rsid w:val="00B63B4E"/>
    <w:rsid w:val="00B64DFF"/>
    <w:rsid w:val="00B64F41"/>
    <w:rsid w:val="00B6618F"/>
    <w:rsid w:val="00B70773"/>
    <w:rsid w:val="00B7279F"/>
    <w:rsid w:val="00B72CA0"/>
    <w:rsid w:val="00B72CA4"/>
    <w:rsid w:val="00B77138"/>
    <w:rsid w:val="00B7714F"/>
    <w:rsid w:val="00B77E32"/>
    <w:rsid w:val="00B77FBA"/>
    <w:rsid w:val="00B80BC6"/>
    <w:rsid w:val="00B80E52"/>
    <w:rsid w:val="00B82796"/>
    <w:rsid w:val="00B83B64"/>
    <w:rsid w:val="00B84860"/>
    <w:rsid w:val="00B854A2"/>
    <w:rsid w:val="00B8614E"/>
    <w:rsid w:val="00B9042E"/>
    <w:rsid w:val="00B90435"/>
    <w:rsid w:val="00B90F42"/>
    <w:rsid w:val="00B912BF"/>
    <w:rsid w:val="00B947E4"/>
    <w:rsid w:val="00B9587A"/>
    <w:rsid w:val="00BA0EEF"/>
    <w:rsid w:val="00BA101B"/>
    <w:rsid w:val="00BA1426"/>
    <w:rsid w:val="00BA1518"/>
    <w:rsid w:val="00BA24C7"/>
    <w:rsid w:val="00BA25C1"/>
    <w:rsid w:val="00BA2753"/>
    <w:rsid w:val="00BA2770"/>
    <w:rsid w:val="00BA5281"/>
    <w:rsid w:val="00BA5725"/>
    <w:rsid w:val="00BA600B"/>
    <w:rsid w:val="00BA755D"/>
    <w:rsid w:val="00BB0135"/>
    <w:rsid w:val="00BB1652"/>
    <w:rsid w:val="00BB2371"/>
    <w:rsid w:val="00BB2706"/>
    <w:rsid w:val="00BB491E"/>
    <w:rsid w:val="00BB5688"/>
    <w:rsid w:val="00BC15AC"/>
    <w:rsid w:val="00BC331F"/>
    <w:rsid w:val="00BC40B9"/>
    <w:rsid w:val="00BC5835"/>
    <w:rsid w:val="00BC6103"/>
    <w:rsid w:val="00BC7D03"/>
    <w:rsid w:val="00BD083B"/>
    <w:rsid w:val="00BD271A"/>
    <w:rsid w:val="00BD4242"/>
    <w:rsid w:val="00BD42F6"/>
    <w:rsid w:val="00BD49ED"/>
    <w:rsid w:val="00BD69A3"/>
    <w:rsid w:val="00BE1DD2"/>
    <w:rsid w:val="00BE38D2"/>
    <w:rsid w:val="00BE3BC7"/>
    <w:rsid w:val="00BE4829"/>
    <w:rsid w:val="00BE5A84"/>
    <w:rsid w:val="00BE5DA4"/>
    <w:rsid w:val="00BE685D"/>
    <w:rsid w:val="00BE71B1"/>
    <w:rsid w:val="00BE71E2"/>
    <w:rsid w:val="00BE72C5"/>
    <w:rsid w:val="00BE75C0"/>
    <w:rsid w:val="00BF1189"/>
    <w:rsid w:val="00BF2736"/>
    <w:rsid w:val="00BF2AFF"/>
    <w:rsid w:val="00BF2FAB"/>
    <w:rsid w:val="00BF414F"/>
    <w:rsid w:val="00BF4E76"/>
    <w:rsid w:val="00BF7F19"/>
    <w:rsid w:val="00C00737"/>
    <w:rsid w:val="00C00A89"/>
    <w:rsid w:val="00C00C29"/>
    <w:rsid w:val="00C00D1D"/>
    <w:rsid w:val="00C00D48"/>
    <w:rsid w:val="00C00E79"/>
    <w:rsid w:val="00C00F7F"/>
    <w:rsid w:val="00C02D81"/>
    <w:rsid w:val="00C03193"/>
    <w:rsid w:val="00C03BA4"/>
    <w:rsid w:val="00C0636A"/>
    <w:rsid w:val="00C073DB"/>
    <w:rsid w:val="00C078C8"/>
    <w:rsid w:val="00C117E2"/>
    <w:rsid w:val="00C11E25"/>
    <w:rsid w:val="00C13E58"/>
    <w:rsid w:val="00C15496"/>
    <w:rsid w:val="00C15C73"/>
    <w:rsid w:val="00C160E5"/>
    <w:rsid w:val="00C16B91"/>
    <w:rsid w:val="00C1706E"/>
    <w:rsid w:val="00C17270"/>
    <w:rsid w:val="00C17DF0"/>
    <w:rsid w:val="00C24907"/>
    <w:rsid w:val="00C310B1"/>
    <w:rsid w:val="00C3129D"/>
    <w:rsid w:val="00C312E5"/>
    <w:rsid w:val="00C32446"/>
    <w:rsid w:val="00C33E09"/>
    <w:rsid w:val="00C33E57"/>
    <w:rsid w:val="00C35903"/>
    <w:rsid w:val="00C377FA"/>
    <w:rsid w:val="00C37954"/>
    <w:rsid w:val="00C417A2"/>
    <w:rsid w:val="00C41A90"/>
    <w:rsid w:val="00C41BBB"/>
    <w:rsid w:val="00C439F5"/>
    <w:rsid w:val="00C43B14"/>
    <w:rsid w:val="00C4484F"/>
    <w:rsid w:val="00C4486E"/>
    <w:rsid w:val="00C44BF3"/>
    <w:rsid w:val="00C44DE2"/>
    <w:rsid w:val="00C458B8"/>
    <w:rsid w:val="00C45BDA"/>
    <w:rsid w:val="00C46082"/>
    <w:rsid w:val="00C476E2"/>
    <w:rsid w:val="00C479F8"/>
    <w:rsid w:val="00C47AE7"/>
    <w:rsid w:val="00C5006E"/>
    <w:rsid w:val="00C51B53"/>
    <w:rsid w:val="00C52917"/>
    <w:rsid w:val="00C536B7"/>
    <w:rsid w:val="00C536C7"/>
    <w:rsid w:val="00C542E0"/>
    <w:rsid w:val="00C54CC7"/>
    <w:rsid w:val="00C55F5A"/>
    <w:rsid w:val="00C60735"/>
    <w:rsid w:val="00C6124C"/>
    <w:rsid w:val="00C61542"/>
    <w:rsid w:val="00C61867"/>
    <w:rsid w:val="00C61A55"/>
    <w:rsid w:val="00C621C1"/>
    <w:rsid w:val="00C62782"/>
    <w:rsid w:val="00C62908"/>
    <w:rsid w:val="00C62D34"/>
    <w:rsid w:val="00C636D3"/>
    <w:rsid w:val="00C6592E"/>
    <w:rsid w:val="00C66BD8"/>
    <w:rsid w:val="00C676BC"/>
    <w:rsid w:val="00C7012B"/>
    <w:rsid w:val="00C7133C"/>
    <w:rsid w:val="00C718B2"/>
    <w:rsid w:val="00C719DB"/>
    <w:rsid w:val="00C71F54"/>
    <w:rsid w:val="00C7254F"/>
    <w:rsid w:val="00C72737"/>
    <w:rsid w:val="00C73DD3"/>
    <w:rsid w:val="00C750A4"/>
    <w:rsid w:val="00C77221"/>
    <w:rsid w:val="00C81475"/>
    <w:rsid w:val="00C8250D"/>
    <w:rsid w:val="00C82F9D"/>
    <w:rsid w:val="00C846FE"/>
    <w:rsid w:val="00C84B3D"/>
    <w:rsid w:val="00C84CCC"/>
    <w:rsid w:val="00C85DF9"/>
    <w:rsid w:val="00C85ED8"/>
    <w:rsid w:val="00C8662B"/>
    <w:rsid w:val="00C916AC"/>
    <w:rsid w:val="00C91A92"/>
    <w:rsid w:val="00C91C2F"/>
    <w:rsid w:val="00C920D6"/>
    <w:rsid w:val="00C9269A"/>
    <w:rsid w:val="00C92B53"/>
    <w:rsid w:val="00C94840"/>
    <w:rsid w:val="00C96B90"/>
    <w:rsid w:val="00CA1D95"/>
    <w:rsid w:val="00CA30B3"/>
    <w:rsid w:val="00CA36CC"/>
    <w:rsid w:val="00CA3E71"/>
    <w:rsid w:val="00CA4A65"/>
    <w:rsid w:val="00CA4FEB"/>
    <w:rsid w:val="00CA5347"/>
    <w:rsid w:val="00CA55CF"/>
    <w:rsid w:val="00CA64EF"/>
    <w:rsid w:val="00CA6583"/>
    <w:rsid w:val="00CA7622"/>
    <w:rsid w:val="00CA7C0B"/>
    <w:rsid w:val="00CA7DF9"/>
    <w:rsid w:val="00CB012A"/>
    <w:rsid w:val="00CB13CF"/>
    <w:rsid w:val="00CB15EC"/>
    <w:rsid w:val="00CB1DEF"/>
    <w:rsid w:val="00CB21CE"/>
    <w:rsid w:val="00CB3403"/>
    <w:rsid w:val="00CB3BBE"/>
    <w:rsid w:val="00CB4545"/>
    <w:rsid w:val="00CB502D"/>
    <w:rsid w:val="00CB50B7"/>
    <w:rsid w:val="00CB5A8A"/>
    <w:rsid w:val="00CB6509"/>
    <w:rsid w:val="00CB6CB0"/>
    <w:rsid w:val="00CB7446"/>
    <w:rsid w:val="00CB76B1"/>
    <w:rsid w:val="00CC0412"/>
    <w:rsid w:val="00CC0DB9"/>
    <w:rsid w:val="00CC18CB"/>
    <w:rsid w:val="00CC2033"/>
    <w:rsid w:val="00CC24E2"/>
    <w:rsid w:val="00CC5619"/>
    <w:rsid w:val="00CC5A84"/>
    <w:rsid w:val="00CC5AC7"/>
    <w:rsid w:val="00CC6119"/>
    <w:rsid w:val="00CC7289"/>
    <w:rsid w:val="00CC731F"/>
    <w:rsid w:val="00CC7BCB"/>
    <w:rsid w:val="00CD1A9A"/>
    <w:rsid w:val="00CD32FB"/>
    <w:rsid w:val="00CD3A8F"/>
    <w:rsid w:val="00CD5893"/>
    <w:rsid w:val="00CD6138"/>
    <w:rsid w:val="00CD685B"/>
    <w:rsid w:val="00CD6F33"/>
    <w:rsid w:val="00CD77BB"/>
    <w:rsid w:val="00CD7A5F"/>
    <w:rsid w:val="00CE016F"/>
    <w:rsid w:val="00CE0572"/>
    <w:rsid w:val="00CE2B11"/>
    <w:rsid w:val="00CE36E0"/>
    <w:rsid w:val="00CE3949"/>
    <w:rsid w:val="00CE562C"/>
    <w:rsid w:val="00CE6C31"/>
    <w:rsid w:val="00CE74F5"/>
    <w:rsid w:val="00CE7A80"/>
    <w:rsid w:val="00CF076C"/>
    <w:rsid w:val="00CF1528"/>
    <w:rsid w:val="00CF18DF"/>
    <w:rsid w:val="00CF19F2"/>
    <w:rsid w:val="00CF1C73"/>
    <w:rsid w:val="00CF2304"/>
    <w:rsid w:val="00CF43EF"/>
    <w:rsid w:val="00CF4D6D"/>
    <w:rsid w:val="00CF62A3"/>
    <w:rsid w:val="00CF696A"/>
    <w:rsid w:val="00CF6988"/>
    <w:rsid w:val="00CF779E"/>
    <w:rsid w:val="00D01C65"/>
    <w:rsid w:val="00D03C82"/>
    <w:rsid w:val="00D0454E"/>
    <w:rsid w:val="00D04E84"/>
    <w:rsid w:val="00D04EEC"/>
    <w:rsid w:val="00D06ABD"/>
    <w:rsid w:val="00D0717E"/>
    <w:rsid w:val="00D07714"/>
    <w:rsid w:val="00D079C2"/>
    <w:rsid w:val="00D10816"/>
    <w:rsid w:val="00D10B21"/>
    <w:rsid w:val="00D114C2"/>
    <w:rsid w:val="00D12848"/>
    <w:rsid w:val="00D12C56"/>
    <w:rsid w:val="00D12CFB"/>
    <w:rsid w:val="00D13994"/>
    <w:rsid w:val="00D13B38"/>
    <w:rsid w:val="00D17345"/>
    <w:rsid w:val="00D1762D"/>
    <w:rsid w:val="00D176F5"/>
    <w:rsid w:val="00D17D50"/>
    <w:rsid w:val="00D2118F"/>
    <w:rsid w:val="00D23507"/>
    <w:rsid w:val="00D2399A"/>
    <w:rsid w:val="00D24E8A"/>
    <w:rsid w:val="00D26142"/>
    <w:rsid w:val="00D262D0"/>
    <w:rsid w:val="00D2722B"/>
    <w:rsid w:val="00D2737A"/>
    <w:rsid w:val="00D27669"/>
    <w:rsid w:val="00D30271"/>
    <w:rsid w:val="00D30AC1"/>
    <w:rsid w:val="00D316F3"/>
    <w:rsid w:val="00D31BD7"/>
    <w:rsid w:val="00D31CA3"/>
    <w:rsid w:val="00D323A7"/>
    <w:rsid w:val="00D33942"/>
    <w:rsid w:val="00D343EF"/>
    <w:rsid w:val="00D346E4"/>
    <w:rsid w:val="00D35348"/>
    <w:rsid w:val="00D35DA8"/>
    <w:rsid w:val="00D36B37"/>
    <w:rsid w:val="00D36BAB"/>
    <w:rsid w:val="00D40492"/>
    <w:rsid w:val="00D4133B"/>
    <w:rsid w:val="00D42202"/>
    <w:rsid w:val="00D42EAD"/>
    <w:rsid w:val="00D443AD"/>
    <w:rsid w:val="00D44879"/>
    <w:rsid w:val="00D452BD"/>
    <w:rsid w:val="00D45A0F"/>
    <w:rsid w:val="00D473A9"/>
    <w:rsid w:val="00D5046C"/>
    <w:rsid w:val="00D53105"/>
    <w:rsid w:val="00D53344"/>
    <w:rsid w:val="00D534EE"/>
    <w:rsid w:val="00D553FC"/>
    <w:rsid w:val="00D5769E"/>
    <w:rsid w:val="00D57E3C"/>
    <w:rsid w:val="00D60BC0"/>
    <w:rsid w:val="00D62096"/>
    <w:rsid w:val="00D62472"/>
    <w:rsid w:val="00D6320B"/>
    <w:rsid w:val="00D64DAB"/>
    <w:rsid w:val="00D6573E"/>
    <w:rsid w:val="00D65FD8"/>
    <w:rsid w:val="00D6666E"/>
    <w:rsid w:val="00D7051C"/>
    <w:rsid w:val="00D71ACD"/>
    <w:rsid w:val="00D71C49"/>
    <w:rsid w:val="00D72C87"/>
    <w:rsid w:val="00D72DEF"/>
    <w:rsid w:val="00D740B5"/>
    <w:rsid w:val="00D744C6"/>
    <w:rsid w:val="00D747B3"/>
    <w:rsid w:val="00D748F0"/>
    <w:rsid w:val="00D760CF"/>
    <w:rsid w:val="00D762F2"/>
    <w:rsid w:val="00D779E5"/>
    <w:rsid w:val="00D77AF0"/>
    <w:rsid w:val="00D80F2A"/>
    <w:rsid w:val="00D811C5"/>
    <w:rsid w:val="00D8124D"/>
    <w:rsid w:val="00D8276E"/>
    <w:rsid w:val="00D83657"/>
    <w:rsid w:val="00D83E83"/>
    <w:rsid w:val="00D8449C"/>
    <w:rsid w:val="00D847CF"/>
    <w:rsid w:val="00D84CF9"/>
    <w:rsid w:val="00D85B57"/>
    <w:rsid w:val="00D862AA"/>
    <w:rsid w:val="00D8652A"/>
    <w:rsid w:val="00D8715E"/>
    <w:rsid w:val="00D87CB2"/>
    <w:rsid w:val="00D91A69"/>
    <w:rsid w:val="00D92031"/>
    <w:rsid w:val="00D93019"/>
    <w:rsid w:val="00D9402D"/>
    <w:rsid w:val="00D94580"/>
    <w:rsid w:val="00D95C53"/>
    <w:rsid w:val="00D97B48"/>
    <w:rsid w:val="00D97D7C"/>
    <w:rsid w:val="00DA140B"/>
    <w:rsid w:val="00DA1F19"/>
    <w:rsid w:val="00DA21DF"/>
    <w:rsid w:val="00DA393F"/>
    <w:rsid w:val="00DA3F33"/>
    <w:rsid w:val="00DA42BB"/>
    <w:rsid w:val="00DA5933"/>
    <w:rsid w:val="00DA5B4F"/>
    <w:rsid w:val="00DA6D21"/>
    <w:rsid w:val="00DB2209"/>
    <w:rsid w:val="00DB3CC7"/>
    <w:rsid w:val="00DB5747"/>
    <w:rsid w:val="00DB5BB2"/>
    <w:rsid w:val="00DB5DBF"/>
    <w:rsid w:val="00DB78FC"/>
    <w:rsid w:val="00DB7EE2"/>
    <w:rsid w:val="00DC03B2"/>
    <w:rsid w:val="00DC071C"/>
    <w:rsid w:val="00DC1798"/>
    <w:rsid w:val="00DC2B67"/>
    <w:rsid w:val="00DC3991"/>
    <w:rsid w:val="00DC427E"/>
    <w:rsid w:val="00DC46C2"/>
    <w:rsid w:val="00DC56AA"/>
    <w:rsid w:val="00DC5DBD"/>
    <w:rsid w:val="00DC69E6"/>
    <w:rsid w:val="00DC7404"/>
    <w:rsid w:val="00DC7727"/>
    <w:rsid w:val="00DD0C21"/>
    <w:rsid w:val="00DD1C29"/>
    <w:rsid w:val="00DD1F5C"/>
    <w:rsid w:val="00DD3177"/>
    <w:rsid w:val="00DD508C"/>
    <w:rsid w:val="00DD511D"/>
    <w:rsid w:val="00DD68A4"/>
    <w:rsid w:val="00DD6CCE"/>
    <w:rsid w:val="00DD731F"/>
    <w:rsid w:val="00DD7360"/>
    <w:rsid w:val="00DE0BDB"/>
    <w:rsid w:val="00DE3A7C"/>
    <w:rsid w:val="00DE3DED"/>
    <w:rsid w:val="00DE4A74"/>
    <w:rsid w:val="00DE5471"/>
    <w:rsid w:val="00DE6B9C"/>
    <w:rsid w:val="00DE74EA"/>
    <w:rsid w:val="00DE7A0A"/>
    <w:rsid w:val="00DF04CB"/>
    <w:rsid w:val="00DF0BC6"/>
    <w:rsid w:val="00DF1849"/>
    <w:rsid w:val="00DF1902"/>
    <w:rsid w:val="00DF2384"/>
    <w:rsid w:val="00DF3C1A"/>
    <w:rsid w:val="00DF6002"/>
    <w:rsid w:val="00DF61B1"/>
    <w:rsid w:val="00DF756E"/>
    <w:rsid w:val="00DF7AE1"/>
    <w:rsid w:val="00E01A6D"/>
    <w:rsid w:val="00E024F3"/>
    <w:rsid w:val="00E02DFA"/>
    <w:rsid w:val="00E03205"/>
    <w:rsid w:val="00E03D9E"/>
    <w:rsid w:val="00E04190"/>
    <w:rsid w:val="00E04353"/>
    <w:rsid w:val="00E04696"/>
    <w:rsid w:val="00E1054B"/>
    <w:rsid w:val="00E12AD0"/>
    <w:rsid w:val="00E131CD"/>
    <w:rsid w:val="00E13705"/>
    <w:rsid w:val="00E13E99"/>
    <w:rsid w:val="00E14170"/>
    <w:rsid w:val="00E14AAC"/>
    <w:rsid w:val="00E15763"/>
    <w:rsid w:val="00E17CD9"/>
    <w:rsid w:val="00E17E03"/>
    <w:rsid w:val="00E201A8"/>
    <w:rsid w:val="00E20DBB"/>
    <w:rsid w:val="00E2397A"/>
    <w:rsid w:val="00E23A6C"/>
    <w:rsid w:val="00E2409A"/>
    <w:rsid w:val="00E248E5"/>
    <w:rsid w:val="00E248FE"/>
    <w:rsid w:val="00E25F7C"/>
    <w:rsid w:val="00E27852"/>
    <w:rsid w:val="00E27A94"/>
    <w:rsid w:val="00E30738"/>
    <w:rsid w:val="00E315BF"/>
    <w:rsid w:val="00E31684"/>
    <w:rsid w:val="00E33595"/>
    <w:rsid w:val="00E346D2"/>
    <w:rsid w:val="00E35450"/>
    <w:rsid w:val="00E35B89"/>
    <w:rsid w:val="00E363EF"/>
    <w:rsid w:val="00E4136D"/>
    <w:rsid w:val="00E42F6E"/>
    <w:rsid w:val="00E43745"/>
    <w:rsid w:val="00E44352"/>
    <w:rsid w:val="00E45E91"/>
    <w:rsid w:val="00E4796D"/>
    <w:rsid w:val="00E508C8"/>
    <w:rsid w:val="00E52018"/>
    <w:rsid w:val="00E54213"/>
    <w:rsid w:val="00E55FC2"/>
    <w:rsid w:val="00E564B4"/>
    <w:rsid w:val="00E56568"/>
    <w:rsid w:val="00E56BDB"/>
    <w:rsid w:val="00E56E40"/>
    <w:rsid w:val="00E60F97"/>
    <w:rsid w:val="00E62A26"/>
    <w:rsid w:val="00E63D9F"/>
    <w:rsid w:val="00E63ED7"/>
    <w:rsid w:val="00E6571C"/>
    <w:rsid w:val="00E728B0"/>
    <w:rsid w:val="00E74292"/>
    <w:rsid w:val="00E742AC"/>
    <w:rsid w:val="00E773B3"/>
    <w:rsid w:val="00E81427"/>
    <w:rsid w:val="00E817D2"/>
    <w:rsid w:val="00E82009"/>
    <w:rsid w:val="00E83383"/>
    <w:rsid w:val="00E83C07"/>
    <w:rsid w:val="00E87DFA"/>
    <w:rsid w:val="00E90130"/>
    <w:rsid w:val="00E9036A"/>
    <w:rsid w:val="00E90DC0"/>
    <w:rsid w:val="00E9100D"/>
    <w:rsid w:val="00E929D6"/>
    <w:rsid w:val="00E92CB7"/>
    <w:rsid w:val="00E943ED"/>
    <w:rsid w:val="00E94C5E"/>
    <w:rsid w:val="00E95099"/>
    <w:rsid w:val="00E96E97"/>
    <w:rsid w:val="00EA20E6"/>
    <w:rsid w:val="00EA4065"/>
    <w:rsid w:val="00EA51E0"/>
    <w:rsid w:val="00EA65B8"/>
    <w:rsid w:val="00EB1352"/>
    <w:rsid w:val="00EB1DDE"/>
    <w:rsid w:val="00EB1FB4"/>
    <w:rsid w:val="00EB3219"/>
    <w:rsid w:val="00EB35DB"/>
    <w:rsid w:val="00EB39C2"/>
    <w:rsid w:val="00EB3F86"/>
    <w:rsid w:val="00EB58B1"/>
    <w:rsid w:val="00EB5912"/>
    <w:rsid w:val="00EB6069"/>
    <w:rsid w:val="00EB737F"/>
    <w:rsid w:val="00EB7A00"/>
    <w:rsid w:val="00EB7FB9"/>
    <w:rsid w:val="00EC0F84"/>
    <w:rsid w:val="00EC1316"/>
    <w:rsid w:val="00EC3735"/>
    <w:rsid w:val="00EC5C5C"/>
    <w:rsid w:val="00EC7C8A"/>
    <w:rsid w:val="00ED074B"/>
    <w:rsid w:val="00ED0CAC"/>
    <w:rsid w:val="00ED0DF3"/>
    <w:rsid w:val="00ED1CC1"/>
    <w:rsid w:val="00ED2459"/>
    <w:rsid w:val="00ED2473"/>
    <w:rsid w:val="00ED2FD7"/>
    <w:rsid w:val="00ED398E"/>
    <w:rsid w:val="00ED452B"/>
    <w:rsid w:val="00ED5A9A"/>
    <w:rsid w:val="00ED6D68"/>
    <w:rsid w:val="00ED7995"/>
    <w:rsid w:val="00EE00FB"/>
    <w:rsid w:val="00EE13AD"/>
    <w:rsid w:val="00EE276C"/>
    <w:rsid w:val="00EE2C69"/>
    <w:rsid w:val="00EE4514"/>
    <w:rsid w:val="00EE7427"/>
    <w:rsid w:val="00EE7920"/>
    <w:rsid w:val="00EE7A15"/>
    <w:rsid w:val="00EE7CAB"/>
    <w:rsid w:val="00EF0123"/>
    <w:rsid w:val="00EF448C"/>
    <w:rsid w:val="00EF6442"/>
    <w:rsid w:val="00EF7C72"/>
    <w:rsid w:val="00EF7FC1"/>
    <w:rsid w:val="00F0116A"/>
    <w:rsid w:val="00F0265C"/>
    <w:rsid w:val="00F0333C"/>
    <w:rsid w:val="00F03F67"/>
    <w:rsid w:val="00F0443D"/>
    <w:rsid w:val="00F05635"/>
    <w:rsid w:val="00F0770C"/>
    <w:rsid w:val="00F07AFA"/>
    <w:rsid w:val="00F1436F"/>
    <w:rsid w:val="00F15CAA"/>
    <w:rsid w:val="00F15E73"/>
    <w:rsid w:val="00F175BB"/>
    <w:rsid w:val="00F17952"/>
    <w:rsid w:val="00F21037"/>
    <w:rsid w:val="00F24F20"/>
    <w:rsid w:val="00F24FC9"/>
    <w:rsid w:val="00F25911"/>
    <w:rsid w:val="00F262CD"/>
    <w:rsid w:val="00F26A77"/>
    <w:rsid w:val="00F27B17"/>
    <w:rsid w:val="00F3003C"/>
    <w:rsid w:val="00F319F5"/>
    <w:rsid w:val="00F335C1"/>
    <w:rsid w:val="00F33B30"/>
    <w:rsid w:val="00F34981"/>
    <w:rsid w:val="00F349C0"/>
    <w:rsid w:val="00F37C84"/>
    <w:rsid w:val="00F40F64"/>
    <w:rsid w:val="00F42035"/>
    <w:rsid w:val="00F42243"/>
    <w:rsid w:val="00F42378"/>
    <w:rsid w:val="00F423F0"/>
    <w:rsid w:val="00F4364A"/>
    <w:rsid w:val="00F43D24"/>
    <w:rsid w:val="00F45598"/>
    <w:rsid w:val="00F45F56"/>
    <w:rsid w:val="00F46341"/>
    <w:rsid w:val="00F5041C"/>
    <w:rsid w:val="00F504F2"/>
    <w:rsid w:val="00F50825"/>
    <w:rsid w:val="00F51121"/>
    <w:rsid w:val="00F53727"/>
    <w:rsid w:val="00F544BE"/>
    <w:rsid w:val="00F5565E"/>
    <w:rsid w:val="00F5567E"/>
    <w:rsid w:val="00F557B1"/>
    <w:rsid w:val="00F5598B"/>
    <w:rsid w:val="00F55C86"/>
    <w:rsid w:val="00F571D7"/>
    <w:rsid w:val="00F60532"/>
    <w:rsid w:val="00F6086A"/>
    <w:rsid w:val="00F60D60"/>
    <w:rsid w:val="00F61290"/>
    <w:rsid w:val="00F6136B"/>
    <w:rsid w:val="00F61A4B"/>
    <w:rsid w:val="00F61FAE"/>
    <w:rsid w:val="00F6645D"/>
    <w:rsid w:val="00F71DEE"/>
    <w:rsid w:val="00F75561"/>
    <w:rsid w:val="00F75AEB"/>
    <w:rsid w:val="00F76350"/>
    <w:rsid w:val="00F76697"/>
    <w:rsid w:val="00F7675C"/>
    <w:rsid w:val="00F77248"/>
    <w:rsid w:val="00F777BA"/>
    <w:rsid w:val="00F77B79"/>
    <w:rsid w:val="00F77C67"/>
    <w:rsid w:val="00F80C3B"/>
    <w:rsid w:val="00F82ADA"/>
    <w:rsid w:val="00F82B3D"/>
    <w:rsid w:val="00F8320D"/>
    <w:rsid w:val="00F84539"/>
    <w:rsid w:val="00F84783"/>
    <w:rsid w:val="00F847EE"/>
    <w:rsid w:val="00F84C99"/>
    <w:rsid w:val="00F84FE4"/>
    <w:rsid w:val="00F86ED0"/>
    <w:rsid w:val="00F91930"/>
    <w:rsid w:val="00F9302C"/>
    <w:rsid w:val="00F97768"/>
    <w:rsid w:val="00FA0267"/>
    <w:rsid w:val="00FA029F"/>
    <w:rsid w:val="00FA141D"/>
    <w:rsid w:val="00FA2165"/>
    <w:rsid w:val="00FA2309"/>
    <w:rsid w:val="00FA233A"/>
    <w:rsid w:val="00FA2E3F"/>
    <w:rsid w:val="00FA4431"/>
    <w:rsid w:val="00FA5140"/>
    <w:rsid w:val="00FB0A58"/>
    <w:rsid w:val="00FB1D5C"/>
    <w:rsid w:val="00FB68FA"/>
    <w:rsid w:val="00FB7D96"/>
    <w:rsid w:val="00FC014D"/>
    <w:rsid w:val="00FC0554"/>
    <w:rsid w:val="00FC2B48"/>
    <w:rsid w:val="00FC3852"/>
    <w:rsid w:val="00FC3ACA"/>
    <w:rsid w:val="00FC4CFF"/>
    <w:rsid w:val="00FC6D6A"/>
    <w:rsid w:val="00FC6DF2"/>
    <w:rsid w:val="00FC7606"/>
    <w:rsid w:val="00FC7711"/>
    <w:rsid w:val="00FD09F7"/>
    <w:rsid w:val="00FD0BC2"/>
    <w:rsid w:val="00FD19D9"/>
    <w:rsid w:val="00FD1D71"/>
    <w:rsid w:val="00FD2F77"/>
    <w:rsid w:val="00FD5FD4"/>
    <w:rsid w:val="00FD649E"/>
    <w:rsid w:val="00FE13C5"/>
    <w:rsid w:val="00FE1DD4"/>
    <w:rsid w:val="00FE2042"/>
    <w:rsid w:val="00FE330F"/>
    <w:rsid w:val="00FE4C84"/>
    <w:rsid w:val="00FE5F99"/>
    <w:rsid w:val="00FE72EC"/>
    <w:rsid w:val="00FE7F56"/>
    <w:rsid w:val="00FF015D"/>
    <w:rsid w:val="00FF06A1"/>
    <w:rsid w:val="00FF0A79"/>
    <w:rsid w:val="00FF31C1"/>
    <w:rsid w:val="00FF335B"/>
    <w:rsid w:val="00FF3E86"/>
    <w:rsid w:val="00FF7343"/>
    <w:rsid w:val="00FF7945"/>
    <w:rsid w:val="00FF79F9"/>
    <w:rsid w:val="016928C0"/>
    <w:rsid w:val="0D22127E"/>
    <w:rsid w:val="4F611073"/>
    <w:rsid w:val="636E46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semiHidden="0" w:name="footnote text"/>
    <w:lsdException w:qFormat="1" w:unhideWhenUsed="0" w:uiPriority="0" w:semiHidden="0" w:name="annotation text"/>
    <w:lsdException w:uiPriority="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160"/>
    <w:qFormat/>
    <w:uiPriority w:val="0"/>
    <w:pPr>
      <w:keepNext/>
      <w:keepLines/>
      <w:outlineLvl w:val="0"/>
    </w:pPr>
    <w:rPr>
      <w:b/>
      <w:bCs/>
      <w:color w:val="000000"/>
      <w:kern w:val="44"/>
      <w:sz w:val="32"/>
      <w:szCs w:val="32"/>
    </w:rPr>
  </w:style>
  <w:style w:type="paragraph" w:styleId="3">
    <w:name w:val="heading 2"/>
    <w:basedOn w:val="1"/>
    <w:next w:val="1"/>
    <w:link w:val="161"/>
    <w:qFormat/>
    <w:uiPriority w:val="0"/>
    <w:pPr>
      <w:keepNext/>
      <w:keepLines/>
      <w:spacing w:line="560" w:lineRule="exact"/>
      <w:jc w:val="center"/>
      <w:outlineLvl w:val="1"/>
    </w:pPr>
    <w:rPr>
      <w:rFonts w:eastAsia="黑体" w:cs="Calibri Light"/>
      <w:b/>
      <w:sz w:val="32"/>
      <w:szCs w:val="32"/>
    </w:rPr>
  </w:style>
  <w:style w:type="paragraph" w:styleId="4">
    <w:name w:val="heading 3"/>
    <w:basedOn w:val="1"/>
    <w:next w:val="1"/>
    <w:link w:val="162"/>
    <w:qFormat/>
    <w:uiPriority w:val="0"/>
    <w:pPr>
      <w:keepNext/>
      <w:keepLines/>
      <w:tabs>
        <w:tab w:val="left" w:pos="1134"/>
      </w:tabs>
      <w:spacing w:line="560" w:lineRule="exact"/>
      <w:ind w:firstLine="200" w:firstLineChars="200"/>
      <w:outlineLvl w:val="2"/>
    </w:pPr>
    <w:rPr>
      <w:rFonts w:eastAsia="楷体_GB2312"/>
      <w:b/>
      <w:bCs/>
      <w:sz w:val="32"/>
      <w:szCs w:val="32"/>
    </w:rPr>
  </w:style>
  <w:style w:type="paragraph" w:styleId="5">
    <w:name w:val="heading 4"/>
    <w:basedOn w:val="1"/>
    <w:next w:val="1"/>
    <w:link w:val="163"/>
    <w:qFormat/>
    <w:uiPriority w:val="0"/>
    <w:pPr>
      <w:keepNext/>
      <w:keepLines/>
      <w:spacing w:line="560" w:lineRule="exact"/>
      <w:ind w:firstLine="200" w:firstLineChars="200"/>
      <w:outlineLvl w:val="3"/>
    </w:pPr>
    <w:rPr>
      <w:rFonts w:eastAsia="仿宋_GB2312"/>
      <w:b/>
      <w:bCs/>
      <w:szCs w:val="28"/>
    </w:rPr>
  </w:style>
  <w:style w:type="paragraph" w:styleId="6">
    <w:name w:val="heading 5"/>
    <w:basedOn w:val="1"/>
    <w:next w:val="1"/>
    <w:link w:val="164"/>
    <w:qFormat/>
    <w:uiPriority w:val="0"/>
    <w:pPr>
      <w:keepNext/>
      <w:keepLines/>
      <w:spacing w:before="280" w:after="290" w:line="376" w:lineRule="atLeast"/>
      <w:outlineLvl w:val="4"/>
    </w:pPr>
    <w:rPr>
      <w:b/>
      <w:bCs/>
      <w:szCs w:val="28"/>
    </w:rPr>
  </w:style>
  <w:style w:type="paragraph" w:styleId="7">
    <w:name w:val="heading 6"/>
    <w:basedOn w:val="1"/>
    <w:next w:val="1"/>
    <w:link w:val="165"/>
    <w:qFormat/>
    <w:uiPriority w:val="0"/>
    <w:pPr>
      <w:keepNext/>
      <w:keepLines/>
      <w:spacing w:before="240" w:after="64" w:line="320" w:lineRule="atLeast"/>
      <w:outlineLvl w:val="5"/>
    </w:pPr>
    <w:rPr>
      <w:rFonts w:ascii="Calibri Light" w:hAnsi="Calibri Light"/>
      <w:b/>
      <w:bCs/>
      <w:sz w:val="24"/>
    </w:rPr>
  </w:style>
  <w:style w:type="paragraph" w:styleId="8">
    <w:name w:val="heading 7"/>
    <w:basedOn w:val="1"/>
    <w:next w:val="1"/>
    <w:link w:val="166"/>
    <w:qFormat/>
    <w:uiPriority w:val="0"/>
    <w:pPr>
      <w:keepNext/>
      <w:keepLines/>
      <w:spacing w:before="240" w:after="64" w:line="320" w:lineRule="atLeast"/>
      <w:outlineLvl w:val="6"/>
    </w:pPr>
    <w:rPr>
      <w:b/>
      <w:bCs/>
      <w:sz w:val="24"/>
    </w:rPr>
  </w:style>
  <w:style w:type="character" w:default="1" w:styleId="27">
    <w:name w:val="Default Paragraph Font"/>
    <w:unhideWhenUsed/>
    <w:uiPriority w:val="1"/>
  </w:style>
  <w:style w:type="table" w:default="1" w:styleId="25">
    <w:name w:val="Normal Table"/>
    <w:unhideWhenUsed/>
    <w:uiPriority w:val="99"/>
    <w:tblPr>
      <w:tblLayout w:type="fixed"/>
      <w:tblCellMar>
        <w:top w:w="0" w:type="dxa"/>
        <w:left w:w="108" w:type="dxa"/>
        <w:bottom w:w="0" w:type="dxa"/>
        <w:right w:w="108" w:type="dxa"/>
      </w:tblCellMar>
    </w:tblPr>
  </w:style>
  <w:style w:type="paragraph" w:styleId="9">
    <w:name w:val="toc 7"/>
    <w:basedOn w:val="1"/>
    <w:next w:val="1"/>
    <w:uiPriority w:val="0"/>
    <w:pPr>
      <w:ind w:left="1680"/>
      <w:jc w:val="left"/>
    </w:pPr>
    <w:rPr>
      <w:rFonts w:ascii="Calibri" w:hAnsi="Calibri"/>
      <w:sz w:val="20"/>
      <w:szCs w:val="20"/>
    </w:rPr>
  </w:style>
  <w:style w:type="paragraph" w:styleId="10">
    <w:name w:val="caption"/>
    <w:basedOn w:val="1"/>
    <w:next w:val="1"/>
    <w:link w:val="200"/>
    <w:qFormat/>
    <w:uiPriority w:val="0"/>
    <w:pPr>
      <w:spacing w:line="300" w:lineRule="exact"/>
    </w:pPr>
    <w:rPr>
      <w:rFonts w:ascii="Calibri Light" w:hAnsi="Calibri Light"/>
      <w:sz w:val="21"/>
    </w:rPr>
  </w:style>
  <w:style w:type="paragraph" w:styleId="11">
    <w:name w:val="annotation text"/>
    <w:basedOn w:val="1"/>
    <w:link w:val="168"/>
    <w:qFormat/>
    <w:uiPriority w:val="0"/>
    <w:pPr>
      <w:jc w:val="left"/>
    </w:pPr>
  </w:style>
  <w:style w:type="paragraph" w:styleId="12">
    <w:name w:val="toc 5"/>
    <w:basedOn w:val="1"/>
    <w:next w:val="1"/>
    <w:uiPriority w:val="0"/>
    <w:pPr>
      <w:ind w:left="1120"/>
      <w:jc w:val="left"/>
    </w:pPr>
    <w:rPr>
      <w:rFonts w:ascii="Calibri" w:hAnsi="Calibri"/>
      <w:sz w:val="20"/>
      <w:szCs w:val="20"/>
    </w:rPr>
  </w:style>
  <w:style w:type="paragraph" w:styleId="13">
    <w:name w:val="toc 3"/>
    <w:basedOn w:val="1"/>
    <w:next w:val="1"/>
    <w:uiPriority w:val="39"/>
    <w:pPr>
      <w:ind w:left="560"/>
      <w:jc w:val="left"/>
    </w:pPr>
    <w:rPr>
      <w:rFonts w:ascii="Calibri" w:hAnsi="Calibri"/>
      <w:sz w:val="20"/>
      <w:szCs w:val="20"/>
    </w:rPr>
  </w:style>
  <w:style w:type="paragraph" w:styleId="14">
    <w:name w:val="toc 8"/>
    <w:basedOn w:val="1"/>
    <w:next w:val="1"/>
    <w:qFormat/>
    <w:uiPriority w:val="0"/>
    <w:pPr>
      <w:ind w:left="1960"/>
      <w:jc w:val="left"/>
    </w:pPr>
    <w:rPr>
      <w:rFonts w:ascii="Calibri" w:hAnsi="Calibri"/>
      <w:sz w:val="20"/>
      <w:szCs w:val="20"/>
    </w:rPr>
  </w:style>
  <w:style w:type="paragraph" w:styleId="15">
    <w:name w:val="Balloon Text"/>
    <w:basedOn w:val="1"/>
    <w:link w:val="197"/>
    <w:qFormat/>
    <w:uiPriority w:val="0"/>
    <w:pPr>
      <w:spacing w:line="240" w:lineRule="auto"/>
    </w:pPr>
    <w:rPr>
      <w:sz w:val="18"/>
      <w:szCs w:val="18"/>
    </w:rPr>
  </w:style>
  <w:style w:type="paragraph" w:styleId="16">
    <w:name w:val="footer"/>
    <w:basedOn w:val="1"/>
    <w:link w:val="232"/>
    <w:qFormat/>
    <w:uiPriority w:val="99"/>
    <w:pPr>
      <w:tabs>
        <w:tab w:val="center" w:pos="4153"/>
        <w:tab w:val="right" w:pos="8306"/>
      </w:tabs>
      <w:snapToGrid w:val="0"/>
      <w:jc w:val="left"/>
    </w:pPr>
    <w:rPr>
      <w:sz w:val="18"/>
      <w:szCs w:val="18"/>
    </w:rPr>
  </w:style>
  <w:style w:type="paragraph" w:styleId="17">
    <w:name w:val="toc 1"/>
    <w:basedOn w:val="1"/>
    <w:next w:val="1"/>
    <w:qFormat/>
    <w:uiPriority w:val="39"/>
    <w:pPr>
      <w:spacing w:before="240" w:after="120"/>
      <w:jc w:val="left"/>
    </w:pPr>
    <w:rPr>
      <w:rFonts w:ascii="Calibri" w:hAnsi="Calibri" w:eastAsia="仿宋_GB2312"/>
      <w:b/>
      <w:bCs/>
      <w:szCs w:val="20"/>
    </w:rPr>
  </w:style>
  <w:style w:type="paragraph" w:styleId="18">
    <w:name w:val="toc 4"/>
    <w:basedOn w:val="1"/>
    <w:next w:val="1"/>
    <w:uiPriority w:val="0"/>
    <w:pPr>
      <w:ind w:left="840"/>
      <w:jc w:val="left"/>
    </w:pPr>
    <w:rPr>
      <w:rFonts w:ascii="Calibri" w:hAnsi="Calibri"/>
      <w:sz w:val="20"/>
      <w:szCs w:val="20"/>
    </w:rPr>
  </w:style>
  <w:style w:type="paragraph" w:styleId="19">
    <w:name w:val="footnote text"/>
    <w:basedOn w:val="1"/>
    <w:link w:val="187"/>
    <w:qFormat/>
    <w:uiPriority w:val="0"/>
    <w:pPr>
      <w:snapToGrid w:val="0"/>
      <w:jc w:val="left"/>
    </w:pPr>
    <w:rPr>
      <w:sz w:val="18"/>
      <w:szCs w:val="18"/>
    </w:rPr>
  </w:style>
  <w:style w:type="paragraph" w:styleId="20">
    <w:name w:val="toc 6"/>
    <w:basedOn w:val="1"/>
    <w:next w:val="1"/>
    <w:qFormat/>
    <w:uiPriority w:val="0"/>
    <w:pPr>
      <w:ind w:left="1400"/>
      <w:jc w:val="left"/>
    </w:pPr>
    <w:rPr>
      <w:rFonts w:ascii="Calibri" w:hAnsi="Calibri"/>
      <w:sz w:val="20"/>
      <w:szCs w:val="20"/>
    </w:rPr>
  </w:style>
  <w:style w:type="paragraph" w:styleId="21">
    <w:name w:val="toc 2"/>
    <w:basedOn w:val="1"/>
    <w:next w:val="1"/>
    <w:uiPriority w:val="39"/>
    <w:pPr>
      <w:spacing w:before="120"/>
      <w:ind w:left="280"/>
      <w:jc w:val="left"/>
    </w:pPr>
    <w:rPr>
      <w:rFonts w:ascii="Calibri" w:hAnsi="Calibri"/>
      <w:i/>
      <w:iCs/>
      <w:sz w:val="20"/>
      <w:szCs w:val="20"/>
    </w:rPr>
  </w:style>
  <w:style w:type="paragraph" w:styleId="22">
    <w:name w:val="toc 9"/>
    <w:basedOn w:val="1"/>
    <w:next w:val="1"/>
    <w:qFormat/>
    <w:uiPriority w:val="0"/>
    <w:pPr>
      <w:ind w:left="2240"/>
      <w:jc w:val="left"/>
    </w:pPr>
    <w:rPr>
      <w:rFonts w:ascii="Calibri" w:hAnsi="Calibri"/>
      <w:sz w:val="20"/>
      <w:szCs w:val="20"/>
    </w:rPr>
  </w:style>
  <w:style w:type="paragraph" w:styleId="23">
    <w:name w:val="Title"/>
    <w:basedOn w:val="1"/>
    <w:next w:val="1"/>
    <w:link w:val="214"/>
    <w:qFormat/>
    <w:uiPriority w:val="0"/>
    <w:pPr>
      <w:spacing w:before="240" w:after="60"/>
      <w:jc w:val="center"/>
      <w:outlineLvl w:val="0"/>
    </w:pPr>
    <w:rPr>
      <w:rFonts w:ascii="Calibri Light" w:hAnsi="Calibri Light" w:cs="黑体"/>
      <w:b/>
      <w:bCs/>
      <w:sz w:val="32"/>
      <w:szCs w:val="32"/>
    </w:rPr>
  </w:style>
  <w:style w:type="paragraph" w:styleId="24">
    <w:name w:val="annotation subject"/>
    <w:basedOn w:val="11"/>
    <w:next w:val="11"/>
    <w:link w:val="239"/>
    <w:unhideWhenUsed/>
    <w:uiPriority w:val="99"/>
    <w:rPr>
      <w:b/>
      <w:bCs/>
    </w:rPr>
  </w:style>
  <w:style w:type="table" w:styleId="26">
    <w:name w:val="Table Grid"/>
    <w:basedOn w:val="25"/>
    <w:qFormat/>
    <w:uiPriority w:val="39"/>
    <w:pPr>
      <w:widowControl w:val="0"/>
      <w:spacing w:line="264" w:lineRule="auto"/>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8">
    <w:name w:val="Strong"/>
    <w:qFormat/>
    <w:uiPriority w:val="0"/>
    <w:rPr>
      <w:b/>
      <w:bCs/>
    </w:rPr>
  </w:style>
  <w:style w:type="character" w:styleId="29">
    <w:name w:val="FollowedHyperlink"/>
    <w:qFormat/>
    <w:uiPriority w:val="99"/>
    <w:rPr>
      <w:color w:val="954F72"/>
      <w:u w:val="single"/>
    </w:rPr>
  </w:style>
  <w:style w:type="character" w:styleId="30">
    <w:name w:val="Emphasis"/>
    <w:qFormat/>
    <w:uiPriority w:val="0"/>
    <w:rPr>
      <w:i/>
      <w:iCs/>
    </w:rPr>
  </w:style>
  <w:style w:type="character" w:styleId="31">
    <w:name w:val="Hyperlink"/>
    <w:qFormat/>
    <w:uiPriority w:val="99"/>
    <w:rPr>
      <w:color w:val="0000FF"/>
      <w:u w:val="single"/>
    </w:rPr>
  </w:style>
  <w:style w:type="character" w:styleId="32">
    <w:name w:val="annotation reference"/>
    <w:unhideWhenUsed/>
    <w:qFormat/>
    <w:uiPriority w:val="99"/>
    <w:rPr>
      <w:sz w:val="21"/>
      <w:szCs w:val="21"/>
    </w:rPr>
  </w:style>
  <w:style w:type="character" w:styleId="33">
    <w:name w:val="footnote reference"/>
    <w:qFormat/>
    <w:uiPriority w:val="0"/>
    <w:rPr>
      <w:vertAlign w:val="superscript"/>
    </w:rPr>
  </w:style>
  <w:style w:type="paragraph" w:customStyle="1" w:styleId="34">
    <w:name w:val="批注主题11"/>
    <w:basedOn w:val="11"/>
    <w:next w:val="11"/>
    <w:link w:val="167"/>
    <w:qFormat/>
    <w:uiPriority w:val="0"/>
    <w:rPr>
      <w:b/>
      <w:bCs/>
    </w:rPr>
  </w:style>
  <w:style w:type="paragraph" w:customStyle="1" w:styleId="35">
    <w:name w:val="批注主题1"/>
    <w:basedOn w:val="11"/>
    <w:next w:val="11"/>
    <w:link w:val="172"/>
    <w:qFormat/>
    <w:uiPriority w:val="0"/>
    <w:rPr>
      <w:b/>
      <w:bCs/>
    </w:rPr>
  </w:style>
  <w:style w:type="paragraph" w:customStyle="1" w:styleId="36">
    <w:name w:val="规划司标"/>
    <w:basedOn w:val="1"/>
    <w:link w:val="173"/>
    <w:qFormat/>
    <w:uiPriority w:val="0"/>
    <w:pPr>
      <w:widowControl w:val="0"/>
      <w:spacing w:line="240" w:lineRule="auto"/>
      <w:outlineLvl w:val="0"/>
    </w:pPr>
    <w:rPr>
      <w:rFonts w:ascii="宋体" w:hAnsi="宋体"/>
      <w:b/>
      <w:szCs w:val="28"/>
    </w:rPr>
  </w:style>
  <w:style w:type="paragraph" w:customStyle="1" w:styleId="37">
    <w:name w:val="规划司正文"/>
    <w:basedOn w:val="38"/>
    <w:link w:val="174"/>
    <w:qFormat/>
    <w:uiPriority w:val="0"/>
    <w:pPr>
      <w:outlineLvl w:val="9"/>
    </w:pPr>
    <w:rPr>
      <w:rFonts w:ascii="仿宋" w:hAnsi="仿宋" w:eastAsia="仿宋"/>
      <w:b w:val="0"/>
      <w:bCs w:val="0"/>
      <w:color w:val="000000"/>
      <w:sz w:val="30"/>
      <w:szCs w:val="30"/>
    </w:rPr>
  </w:style>
  <w:style w:type="paragraph" w:customStyle="1" w:styleId="38">
    <w:name w:val="规划司小标题"/>
    <w:basedOn w:val="1"/>
    <w:link w:val="175"/>
    <w:qFormat/>
    <w:uiPriority w:val="0"/>
    <w:pPr>
      <w:spacing w:line="240" w:lineRule="auto"/>
      <w:outlineLvl w:val="1"/>
    </w:pPr>
    <w:rPr>
      <w:rFonts w:ascii="宋体" w:hAnsi="宋体"/>
      <w:b/>
      <w:bCs/>
      <w:szCs w:val="28"/>
    </w:rPr>
  </w:style>
  <w:style w:type="paragraph" w:customStyle="1" w:styleId="39">
    <w:name w:val="样式正文1"/>
    <w:basedOn w:val="1"/>
    <w:link w:val="180"/>
    <w:qFormat/>
    <w:uiPriority w:val="0"/>
    <w:pPr>
      <w:widowControl w:val="0"/>
      <w:adjustRightInd w:val="0"/>
      <w:snapToGrid w:val="0"/>
      <w:spacing w:line="600" w:lineRule="exact"/>
      <w:ind w:firstLine="200" w:firstLineChars="200"/>
    </w:pPr>
    <w:rPr>
      <w:rFonts w:eastAsia="仿宋_GB2312"/>
      <w:color w:val="000000"/>
      <w:sz w:val="32"/>
      <w:szCs w:val="32"/>
    </w:rPr>
  </w:style>
  <w:style w:type="paragraph" w:customStyle="1" w:styleId="40">
    <w:name w:val="z-窗体底端1"/>
    <w:basedOn w:val="1"/>
    <w:next w:val="1"/>
    <w:link w:val="181"/>
    <w:qFormat/>
    <w:uiPriority w:val="0"/>
    <w:pPr>
      <w:pBdr>
        <w:top w:val="single" w:color="auto" w:sz="6" w:space="1"/>
      </w:pBdr>
      <w:spacing w:line="240" w:lineRule="auto"/>
      <w:jc w:val="center"/>
    </w:pPr>
    <w:rPr>
      <w:rFonts w:ascii="Arial" w:hAnsi="Arial" w:cs="Arial"/>
      <w:vanish/>
      <w:kern w:val="0"/>
      <w:sz w:val="16"/>
      <w:szCs w:val="16"/>
    </w:rPr>
  </w:style>
  <w:style w:type="paragraph" w:customStyle="1" w:styleId="41">
    <w:name w:val="z-窗体顶端1"/>
    <w:basedOn w:val="1"/>
    <w:next w:val="1"/>
    <w:link w:val="182"/>
    <w:qFormat/>
    <w:uiPriority w:val="0"/>
    <w:pPr>
      <w:pBdr>
        <w:bottom w:val="single" w:color="auto" w:sz="6" w:space="1"/>
      </w:pBdr>
      <w:spacing w:line="240" w:lineRule="auto"/>
      <w:jc w:val="center"/>
    </w:pPr>
    <w:rPr>
      <w:rFonts w:ascii="Arial" w:hAnsi="Arial" w:cs="Arial"/>
      <w:vanish/>
      <w:kern w:val="0"/>
      <w:sz w:val="16"/>
      <w:szCs w:val="16"/>
    </w:rPr>
  </w:style>
  <w:style w:type="paragraph" w:customStyle="1" w:styleId="42">
    <w:name w:val="规划司括号标"/>
    <w:basedOn w:val="1"/>
    <w:link w:val="188"/>
    <w:qFormat/>
    <w:uiPriority w:val="0"/>
    <w:pPr>
      <w:widowControl w:val="0"/>
      <w:ind w:firstLine="561"/>
      <w:outlineLvl w:val="1"/>
    </w:pPr>
    <w:rPr>
      <w:rFonts w:ascii="楷体" w:hAnsi="楷体" w:eastAsia="楷体"/>
      <w:color w:val="000000"/>
      <w:sz w:val="30"/>
      <w:szCs w:val="30"/>
    </w:rPr>
  </w:style>
  <w:style w:type="paragraph" w:customStyle="1" w:styleId="43">
    <w:name w:val="样式1本次"/>
    <w:basedOn w:val="2"/>
    <w:link w:val="194"/>
    <w:qFormat/>
    <w:uiPriority w:val="0"/>
    <w:pPr>
      <w:spacing w:line="560" w:lineRule="exact"/>
      <w:ind w:left="280" w:leftChars="100"/>
    </w:pPr>
    <w:rPr>
      <w:rFonts w:ascii="黑体" w:hAnsi="黑体" w:eastAsia="黑体"/>
      <w:b w:val="0"/>
      <w:bCs w:val="0"/>
      <w:kern w:val="2"/>
    </w:rPr>
  </w:style>
  <w:style w:type="paragraph" w:customStyle="1" w:styleId="44">
    <w:name w:val="批注框文本 Char Char"/>
    <w:basedOn w:val="1"/>
    <w:link w:val="195"/>
    <w:qFormat/>
    <w:uiPriority w:val="0"/>
    <w:pPr>
      <w:spacing w:line="240" w:lineRule="auto"/>
    </w:pPr>
    <w:rPr>
      <w:sz w:val="18"/>
      <w:szCs w:val="18"/>
    </w:rPr>
  </w:style>
  <w:style w:type="paragraph" w:customStyle="1" w:styleId="45">
    <w:name w:val="样式2本次"/>
    <w:basedOn w:val="46"/>
    <w:link w:val="202"/>
    <w:qFormat/>
    <w:uiPriority w:val="0"/>
  </w:style>
  <w:style w:type="paragraph" w:customStyle="1" w:styleId="46">
    <w:name w:val="2级标题"/>
    <w:basedOn w:val="1"/>
    <w:link w:val="203"/>
    <w:qFormat/>
    <w:uiPriority w:val="0"/>
    <w:pPr>
      <w:widowControl w:val="0"/>
      <w:adjustRightInd w:val="0"/>
      <w:snapToGrid w:val="0"/>
      <w:spacing w:line="560" w:lineRule="exact"/>
      <w:ind w:firstLine="640" w:firstLineChars="200"/>
      <w:outlineLvl w:val="1"/>
    </w:pPr>
    <w:rPr>
      <w:rFonts w:eastAsia="楷体_GB2312"/>
      <w:color w:val="000000"/>
      <w:sz w:val="32"/>
      <w:szCs w:val="32"/>
    </w:rPr>
  </w:style>
  <w:style w:type="paragraph" w:customStyle="1" w:styleId="47">
    <w:name w:val="图标"/>
    <w:basedOn w:val="1"/>
    <w:link w:val="209"/>
    <w:qFormat/>
    <w:uiPriority w:val="0"/>
    <w:pPr>
      <w:spacing w:line="240" w:lineRule="auto"/>
      <w:jc w:val="center"/>
    </w:pPr>
  </w:style>
  <w:style w:type="paragraph" w:customStyle="1" w:styleId="48">
    <w:name w:val="引用1"/>
    <w:basedOn w:val="1"/>
    <w:next w:val="1"/>
    <w:link w:val="215"/>
    <w:qFormat/>
    <w:uiPriority w:val="0"/>
    <w:pPr>
      <w:jc w:val="center"/>
    </w:pPr>
    <w:rPr>
      <w:rFonts w:eastAsia="仿宋_GB2312"/>
      <w:iCs/>
      <w:color w:val="000000"/>
    </w:rPr>
  </w:style>
  <w:style w:type="paragraph" w:customStyle="1" w:styleId="49">
    <w:name w:val="样式3.序号"/>
    <w:basedOn w:val="5"/>
    <w:link w:val="216"/>
    <w:qFormat/>
    <w:uiPriority w:val="0"/>
    <w:pPr>
      <w:adjustRightInd w:val="0"/>
      <w:spacing w:line="480" w:lineRule="atLeast"/>
      <w:ind w:left="567"/>
      <w:textAlignment w:val="baseline"/>
    </w:pPr>
    <w:rPr>
      <w:kern w:val="0"/>
    </w:rPr>
  </w:style>
  <w:style w:type="paragraph" w:customStyle="1" w:styleId="50">
    <w:name w:val="图题"/>
    <w:basedOn w:val="1"/>
    <w:link w:val="219"/>
    <w:qFormat/>
    <w:uiPriority w:val="0"/>
    <w:pPr>
      <w:autoSpaceDE w:val="0"/>
      <w:autoSpaceDN w:val="0"/>
      <w:adjustRightInd w:val="0"/>
      <w:spacing w:after="312" w:afterLines="100" w:line="240" w:lineRule="auto"/>
      <w:jc w:val="center"/>
    </w:pPr>
    <w:rPr>
      <w:color w:val="000000"/>
      <w:kern w:val="0"/>
      <w:sz w:val="24"/>
      <w:szCs w:val="28"/>
    </w:rPr>
  </w:style>
  <w:style w:type="paragraph" w:customStyle="1" w:styleId="51">
    <w:name w:val="样式3本次"/>
    <w:basedOn w:val="1"/>
    <w:link w:val="224"/>
    <w:qFormat/>
    <w:uiPriority w:val="0"/>
    <w:pPr>
      <w:widowControl w:val="0"/>
      <w:adjustRightInd w:val="0"/>
      <w:snapToGrid w:val="0"/>
      <w:spacing w:line="560" w:lineRule="exact"/>
      <w:ind w:firstLine="643" w:firstLineChars="200"/>
      <w:outlineLvl w:val="2"/>
    </w:pPr>
    <w:rPr>
      <w:rFonts w:eastAsia="仿宋_GB2312"/>
      <w:b/>
      <w:bCs/>
      <w:color w:val="000000"/>
      <w:sz w:val="32"/>
      <w:szCs w:val="32"/>
    </w:rPr>
  </w:style>
  <w:style w:type="paragraph" w:customStyle="1" w:styleId="52">
    <w:name w:val="表格"/>
    <w:basedOn w:val="1"/>
    <w:link w:val="228"/>
    <w:qFormat/>
    <w:uiPriority w:val="0"/>
    <w:pPr>
      <w:spacing w:line="240" w:lineRule="auto"/>
      <w:jc w:val="center"/>
    </w:pPr>
    <w:rPr>
      <w:sz w:val="24"/>
    </w:rPr>
  </w:style>
  <w:style w:type="paragraph" w:customStyle="1" w:styleId="53">
    <w:name w:val="列出段落1"/>
    <w:basedOn w:val="1"/>
    <w:link w:val="229"/>
    <w:qFormat/>
    <w:uiPriority w:val="0"/>
    <w:pPr>
      <w:spacing w:line="240" w:lineRule="auto"/>
      <w:ind w:firstLine="420"/>
    </w:pPr>
  </w:style>
  <w:style w:type="paragraph" w:customStyle="1" w:styleId="54">
    <w:name w:val="表题"/>
    <w:basedOn w:val="1"/>
    <w:link w:val="230"/>
    <w:qFormat/>
    <w:uiPriority w:val="0"/>
    <w:pPr>
      <w:jc w:val="center"/>
    </w:pPr>
    <w:rPr>
      <w:sz w:val="24"/>
    </w:rPr>
  </w:style>
  <w:style w:type="paragraph" w:customStyle="1" w:styleId="55">
    <w:name w:val="图片"/>
    <w:basedOn w:val="53"/>
    <w:link w:val="231"/>
    <w:qFormat/>
    <w:uiPriority w:val="0"/>
    <w:pPr>
      <w:ind w:firstLine="0"/>
      <w:jc w:val="center"/>
    </w:pPr>
  </w:style>
  <w:style w:type="paragraph" w:customStyle="1" w:styleId="56">
    <w:name w:val="我的图表和题注"/>
    <w:basedOn w:val="1"/>
    <w:link w:val="233"/>
    <w:qFormat/>
    <w:uiPriority w:val="0"/>
    <w:pPr>
      <w:jc w:val="center"/>
    </w:pPr>
    <w:rPr>
      <w:rFonts w:hAnsi="宋体"/>
      <w:szCs w:val="30"/>
    </w:rPr>
  </w:style>
  <w:style w:type="paragraph" w:customStyle="1" w:styleId="57">
    <w:name w:val="正文文本缩进1"/>
    <w:basedOn w:val="1"/>
    <w:link w:val="234"/>
    <w:qFormat/>
    <w:uiPriority w:val="0"/>
    <w:pPr>
      <w:spacing w:before="120" w:after="160"/>
      <w:ind w:firstLine="425"/>
      <w:jc w:val="left"/>
    </w:pPr>
    <w:rPr>
      <w:rFonts w:eastAsia="楷体_GB2312"/>
      <w:sz w:val="32"/>
    </w:rPr>
  </w:style>
  <w:style w:type="paragraph" w:customStyle="1" w:styleId="58">
    <w:name w:val="文档结构图1"/>
    <w:basedOn w:val="1"/>
    <w:link w:val="235"/>
    <w:qFormat/>
    <w:uiPriority w:val="0"/>
    <w:pPr>
      <w:shd w:val="clear" w:color="auto" w:fill="000080"/>
    </w:pPr>
    <w:rPr>
      <w:shd w:val="clear" w:color="auto" w:fill="000080"/>
    </w:rPr>
  </w:style>
  <w:style w:type="paragraph" w:customStyle="1" w:styleId="59">
    <w:name w:val="日期1"/>
    <w:basedOn w:val="1"/>
    <w:next w:val="1"/>
    <w:link w:val="236"/>
    <w:qFormat/>
    <w:uiPriority w:val="0"/>
    <w:pPr>
      <w:spacing w:line="240" w:lineRule="auto"/>
      <w:ind w:left="100" w:leftChars="2500"/>
    </w:pPr>
  </w:style>
  <w:style w:type="paragraph" w:customStyle="1" w:styleId="60">
    <w:name w:val="页眉1"/>
    <w:basedOn w:val="1"/>
    <w:link w:val="237"/>
    <w:qFormat/>
    <w:uiPriority w:val="0"/>
    <w:pPr>
      <w:pBdr>
        <w:bottom w:val="single" w:color="auto" w:sz="6" w:space="1"/>
      </w:pBdr>
      <w:tabs>
        <w:tab w:val="center" w:pos="4153"/>
        <w:tab w:val="right" w:pos="8306"/>
      </w:tabs>
      <w:snapToGrid w:val="0"/>
      <w:jc w:val="center"/>
    </w:pPr>
    <w:rPr>
      <w:sz w:val="18"/>
      <w:szCs w:val="18"/>
    </w:rPr>
  </w:style>
  <w:style w:type="paragraph" w:customStyle="1" w:styleId="61">
    <w:name w:val="16"/>
    <w:basedOn w:val="1"/>
    <w:qFormat/>
    <w:uiPriority w:val="0"/>
    <w:pPr>
      <w:spacing w:before="100" w:beforeAutospacing="1" w:after="100" w:afterAutospacing="1" w:line="240" w:lineRule="auto"/>
      <w:jc w:val="left"/>
    </w:pPr>
    <w:rPr>
      <w:rFonts w:ascii="宋体" w:hAnsi="宋体" w:cs="宋体"/>
      <w:kern w:val="0"/>
      <w:sz w:val="24"/>
    </w:rPr>
  </w:style>
  <w:style w:type="paragraph" w:customStyle="1" w:styleId="62">
    <w:name w:val="25"/>
    <w:basedOn w:val="1"/>
    <w:qFormat/>
    <w:uiPriority w:val="0"/>
    <w:pPr>
      <w:spacing w:before="100" w:beforeAutospacing="1" w:after="100" w:afterAutospacing="1" w:line="240" w:lineRule="auto"/>
      <w:jc w:val="left"/>
    </w:pPr>
    <w:rPr>
      <w:rFonts w:ascii="宋体" w:hAnsi="宋体" w:cs="宋体"/>
      <w:kern w:val="0"/>
      <w:sz w:val="24"/>
    </w:rPr>
  </w:style>
  <w:style w:type="paragraph" w:customStyle="1" w:styleId="63">
    <w:name w:val="tie-reminder"/>
    <w:basedOn w:val="1"/>
    <w:qFormat/>
    <w:uiPriority w:val="0"/>
    <w:pPr>
      <w:spacing w:before="100" w:beforeAutospacing="1" w:after="100" w:afterAutospacing="1" w:line="240" w:lineRule="auto"/>
      <w:jc w:val="left"/>
    </w:pPr>
    <w:rPr>
      <w:rFonts w:ascii="宋体" w:hAnsi="宋体" w:cs="宋体"/>
      <w:kern w:val="0"/>
      <w:sz w:val="24"/>
    </w:rPr>
  </w:style>
  <w:style w:type="paragraph" w:customStyle="1" w:styleId="64">
    <w:name w:val="全文"/>
    <w:basedOn w:val="1"/>
    <w:qFormat/>
    <w:uiPriority w:val="0"/>
    <w:pPr>
      <w:widowControl w:val="0"/>
      <w:adjustRightInd w:val="0"/>
      <w:snapToGrid w:val="0"/>
      <w:spacing w:line="560" w:lineRule="exact"/>
      <w:ind w:firstLine="645"/>
    </w:pPr>
    <w:rPr>
      <w:rFonts w:eastAsia="仿宋_GB2312"/>
      <w:color w:val="000000"/>
      <w:sz w:val="32"/>
      <w:szCs w:val="32"/>
    </w:rPr>
  </w:style>
  <w:style w:type="paragraph" w:customStyle="1" w:styleId="65">
    <w:name w:val="列出段落2"/>
    <w:basedOn w:val="1"/>
    <w:qFormat/>
    <w:uiPriority w:val="0"/>
    <w:pPr>
      <w:ind w:firstLine="420" w:firstLineChars="200"/>
    </w:pPr>
  </w:style>
  <w:style w:type="paragraph" w:customStyle="1" w:styleId="66">
    <w:name w:val="修订1"/>
    <w:qFormat/>
    <w:uiPriority w:val="0"/>
    <w:rPr>
      <w:rFonts w:ascii="Times New Roman" w:hAnsi="Times New Roman" w:eastAsia="宋体" w:cs="Calibri"/>
      <w:kern w:val="2"/>
      <w:sz w:val="28"/>
      <w:szCs w:val="24"/>
      <w:lang w:val="en-US" w:eastAsia="zh-CN" w:bidi="ar-SA"/>
    </w:rPr>
  </w:style>
  <w:style w:type="paragraph" w:customStyle="1" w:styleId="67">
    <w:name w:val="Char Char Char Char Char Char Char"/>
    <w:basedOn w:val="1"/>
    <w:qFormat/>
    <w:uiPriority w:val="0"/>
    <w:pPr>
      <w:spacing w:line="240" w:lineRule="auto"/>
    </w:pPr>
    <w:rPr>
      <w:sz w:val="21"/>
    </w:rPr>
  </w:style>
  <w:style w:type="paragraph" w:customStyle="1" w:styleId="68">
    <w:name w:val="表格文字"/>
    <w:basedOn w:val="1"/>
    <w:qFormat/>
    <w:uiPriority w:val="0"/>
    <w:pPr>
      <w:autoSpaceDE w:val="0"/>
      <w:autoSpaceDN w:val="0"/>
      <w:adjustRightInd w:val="0"/>
      <w:snapToGrid w:val="0"/>
      <w:spacing w:line="240" w:lineRule="auto"/>
      <w:jc w:val="center"/>
    </w:pPr>
    <w:rPr>
      <w:sz w:val="21"/>
      <w:szCs w:val="22"/>
    </w:rPr>
  </w:style>
  <w:style w:type="paragraph" w:customStyle="1" w:styleId="69">
    <w:name w:val="Char"/>
    <w:basedOn w:val="1"/>
    <w:qFormat/>
    <w:uiPriority w:val="0"/>
    <w:rPr>
      <w:sz w:val="21"/>
    </w:rPr>
  </w:style>
  <w:style w:type="paragraph" w:customStyle="1" w:styleId="70">
    <w:name w:val="Char Char Char Char Char Char Char1"/>
    <w:basedOn w:val="1"/>
    <w:qFormat/>
    <w:uiPriority w:val="0"/>
    <w:pPr>
      <w:spacing w:line="240" w:lineRule="auto"/>
    </w:pPr>
    <w:rPr>
      <w:sz w:val="21"/>
    </w:rPr>
  </w:style>
  <w:style w:type="paragraph" w:customStyle="1" w:styleId="71">
    <w:name w:val="普通(网站)1"/>
    <w:basedOn w:val="1"/>
    <w:qFormat/>
    <w:uiPriority w:val="0"/>
    <w:pPr>
      <w:spacing w:line="240" w:lineRule="auto"/>
    </w:pPr>
    <w:rPr>
      <w:rFonts w:ascii="Calibri" w:hAnsi="Calibri" w:cs="黑体"/>
      <w:sz w:val="24"/>
      <w:szCs w:val="22"/>
    </w:rPr>
  </w:style>
  <w:style w:type="paragraph" w:customStyle="1" w:styleId="72">
    <w:name w:val="修订2"/>
    <w:qFormat/>
    <w:uiPriority w:val="0"/>
    <w:rPr>
      <w:rFonts w:ascii="Times New Roman" w:hAnsi="Times New Roman" w:eastAsia="宋体" w:cs="Times New Roman"/>
      <w:kern w:val="2"/>
      <w:sz w:val="28"/>
      <w:szCs w:val="24"/>
      <w:lang w:val="en-US" w:eastAsia="zh-CN" w:bidi="ar-SA"/>
    </w:rPr>
  </w:style>
  <w:style w:type="paragraph" w:customStyle="1" w:styleId="73">
    <w:name w:val="正文 New"/>
    <w:qFormat/>
    <w:uiPriority w:val="0"/>
    <w:pPr>
      <w:widowControl w:val="0"/>
    </w:pPr>
    <w:rPr>
      <w:rFonts w:ascii="Times New Roman" w:hAnsi="Times New Roman" w:eastAsia="仿宋_GB2312" w:cs="Calibri"/>
      <w:kern w:val="2"/>
      <w:sz w:val="30"/>
      <w:szCs w:val="30"/>
      <w:lang w:val="en-US" w:eastAsia="zh-CN" w:bidi="ar-SA"/>
    </w:rPr>
  </w:style>
  <w:style w:type="paragraph" w:customStyle="1" w:styleId="74">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75">
    <w:name w:val="正文 New New New New New"/>
    <w:qFormat/>
    <w:uiPriority w:val="0"/>
    <w:pPr>
      <w:widowControl w:val="0"/>
    </w:pPr>
    <w:rPr>
      <w:rFonts w:ascii="Calibri" w:hAnsi="Calibri" w:eastAsia="宋体" w:cs="Calibri"/>
      <w:kern w:val="2"/>
      <w:sz w:val="21"/>
      <w:szCs w:val="24"/>
      <w:lang w:val="en-US" w:eastAsia="zh-CN" w:bidi="ar-SA"/>
    </w:rPr>
  </w:style>
  <w:style w:type="paragraph" w:customStyle="1" w:styleId="76">
    <w:name w:val="正文1"/>
    <w:basedOn w:val="1"/>
    <w:qFormat/>
    <w:uiPriority w:val="0"/>
    <w:pPr>
      <w:widowControl w:val="0"/>
      <w:adjustRightInd w:val="0"/>
      <w:snapToGrid w:val="0"/>
      <w:spacing w:line="560" w:lineRule="exact"/>
      <w:ind w:firstLine="640" w:firstLineChars="200"/>
    </w:pPr>
    <w:rPr>
      <w:rFonts w:eastAsia="仿宋_GB2312"/>
      <w:color w:val="000000"/>
      <w:sz w:val="32"/>
      <w:szCs w:val="32"/>
    </w:rPr>
  </w:style>
  <w:style w:type="paragraph" w:customStyle="1" w:styleId="77">
    <w:name w:val="默认段落字体 Para Char Char"/>
    <w:basedOn w:val="1"/>
    <w:qFormat/>
    <w:uiPriority w:val="0"/>
    <w:pPr>
      <w:spacing w:line="240" w:lineRule="auto"/>
    </w:pPr>
    <w:rPr>
      <w:sz w:val="21"/>
    </w:rPr>
  </w:style>
  <w:style w:type="paragraph" w:customStyle="1" w:styleId="78">
    <w:name w:val="tie-cnt"/>
    <w:basedOn w:val="1"/>
    <w:uiPriority w:val="0"/>
    <w:pPr>
      <w:spacing w:before="100" w:beforeAutospacing="1" w:after="100" w:afterAutospacing="1" w:line="240" w:lineRule="auto"/>
      <w:jc w:val="left"/>
    </w:pPr>
    <w:rPr>
      <w:rFonts w:ascii="宋体" w:hAnsi="宋体" w:cs="宋体"/>
      <w:kern w:val="0"/>
      <w:sz w:val="24"/>
    </w:rPr>
  </w:style>
  <w:style w:type="paragraph" w:customStyle="1" w:styleId="79">
    <w:name w:val="TOC 标题1"/>
    <w:basedOn w:val="2"/>
    <w:next w:val="1"/>
    <w:qFormat/>
    <w:uiPriority w:val="0"/>
    <w:pPr>
      <w:spacing w:before="240" w:line="259" w:lineRule="auto"/>
      <w:jc w:val="left"/>
      <w:outlineLvl w:val="9"/>
    </w:pPr>
    <w:rPr>
      <w:rFonts w:ascii="Calibri Light" w:hAnsi="Calibri Light"/>
      <w:b w:val="0"/>
      <w:bCs w:val="0"/>
      <w:color w:val="2E74B5"/>
      <w:kern w:val="0"/>
    </w:rPr>
  </w:style>
  <w:style w:type="paragraph" w:customStyle="1" w:styleId="80">
    <w:name w:val="Table Paragraph"/>
    <w:basedOn w:val="1"/>
    <w:qFormat/>
    <w:uiPriority w:val="0"/>
    <w:pPr>
      <w:spacing w:line="240" w:lineRule="auto"/>
      <w:jc w:val="left"/>
    </w:pPr>
    <w:rPr>
      <w:rFonts w:ascii="Calibri" w:hAnsi="Calibri" w:cs="黑体"/>
      <w:kern w:val="0"/>
      <w:sz w:val="22"/>
      <w:szCs w:val="22"/>
      <w:lang w:eastAsia="en-US"/>
    </w:rPr>
  </w:style>
  <w:style w:type="paragraph" w:customStyle="1" w:styleId="81">
    <w:name w:val="普通(网站)2"/>
    <w:basedOn w:val="1"/>
    <w:uiPriority w:val="0"/>
    <w:pPr>
      <w:spacing w:before="100" w:beforeAutospacing="1" w:after="100" w:afterAutospacing="1" w:line="240" w:lineRule="auto"/>
      <w:jc w:val="left"/>
    </w:pPr>
    <w:rPr>
      <w:rFonts w:ascii="宋体" w:hAnsi="宋体" w:cs="宋体"/>
      <w:kern w:val="0"/>
      <w:sz w:val="24"/>
    </w:rPr>
  </w:style>
  <w:style w:type="paragraph" w:customStyle="1" w:styleId="82">
    <w:name w:val="List Paragraph"/>
    <w:basedOn w:val="1"/>
    <w:qFormat/>
    <w:uiPriority w:val="34"/>
    <w:pPr>
      <w:ind w:firstLine="420" w:firstLineChars="200"/>
    </w:pPr>
  </w:style>
  <w:style w:type="paragraph" w:customStyle="1" w:styleId="83">
    <w:name w:val="修订3"/>
    <w:hidden/>
    <w:semiHidden/>
    <w:uiPriority w:val="99"/>
    <w:rPr>
      <w:rFonts w:ascii="Times New Roman" w:hAnsi="Times New Roman" w:eastAsia="宋体" w:cs="Times New Roman"/>
      <w:kern w:val="2"/>
      <w:sz w:val="28"/>
      <w:szCs w:val="24"/>
      <w:lang w:val="en-US" w:eastAsia="zh-CN" w:bidi="ar-SA"/>
    </w:rPr>
  </w:style>
  <w:style w:type="paragraph" w:customStyle="1" w:styleId="84">
    <w:name w:val="TOC 标题2"/>
    <w:basedOn w:val="2"/>
    <w:next w:val="1"/>
    <w:unhideWhenUsed/>
    <w:qFormat/>
    <w:uiPriority w:val="39"/>
    <w:pPr>
      <w:spacing w:before="240" w:line="259" w:lineRule="auto"/>
      <w:jc w:val="left"/>
      <w:outlineLvl w:val="9"/>
    </w:pPr>
    <w:rPr>
      <w:rFonts w:ascii="等线 Light" w:hAnsi="等线 Light" w:eastAsia="等线 Light"/>
      <w:b w:val="0"/>
      <w:bCs w:val="0"/>
      <w:color w:val="2E74B5"/>
      <w:kern w:val="0"/>
    </w:rPr>
  </w:style>
  <w:style w:type="paragraph" w:customStyle="1" w:styleId="85">
    <w:name w:val="msonormal"/>
    <w:basedOn w:val="1"/>
    <w:uiPriority w:val="0"/>
    <w:pPr>
      <w:spacing w:before="100" w:beforeAutospacing="1" w:after="100" w:afterAutospacing="1" w:line="240" w:lineRule="auto"/>
      <w:jc w:val="left"/>
    </w:pPr>
    <w:rPr>
      <w:rFonts w:ascii="宋体" w:hAnsi="宋体" w:cs="宋体"/>
      <w:kern w:val="0"/>
      <w:sz w:val="24"/>
    </w:rPr>
  </w:style>
  <w:style w:type="paragraph" w:customStyle="1" w:styleId="86">
    <w:name w:val="font5"/>
    <w:basedOn w:val="1"/>
    <w:uiPriority w:val="0"/>
    <w:pPr>
      <w:spacing w:before="100" w:beforeAutospacing="1" w:after="100" w:afterAutospacing="1" w:line="240" w:lineRule="auto"/>
      <w:jc w:val="left"/>
    </w:pPr>
    <w:rPr>
      <w:rFonts w:ascii="等线" w:hAnsi="等线" w:eastAsia="等线" w:cs="宋体"/>
      <w:kern w:val="0"/>
      <w:sz w:val="18"/>
      <w:szCs w:val="18"/>
    </w:rPr>
  </w:style>
  <w:style w:type="paragraph" w:customStyle="1" w:styleId="87">
    <w:name w:val="font6"/>
    <w:basedOn w:val="1"/>
    <w:uiPriority w:val="0"/>
    <w:pPr>
      <w:spacing w:before="100" w:beforeAutospacing="1" w:after="100" w:afterAutospacing="1" w:line="240" w:lineRule="auto"/>
      <w:jc w:val="left"/>
    </w:pPr>
    <w:rPr>
      <w:rFonts w:ascii="等线" w:hAnsi="等线" w:eastAsia="等线" w:cs="宋体"/>
      <w:kern w:val="0"/>
      <w:sz w:val="18"/>
      <w:szCs w:val="18"/>
    </w:rPr>
  </w:style>
  <w:style w:type="paragraph" w:customStyle="1" w:styleId="88">
    <w:name w:val="font7"/>
    <w:basedOn w:val="1"/>
    <w:uiPriority w:val="0"/>
    <w:pPr>
      <w:spacing w:before="100" w:beforeAutospacing="1" w:after="100" w:afterAutospacing="1" w:line="240" w:lineRule="auto"/>
      <w:jc w:val="left"/>
    </w:pPr>
    <w:rPr>
      <w:color w:val="000000"/>
      <w:kern w:val="0"/>
      <w:sz w:val="24"/>
    </w:rPr>
  </w:style>
  <w:style w:type="paragraph" w:customStyle="1" w:styleId="89">
    <w:name w:val="font8"/>
    <w:basedOn w:val="1"/>
    <w:uiPriority w:val="0"/>
    <w:pPr>
      <w:spacing w:before="100" w:beforeAutospacing="1" w:after="100" w:afterAutospacing="1" w:line="240" w:lineRule="auto"/>
      <w:jc w:val="left"/>
    </w:pPr>
    <w:rPr>
      <w:rFonts w:ascii="宋体" w:hAnsi="宋体" w:cs="宋体"/>
      <w:color w:val="000000"/>
      <w:kern w:val="0"/>
      <w:sz w:val="24"/>
    </w:rPr>
  </w:style>
  <w:style w:type="paragraph" w:customStyle="1" w:styleId="90">
    <w:name w:val="font9"/>
    <w:basedOn w:val="1"/>
    <w:uiPriority w:val="0"/>
    <w:pPr>
      <w:spacing w:before="100" w:beforeAutospacing="1" w:after="100" w:afterAutospacing="1" w:line="240" w:lineRule="auto"/>
      <w:jc w:val="left"/>
    </w:pPr>
    <w:rPr>
      <w:rFonts w:ascii="宋体" w:hAnsi="宋体" w:cs="宋体"/>
      <w:b/>
      <w:bCs/>
      <w:color w:val="000000"/>
      <w:kern w:val="0"/>
      <w:sz w:val="24"/>
    </w:rPr>
  </w:style>
  <w:style w:type="paragraph" w:customStyle="1" w:styleId="91">
    <w:name w:val="font10"/>
    <w:basedOn w:val="1"/>
    <w:uiPriority w:val="0"/>
    <w:pPr>
      <w:spacing w:before="100" w:beforeAutospacing="1" w:after="100" w:afterAutospacing="1" w:line="240" w:lineRule="auto"/>
      <w:jc w:val="left"/>
    </w:pPr>
    <w:rPr>
      <w:rFonts w:ascii="宋体" w:hAnsi="宋体" w:cs="宋体"/>
      <w:b/>
      <w:bCs/>
      <w:kern w:val="0"/>
      <w:sz w:val="24"/>
    </w:rPr>
  </w:style>
  <w:style w:type="paragraph" w:customStyle="1" w:styleId="92">
    <w:name w:val="font11"/>
    <w:basedOn w:val="1"/>
    <w:uiPriority w:val="0"/>
    <w:pPr>
      <w:spacing w:before="100" w:beforeAutospacing="1" w:after="100" w:afterAutospacing="1" w:line="240" w:lineRule="auto"/>
      <w:jc w:val="left"/>
    </w:pPr>
    <w:rPr>
      <w:rFonts w:ascii="宋体" w:hAnsi="宋体" w:cs="宋体"/>
      <w:b/>
      <w:bCs/>
      <w:color w:val="000000"/>
      <w:kern w:val="0"/>
      <w:sz w:val="24"/>
    </w:rPr>
  </w:style>
  <w:style w:type="paragraph" w:customStyle="1" w:styleId="93">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b/>
      <w:bCs/>
      <w:kern w:val="0"/>
      <w:sz w:val="24"/>
    </w:rPr>
  </w:style>
  <w:style w:type="paragraph" w:customStyle="1" w:styleId="94">
    <w:name w:val="xl6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kern w:val="0"/>
      <w:sz w:val="24"/>
    </w:rPr>
  </w:style>
  <w:style w:type="paragraph" w:customStyle="1" w:styleId="95">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4"/>
    </w:rPr>
  </w:style>
  <w:style w:type="paragraph" w:customStyle="1" w:styleId="96">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4"/>
    </w:rPr>
  </w:style>
  <w:style w:type="paragraph" w:customStyle="1" w:styleId="97">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kern w:val="0"/>
      <w:sz w:val="24"/>
    </w:rPr>
  </w:style>
  <w:style w:type="paragraph" w:customStyle="1" w:styleId="98">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4"/>
    </w:rPr>
  </w:style>
  <w:style w:type="paragraph" w:customStyle="1" w:styleId="99">
    <w:name w:val="xl7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b/>
      <w:bCs/>
      <w:kern w:val="0"/>
      <w:sz w:val="24"/>
    </w:rPr>
  </w:style>
  <w:style w:type="paragraph" w:customStyle="1" w:styleId="100">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b/>
      <w:bCs/>
      <w:color w:val="000000"/>
      <w:kern w:val="0"/>
      <w:sz w:val="24"/>
    </w:rPr>
  </w:style>
  <w:style w:type="paragraph" w:customStyle="1" w:styleId="101">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b/>
      <w:bCs/>
      <w:kern w:val="0"/>
      <w:sz w:val="24"/>
    </w:rPr>
  </w:style>
  <w:style w:type="paragraph" w:customStyle="1" w:styleId="102">
    <w:name w:val="xl7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b/>
      <w:bCs/>
      <w:kern w:val="0"/>
      <w:sz w:val="24"/>
    </w:rPr>
  </w:style>
  <w:style w:type="paragraph" w:customStyle="1" w:styleId="103">
    <w:name w:val="xl7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kern w:val="0"/>
      <w:sz w:val="24"/>
    </w:rPr>
  </w:style>
  <w:style w:type="paragraph" w:customStyle="1" w:styleId="104">
    <w:name w:val="xl7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宋体" w:hAnsi="宋体" w:cs="宋体"/>
      <w:kern w:val="0"/>
      <w:sz w:val="24"/>
    </w:rPr>
  </w:style>
  <w:style w:type="paragraph" w:customStyle="1" w:styleId="105">
    <w:name w:val="xl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kern w:val="0"/>
      <w:sz w:val="24"/>
    </w:rPr>
  </w:style>
  <w:style w:type="paragraph" w:customStyle="1" w:styleId="106">
    <w:name w:val="xl8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4"/>
    </w:rPr>
  </w:style>
  <w:style w:type="paragraph" w:customStyle="1" w:styleId="107">
    <w:name w:val="xl8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4"/>
    </w:rPr>
  </w:style>
  <w:style w:type="paragraph" w:customStyle="1" w:styleId="108">
    <w:name w:val="xl8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color w:val="000000"/>
      <w:kern w:val="0"/>
      <w:sz w:val="24"/>
    </w:rPr>
  </w:style>
  <w:style w:type="paragraph" w:customStyle="1" w:styleId="109">
    <w:name w:val="xl8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kern w:val="0"/>
      <w:sz w:val="24"/>
    </w:rPr>
  </w:style>
  <w:style w:type="paragraph" w:customStyle="1" w:styleId="110">
    <w:name w:val="xl8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b/>
      <w:bCs/>
      <w:color w:val="000000"/>
      <w:kern w:val="0"/>
      <w:sz w:val="24"/>
    </w:rPr>
  </w:style>
  <w:style w:type="paragraph" w:customStyle="1" w:styleId="111">
    <w:name w:val="xl86"/>
    <w:basedOn w:val="1"/>
    <w:qFormat/>
    <w:uiPriority w:val="0"/>
    <w:pPr>
      <w:spacing w:before="100" w:beforeAutospacing="1" w:after="100" w:afterAutospacing="1" w:line="240" w:lineRule="auto"/>
      <w:jc w:val="left"/>
    </w:pPr>
    <w:rPr>
      <w:rFonts w:ascii="宋体" w:hAnsi="宋体" w:cs="宋体"/>
      <w:b/>
      <w:bCs/>
      <w:kern w:val="0"/>
      <w:sz w:val="32"/>
      <w:szCs w:val="32"/>
    </w:rPr>
  </w:style>
  <w:style w:type="paragraph" w:customStyle="1" w:styleId="112">
    <w:name w:val="font12"/>
    <w:basedOn w:val="1"/>
    <w:qFormat/>
    <w:uiPriority w:val="0"/>
    <w:pPr>
      <w:spacing w:before="100" w:beforeAutospacing="1" w:after="100" w:afterAutospacing="1" w:line="240" w:lineRule="auto"/>
      <w:jc w:val="left"/>
    </w:pPr>
    <w:rPr>
      <w:color w:val="000000"/>
      <w:kern w:val="0"/>
      <w:sz w:val="22"/>
      <w:szCs w:val="22"/>
    </w:rPr>
  </w:style>
  <w:style w:type="paragraph" w:customStyle="1" w:styleId="113">
    <w:name w:val="font13"/>
    <w:basedOn w:val="1"/>
    <w:qFormat/>
    <w:uiPriority w:val="0"/>
    <w:pPr>
      <w:spacing w:before="100" w:beforeAutospacing="1" w:after="100" w:afterAutospacing="1" w:line="240" w:lineRule="auto"/>
      <w:jc w:val="left"/>
    </w:pPr>
    <w:rPr>
      <w:rFonts w:ascii="宋体" w:hAnsi="宋体" w:cs="宋体"/>
      <w:b/>
      <w:bCs/>
      <w:color w:val="000000"/>
      <w:kern w:val="0"/>
      <w:sz w:val="22"/>
      <w:szCs w:val="22"/>
    </w:rPr>
  </w:style>
  <w:style w:type="paragraph" w:customStyle="1" w:styleId="114">
    <w:name w:val="font14"/>
    <w:basedOn w:val="1"/>
    <w:qFormat/>
    <w:uiPriority w:val="0"/>
    <w:pPr>
      <w:spacing w:before="100" w:beforeAutospacing="1" w:after="100" w:afterAutospacing="1" w:line="240" w:lineRule="auto"/>
      <w:jc w:val="left"/>
    </w:pPr>
    <w:rPr>
      <w:rFonts w:ascii="宋体" w:hAnsi="宋体" w:cs="宋体"/>
      <w:b/>
      <w:bCs/>
      <w:kern w:val="0"/>
      <w:sz w:val="22"/>
      <w:szCs w:val="22"/>
    </w:rPr>
  </w:style>
  <w:style w:type="paragraph" w:customStyle="1" w:styleId="115">
    <w:name w:val="font15"/>
    <w:basedOn w:val="1"/>
    <w:qFormat/>
    <w:uiPriority w:val="0"/>
    <w:pPr>
      <w:spacing w:before="100" w:beforeAutospacing="1" w:after="100" w:afterAutospacing="1" w:line="240" w:lineRule="auto"/>
      <w:jc w:val="left"/>
    </w:pPr>
    <w:rPr>
      <w:rFonts w:ascii="宋体" w:hAnsi="宋体" w:cs="宋体"/>
      <w:b/>
      <w:bCs/>
      <w:color w:val="000000"/>
      <w:kern w:val="0"/>
      <w:sz w:val="22"/>
      <w:szCs w:val="22"/>
    </w:rPr>
  </w:style>
  <w:style w:type="paragraph" w:customStyle="1" w:styleId="116">
    <w:name w:val="font16"/>
    <w:basedOn w:val="1"/>
    <w:qFormat/>
    <w:uiPriority w:val="0"/>
    <w:pPr>
      <w:spacing w:before="100" w:beforeAutospacing="1" w:after="100" w:afterAutospacing="1" w:line="240" w:lineRule="auto"/>
      <w:jc w:val="left"/>
    </w:pPr>
    <w:rPr>
      <w:kern w:val="0"/>
      <w:sz w:val="22"/>
      <w:szCs w:val="22"/>
    </w:rPr>
  </w:style>
  <w:style w:type="paragraph" w:customStyle="1" w:styleId="117">
    <w:name w:val="font17"/>
    <w:basedOn w:val="1"/>
    <w:uiPriority w:val="0"/>
    <w:pPr>
      <w:spacing w:before="100" w:beforeAutospacing="1" w:after="100" w:afterAutospacing="1" w:line="240" w:lineRule="auto"/>
      <w:jc w:val="left"/>
    </w:pPr>
    <w:rPr>
      <w:color w:val="000000"/>
      <w:kern w:val="0"/>
      <w:sz w:val="22"/>
      <w:szCs w:val="22"/>
    </w:rPr>
  </w:style>
  <w:style w:type="paragraph" w:customStyle="1" w:styleId="118">
    <w:name w:val="font18"/>
    <w:basedOn w:val="1"/>
    <w:qFormat/>
    <w:uiPriority w:val="0"/>
    <w:pPr>
      <w:spacing w:before="100" w:beforeAutospacing="1" w:after="100" w:afterAutospacing="1" w:line="240" w:lineRule="auto"/>
      <w:jc w:val="left"/>
    </w:pPr>
    <w:rPr>
      <w:rFonts w:ascii="宋体" w:hAnsi="宋体" w:cs="宋体"/>
      <w:color w:val="000000"/>
      <w:kern w:val="0"/>
      <w:sz w:val="22"/>
      <w:szCs w:val="22"/>
    </w:rPr>
  </w:style>
  <w:style w:type="paragraph" w:customStyle="1" w:styleId="119">
    <w:name w:val="font19"/>
    <w:basedOn w:val="1"/>
    <w:qFormat/>
    <w:uiPriority w:val="0"/>
    <w:pPr>
      <w:spacing w:before="100" w:beforeAutospacing="1" w:after="100" w:afterAutospacing="1" w:line="240" w:lineRule="auto"/>
      <w:jc w:val="left"/>
    </w:pPr>
    <w:rPr>
      <w:rFonts w:ascii="宋体" w:hAnsi="宋体" w:cs="宋体"/>
      <w:color w:val="FF0000"/>
      <w:kern w:val="0"/>
      <w:sz w:val="22"/>
      <w:szCs w:val="22"/>
    </w:rPr>
  </w:style>
  <w:style w:type="paragraph" w:customStyle="1" w:styleId="120">
    <w:name w:val="font20"/>
    <w:basedOn w:val="1"/>
    <w:qFormat/>
    <w:uiPriority w:val="0"/>
    <w:pPr>
      <w:spacing w:before="100" w:beforeAutospacing="1" w:after="100" w:afterAutospacing="1" w:line="240" w:lineRule="auto"/>
      <w:jc w:val="left"/>
    </w:pPr>
    <w:rPr>
      <w:color w:val="000000"/>
      <w:kern w:val="0"/>
      <w:sz w:val="22"/>
      <w:szCs w:val="22"/>
    </w:rPr>
  </w:style>
  <w:style w:type="paragraph" w:customStyle="1" w:styleId="121">
    <w:name w:val="font21"/>
    <w:basedOn w:val="1"/>
    <w:qFormat/>
    <w:uiPriority w:val="0"/>
    <w:pPr>
      <w:spacing w:before="100" w:beforeAutospacing="1" w:after="100" w:afterAutospacing="1" w:line="240" w:lineRule="auto"/>
      <w:jc w:val="left"/>
    </w:pPr>
    <w:rPr>
      <w:color w:val="FF0000"/>
      <w:kern w:val="0"/>
      <w:sz w:val="22"/>
      <w:szCs w:val="22"/>
    </w:rPr>
  </w:style>
  <w:style w:type="paragraph" w:customStyle="1" w:styleId="122">
    <w:name w:val="xl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kern w:val="0"/>
      <w:sz w:val="24"/>
    </w:rPr>
  </w:style>
  <w:style w:type="paragraph" w:customStyle="1" w:styleId="123">
    <w:name w:val="xl8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b/>
      <w:bCs/>
      <w:color w:val="000000"/>
      <w:kern w:val="0"/>
      <w:sz w:val="24"/>
    </w:rPr>
  </w:style>
  <w:style w:type="paragraph" w:customStyle="1" w:styleId="124">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b/>
      <w:bCs/>
      <w:kern w:val="0"/>
      <w:sz w:val="24"/>
    </w:rPr>
  </w:style>
  <w:style w:type="paragraph" w:customStyle="1" w:styleId="125">
    <w:name w:val="xl9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color w:val="000000"/>
      <w:kern w:val="0"/>
      <w:sz w:val="24"/>
    </w:rPr>
  </w:style>
  <w:style w:type="paragraph" w:customStyle="1" w:styleId="126">
    <w:name w:val="xl91"/>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kern w:val="0"/>
      <w:sz w:val="24"/>
    </w:rPr>
  </w:style>
  <w:style w:type="paragraph" w:customStyle="1" w:styleId="127">
    <w:name w:val="xl92"/>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color w:val="000000"/>
      <w:kern w:val="0"/>
      <w:sz w:val="24"/>
    </w:rPr>
  </w:style>
  <w:style w:type="paragraph" w:customStyle="1" w:styleId="128">
    <w:name w:val="xl9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kern w:val="0"/>
      <w:sz w:val="24"/>
    </w:rPr>
  </w:style>
  <w:style w:type="paragraph" w:customStyle="1" w:styleId="129">
    <w:name w:val="xl9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b/>
      <w:bCs/>
      <w:kern w:val="0"/>
      <w:sz w:val="24"/>
    </w:rPr>
  </w:style>
  <w:style w:type="paragraph" w:customStyle="1" w:styleId="130">
    <w:name w:val="xl9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kern w:val="0"/>
      <w:sz w:val="24"/>
    </w:rPr>
  </w:style>
  <w:style w:type="paragraph" w:customStyle="1" w:styleId="131">
    <w:name w:val="xl96"/>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kern w:val="0"/>
      <w:sz w:val="24"/>
    </w:rPr>
  </w:style>
  <w:style w:type="paragraph" w:customStyle="1" w:styleId="132">
    <w:name w:val="xl9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4"/>
    </w:rPr>
  </w:style>
  <w:style w:type="paragraph" w:customStyle="1" w:styleId="133">
    <w:name w:val="xl98"/>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color w:val="FF0000"/>
      <w:kern w:val="0"/>
      <w:sz w:val="24"/>
    </w:rPr>
  </w:style>
  <w:style w:type="paragraph" w:customStyle="1" w:styleId="134">
    <w:name w:val="xl9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4"/>
    </w:rPr>
  </w:style>
  <w:style w:type="paragraph" w:customStyle="1" w:styleId="135">
    <w:name w:val="xl10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b/>
      <w:bCs/>
      <w:kern w:val="0"/>
      <w:sz w:val="24"/>
    </w:rPr>
  </w:style>
  <w:style w:type="paragraph" w:customStyle="1" w:styleId="136">
    <w:name w:val="xl10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b/>
      <w:bCs/>
      <w:color w:val="000000"/>
      <w:kern w:val="0"/>
      <w:sz w:val="24"/>
    </w:rPr>
  </w:style>
  <w:style w:type="paragraph" w:customStyle="1" w:styleId="137">
    <w:name w:val="xl10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4"/>
    </w:rPr>
  </w:style>
  <w:style w:type="paragraph" w:customStyle="1" w:styleId="138">
    <w:name w:val="xl10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b/>
      <w:bCs/>
      <w:kern w:val="0"/>
      <w:sz w:val="24"/>
    </w:rPr>
  </w:style>
  <w:style w:type="paragraph" w:customStyle="1" w:styleId="139">
    <w:name w:val="xl10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color w:val="000000"/>
      <w:kern w:val="0"/>
      <w:sz w:val="24"/>
    </w:rPr>
  </w:style>
  <w:style w:type="paragraph" w:customStyle="1" w:styleId="140">
    <w:name w:val="xl10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000000"/>
      <w:kern w:val="0"/>
      <w:sz w:val="24"/>
    </w:rPr>
  </w:style>
  <w:style w:type="paragraph" w:customStyle="1" w:styleId="141">
    <w:name w:val="xl106"/>
    <w:basedOn w:val="1"/>
    <w:qFormat/>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kern w:val="0"/>
      <w:sz w:val="24"/>
    </w:rPr>
  </w:style>
  <w:style w:type="paragraph" w:customStyle="1" w:styleId="142">
    <w:name w:val="xl107"/>
    <w:basedOn w:val="1"/>
    <w:qFormat/>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b/>
      <w:bCs/>
      <w:kern w:val="0"/>
      <w:sz w:val="24"/>
    </w:rPr>
  </w:style>
  <w:style w:type="paragraph" w:customStyle="1" w:styleId="143">
    <w:name w:val="xl108"/>
    <w:basedOn w:val="1"/>
    <w:qFormat/>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kern w:val="0"/>
      <w:sz w:val="24"/>
    </w:rPr>
  </w:style>
  <w:style w:type="paragraph" w:customStyle="1" w:styleId="144">
    <w:name w:val="xl109"/>
    <w:basedOn w:val="1"/>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kern w:val="0"/>
      <w:sz w:val="24"/>
    </w:rPr>
  </w:style>
  <w:style w:type="paragraph" w:customStyle="1" w:styleId="145">
    <w:name w:val="xl110"/>
    <w:basedOn w:val="1"/>
    <w:qFormat/>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color w:val="000000"/>
      <w:kern w:val="0"/>
      <w:sz w:val="24"/>
    </w:rPr>
  </w:style>
  <w:style w:type="paragraph" w:customStyle="1" w:styleId="146">
    <w:name w:val="xl111"/>
    <w:basedOn w:val="1"/>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b/>
      <w:bCs/>
      <w:kern w:val="0"/>
      <w:sz w:val="24"/>
    </w:rPr>
  </w:style>
  <w:style w:type="paragraph" w:customStyle="1" w:styleId="147">
    <w:name w:val="xl112"/>
    <w:basedOn w:val="1"/>
    <w:qFormat/>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kern w:val="0"/>
      <w:sz w:val="24"/>
    </w:rPr>
  </w:style>
  <w:style w:type="paragraph" w:customStyle="1" w:styleId="148">
    <w:name w:val="xl113"/>
    <w:basedOn w:val="1"/>
    <w:uiPriority w:val="0"/>
    <w:pPr>
      <w:pBdr>
        <w:top w:val="single" w:color="auto" w:sz="4" w:space="0"/>
        <w:left w:val="single" w:color="auto" w:sz="4" w:space="0"/>
        <w:bottom w:val="single" w:color="auto" w:sz="4" w:space="0"/>
      </w:pBdr>
      <w:shd w:val="clear" w:color="000000" w:fill="FFFFFF"/>
      <w:spacing w:before="100" w:beforeAutospacing="1" w:after="100" w:afterAutospacing="1" w:line="240" w:lineRule="auto"/>
      <w:jc w:val="center"/>
      <w:textAlignment w:val="center"/>
    </w:pPr>
    <w:rPr>
      <w:kern w:val="0"/>
      <w:sz w:val="24"/>
    </w:rPr>
  </w:style>
  <w:style w:type="paragraph" w:customStyle="1" w:styleId="149">
    <w:name w:val="xl114"/>
    <w:basedOn w:val="1"/>
    <w:qFormat/>
    <w:uiPriority w:val="0"/>
    <w:pPr>
      <w:pBdr>
        <w:top w:val="single" w:color="auto" w:sz="4" w:space="0"/>
        <w:left w:val="single" w:color="auto" w:sz="4" w:space="0"/>
        <w:bottom w:val="single" w:color="auto" w:sz="4" w:space="0"/>
      </w:pBdr>
      <w:shd w:val="clear" w:color="000000" w:fill="FFFFFF"/>
      <w:spacing w:before="100" w:beforeAutospacing="1" w:after="100" w:afterAutospacing="1" w:line="240" w:lineRule="auto"/>
      <w:jc w:val="center"/>
      <w:textAlignment w:val="center"/>
    </w:pPr>
    <w:rPr>
      <w:color w:val="000000"/>
      <w:kern w:val="0"/>
      <w:sz w:val="24"/>
    </w:rPr>
  </w:style>
  <w:style w:type="paragraph" w:customStyle="1" w:styleId="150">
    <w:name w:val="xl115"/>
    <w:basedOn w:val="1"/>
    <w:qFormat/>
    <w:uiPriority w:val="0"/>
    <w:pPr>
      <w:pBdr>
        <w:top w:val="single" w:color="auto" w:sz="4" w:space="0"/>
        <w:left w:val="single" w:color="auto" w:sz="4" w:space="0"/>
        <w:bottom w:val="single" w:color="auto" w:sz="4" w:space="0"/>
      </w:pBdr>
      <w:shd w:val="clear" w:color="000000" w:fill="FFFFFF"/>
      <w:spacing w:before="100" w:beforeAutospacing="1" w:after="100" w:afterAutospacing="1" w:line="240" w:lineRule="auto"/>
      <w:jc w:val="center"/>
      <w:textAlignment w:val="center"/>
    </w:pPr>
    <w:rPr>
      <w:kern w:val="0"/>
      <w:sz w:val="24"/>
    </w:rPr>
  </w:style>
  <w:style w:type="paragraph" w:customStyle="1" w:styleId="151">
    <w:name w:val="xl116"/>
    <w:basedOn w:val="1"/>
    <w:qFormat/>
    <w:uiPriority w:val="0"/>
    <w:pPr>
      <w:pBdr>
        <w:top w:val="single" w:color="auto" w:sz="4" w:space="0"/>
        <w:left w:val="single" w:color="auto" w:sz="4" w:space="0"/>
        <w:bottom w:val="single" w:color="auto" w:sz="4" w:space="0"/>
      </w:pBdr>
      <w:spacing w:before="100" w:beforeAutospacing="1" w:after="100" w:afterAutospacing="1" w:line="240" w:lineRule="auto"/>
      <w:jc w:val="center"/>
    </w:pPr>
    <w:rPr>
      <w:kern w:val="0"/>
      <w:sz w:val="24"/>
    </w:rPr>
  </w:style>
  <w:style w:type="paragraph" w:customStyle="1" w:styleId="152">
    <w:name w:val="xl117"/>
    <w:basedOn w:val="1"/>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kern w:val="0"/>
      <w:sz w:val="24"/>
    </w:rPr>
  </w:style>
  <w:style w:type="paragraph" w:customStyle="1" w:styleId="153">
    <w:name w:val="xl118"/>
    <w:basedOn w:val="1"/>
    <w:qFormat/>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b/>
      <w:bCs/>
      <w:kern w:val="0"/>
      <w:sz w:val="24"/>
    </w:rPr>
  </w:style>
  <w:style w:type="paragraph" w:customStyle="1" w:styleId="154">
    <w:name w:val="xl119"/>
    <w:basedOn w:val="1"/>
    <w:qFormat/>
    <w:uiPriority w:val="0"/>
    <w:pPr>
      <w:pBdr>
        <w:top w:val="single" w:color="auto" w:sz="4" w:space="0"/>
        <w:left w:val="single" w:color="auto" w:sz="4" w:space="0"/>
        <w:bottom w:val="single" w:color="auto" w:sz="4" w:space="0"/>
      </w:pBdr>
      <w:spacing w:before="100" w:beforeAutospacing="1" w:after="100" w:afterAutospacing="1" w:line="240" w:lineRule="auto"/>
      <w:jc w:val="center"/>
    </w:pPr>
    <w:rPr>
      <w:kern w:val="0"/>
      <w:sz w:val="24"/>
    </w:rPr>
  </w:style>
  <w:style w:type="paragraph" w:customStyle="1" w:styleId="155">
    <w:name w:val="xl120"/>
    <w:basedOn w:val="1"/>
    <w:qFormat/>
    <w:uiPriority w:val="0"/>
    <w:pPr>
      <w:pBdr>
        <w:top w:val="single" w:color="auto" w:sz="4" w:space="0"/>
        <w:left w:val="single" w:color="auto" w:sz="4" w:space="0"/>
        <w:bottom w:val="single" w:color="auto" w:sz="4" w:space="0"/>
      </w:pBdr>
      <w:shd w:val="clear" w:color="000000" w:fill="FFFFFF"/>
      <w:spacing w:before="100" w:beforeAutospacing="1" w:after="100" w:afterAutospacing="1" w:line="240" w:lineRule="auto"/>
      <w:jc w:val="center"/>
      <w:textAlignment w:val="center"/>
    </w:pPr>
    <w:rPr>
      <w:kern w:val="0"/>
      <w:sz w:val="24"/>
    </w:rPr>
  </w:style>
  <w:style w:type="paragraph" w:customStyle="1" w:styleId="156">
    <w:name w:val="xl12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color w:val="000000"/>
      <w:kern w:val="0"/>
      <w:sz w:val="24"/>
    </w:rPr>
  </w:style>
  <w:style w:type="paragraph" w:customStyle="1" w:styleId="157">
    <w:name w:val="xl12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color w:val="000000"/>
      <w:kern w:val="0"/>
      <w:sz w:val="24"/>
    </w:rPr>
  </w:style>
  <w:style w:type="paragraph" w:customStyle="1" w:styleId="158">
    <w:name w:val="xl123"/>
    <w:basedOn w:val="1"/>
    <w:qFormat/>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color w:val="000000"/>
      <w:kern w:val="0"/>
      <w:sz w:val="24"/>
    </w:rPr>
  </w:style>
  <w:style w:type="paragraph" w:customStyle="1" w:styleId="159">
    <w:name w:val="xl12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b/>
      <w:bCs/>
      <w:kern w:val="0"/>
      <w:sz w:val="24"/>
    </w:rPr>
  </w:style>
  <w:style w:type="character" w:customStyle="1" w:styleId="160">
    <w:name w:val="标题 1 字符"/>
    <w:link w:val="2"/>
    <w:qFormat/>
    <w:uiPriority w:val="0"/>
    <w:rPr>
      <w:rFonts w:ascii="Times New Roman" w:hAnsi="Times New Roman"/>
      <w:b/>
      <w:bCs/>
      <w:color w:val="000000"/>
      <w:kern w:val="44"/>
      <w:sz w:val="32"/>
      <w:szCs w:val="32"/>
    </w:rPr>
  </w:style>
  <w:style w:type="character" w:customStyle="1" w:styleId="161">
    <w:name w:val="标题 2 字符"/>
    <w:link w:val="3"/>
    <w:qFormat/>
    <w:uiPriority w:val="0"/>
    <w:rPr>
      <w:rFonts w:eastAsia="黑体" w:cs="Calibri Light"/>
      <w:b/>
      <w:kern w:val="2"/>
      <w:sz w:val="32"/>
      <w:szCs w:val="32"/>
    </w:rPr>
  </w:style>
  <w:style w:type="character" w:customStyle="1" w:styleId="162">
    <w:name w:val="标题 3 字符"/>
    <w:link w:val="4"/>
    <w:qFormat/>
    <w:uiPriority w:val="0"/>
    <w:rPr>
      <w:rFonts w:eastAsia="楷体_GB2312"/>
      <w:b/>
      <w:bCs/>
      <w:kern w:val="2"/>
      <w:sz w:val="32"/>
      <w:szCs w:val="32"/>
    </w:rPr>
  </w:style>
  <w:style w:type="character" w:customStyle="1" w:styleId="163">
    <w:name w:val="标题 4 字符"/>
    <w:link w:val="5"/>
    <w:qFormat/>
    <w:uiPriority w:val="0"/>
    <w:rPr>
      <w:rFonts w:eastAsia="仿宋_GB2312"/>
      <w:b/>
      <w:bCs/>
      <w:kern w:val="2"/>
      <w:sz w:val="28"/>
      <w:szCs w:val="28"/>
    </w:rPr>
  </w:style>
  <w:style w:type="character" w:customStyle="1" w:styleId="164">
    <w:name w:val="标题 5 字符"/>
    <w:link w:val="6"/>
    <w:qFormat/>
    <w:uiPriority w:val="0"/>
    <w:rPr>
      <w:rFonts w:ascii="Times New Roman" w:hAnsi="Times New Roman" w:eastAsia="宋体" w:cs="Times New Roman"/>
      <w:b/>
      <w:bCs/>
      <w:sz w:val="28"/>
      <w:szCs w:val="28"/>
    </w:rPr>
  </w:style>
  <w:style w:type="character" w:customStyle="1" w:styleId="165">
    <w:name w:val="标题 6 字符"/>
    <w:link w:val="7"/>
    <w:qFormat/>
    <w:uiPriority w:val="0"/>
    <w:rPr>
      <w:rFonts w:ascii="Calibri Light" w:hAnsi="Calibri Light" w:eastAsia="宋体" w:cs="Times New Roman"/>
      <w:b/>
      <w:bCs/>
      <w:sz w:val="24"/>
      <w:szCs w:val="24"/>
    </w:rPr>
  </w:style>
  <w:style w:type="character" w:customStyle="1" w:styleId="166">
    <w:name w:val="标题 7 字符"/>
    <w:link w:val="8"/>
    <w:qFormat/>
    <w:uiPriority w:val="0"/>
    <w:rPr>
      <w:rFonts w:ascii="Times New Roman" w:hAnsi="Times New Roman" w:eastAsia="宋体" w:cs="Times New Roman"/>
      <w:b/>
      <w:bCs/>
      <w:sz w:val="24"/>
      <w:szCs w:val="24"/>
    </w:rPr>
  </w:style>
  <w:style w:type="character" w:customStyle="1" w:styleId="167">
    <w:name w:val="批注主题 Char"/>
    <w:link w:val="34"/>
    <w:qFormat/>
    <w:uiPriority w:val="0"/>
    <w:rPr>
      <w:rFonts w:ascii="Times New Roman" w:hAnsi="Times New Roman" w:eastAsia="宋体" w:cs="Times New Roman"/>
      <w:b/>
      <w:bCs/>
      <w:sz w:val="28"/>
      <w:szCs w:val="24"/>
    </w:rPr>
  </w:style>
  <w:style w:type="character" w:customStyle="1" w:styleId="168">
    <w:name w:val="批注文字 字符"/>
    <w:link w:val="11"/>
    <w:qFormat/>
    <w:uiPriority w:val="0"/>
    <w:rPr>
      <w:rFonts w:ascii="Times New Roman" w:hAnsi="Times New Roman" w:eastAsia="宋体" w:cs="Times New Roman"/>
      <w:sz w:val="28"/>
      <w:szCs w:val="24"/>
    </w:rPr>
  </w:style>
  <w:style w:type="character" w:customStyle="1" w:styleId="169">
    <w:name w:val="表题 Char Char Char"/>
    <w:qFormat/>
    <w:uiPriority w:val="0"/>
    <w:rPr>
      <w:rFonts w:ascii="Times New Roman" w:hAnsi="Times New Roman"/>
      <w:sz w:val="24"/>
    </w:rPr>
  </w:style>
  <w:style w:type="character" w:customStyle="1" w:styleId="170">
    <w:name w:val="ep-side-parting"/>
    <w:basedOn w:val="27"/>
    <w:qFormat/>
    <w:uiPriority w:val="0"/>
  </w:style>
  <w:style w:type="character" w:customStyle="1" w:styleId="171">
    <w:name w:val="left"/>
    <w:basedOn w:val="27"/>
    <w:qFormat/>
    <w:uiPriority w:val="0"/>
  </w:style>
  <w:style w:type="character" w:customStyle="1" w:styleId="172">
    <w:name w:val="批注主题 Char1"/>
    <w:link w:val="35"/>
    <w:qFormat/>
    <w:uiPriority w:val="0"/>
    <w:rPr>
      <w:rFonts w:ascii="Times New Roman" w:hAnsi="Times New Roman" w:eastAsia="宋体" w:cs="Times New Roman"/>
      <w:b/>
      <w:bCs/>
      <w:kern w:val="2"/>
      <w:sz w:val="28"/>
      <w:szCs w:val="24"/>
    </w:rPr>
  </w:style>
  <w:style w:type="character" w:customStyle="1" w:styleId="173">
    <w:name w:val="规划司标 Char Char"/>
    <w:link w:val="36"/>
    <w:qFormat/>
    <w:uiPriority w:val="0"/>
    <w:rPr>
      <w:rFonts w:ascii="宋体" w:hAnsi="宋体" w:eastAsia="宋体"/>
      <w:b/>
      <w:kern w:val="2"/>
      <w:sz w:val="28"/>
      <w:szCs w:val="28"/>
    </w:rPr>
  </w:style>
  <w:style w:type="character" w:customStyle="1" w:styleId="174">
    <w:name w:val="规划司正文 Char Char"/>
    <w:link w:val="37"/>
    <w:qFormat/>
    <w:uiPriority w:val="0"/>
    <w:rPr>
      <w:rFonts w:ascii="仿宋" w:hAnsi="仿宋" w:eastAsia="仿宋"/>
      <w:color w:val="000000"/>
      <w:kern w:val="2"/>
      <w:sz w:val="30"/>
      <w:szCs w:val="30"/>
    </w:rPr>
  </w:style>
  <w:style w:type="character" w:customStyle="1" w:styleId="175">
    <w:name w:val="规划司小标题 Char Char"/>
    <w:link w:val="38"/>
    <w:qFormat/>
    <w:uiPriority w:val="0"/>
    <w:rPr>
      <w:rFonts w:ascii="宋体" w:hAnsi="宋体" w:eastAsia="宋体"/>
      <w:b/>
      <w:bCs/>
      <w:kern w:val="2"/>
      <w:sz w:val="28"/>
      <w:szCs w:val="28"/>
    </w:rPr>
  </w:style>
  <w:style w:type="character" w:customStyle="1" w:styleId="176">
    <w:name w:val="filter"/>
    <w:basedOn w:val="27"/>
    <w:qFormat/>
    <w:uiPriority w:val="0"/>
  </w:style>
  <w:style w:type="character" w:customStyle="1" w:styleId="177">
    <w:name w:val="icon"/>
    <w:basedOn w:val="27"/>
    <w:qFormat/>
    <w:uiPriority w:val="0"/>
  </w:style>
  <w:style w:type="character" w:customStyle="1" w:styleId="178">
    <w:name w:val="description6"/>
    <w:basedOn w:val="27"/>
    <w:qFormat/>
    <w:uiPriority w:val="0"/>
  </w:style>
  <w:style w:type="character" w:customStyle="1" w:styleId="179">
    <w:name w:val="ep-more-split"/>
    <w:basedOn w:val="27"/>
    <w:qFormat/>
    <w:uiPriority w:val="0"/>
  </w:style>
  <w:style w:type="character" w:customStyle="1" w:styleId="180">
    <w:name w:val="样式正文1 字符"/>
    <w:link w:val="39"/>
    <w:qFormat/>
    <w:uiPriority w:val="0"/>
    <w:rPr>
      <w:rFonts w:eastAsia="仿宋_GB2312"/>
      <w:color w:val="000000"/>
      <w:kern w:val="2"/>
      <w:sz w:val="32"/>
      <w:szCs w:val="32"/>
    </w:rPr>
  </w:style>
  <w:style w:type="character" w:customStyle="1" w:styleId="181">
    <w:name w:val="z-窗体底端 Char"/>
    <w:link w:val="40"/>
    <w:qFormat/>
    <w:uiPriority w:val="0"/>
    <w:rPr>
      <w:rFonts w:ascii="Arial" w:hAnsi="Arial" w:eastAsia="宋体" w:cs="Arial"/>
      <w:vanish/>
      <w:kern w:val="0"/>
      <w:sz w:val="16"/>
      <w:szCs w:val="16"/>
    </w:rPr>
  </w:style>
  <w:style w:type="character" w:customStyle="1" w:styleId="182">
    <w:name w:val="z-窗体顶端 Char"/>
    <w:link w:val="41"/>
    <w:qFormat/>
    <w:uiPriority w:val="0"/>
    <w:rPr>
      <w:rFonts w:ascii="Arial" w:hAnsi="Arial" w:eastAsia="宋体" w:cs="Arial"/>
      <w:vanish/>
      <w:kern w:val="0"/>
      <w:sz w:val="16"/>
      <w:szCs w:val="16"/>
    </w:rPr>
  </w:style>
  <w:style w:type="character" w:customStyle="1" w:styleId="183">
    <w:name w:val="引用 Char1"/>
    <w:qFormat/>
    <w:uiPriority w:val="0"/>
    <w:rPr>
      <w:rFonts w:ascii="Times New Roman" w:hAnsi="Times New Roman" w:eastAsia="宋体" w:cs="Times New Roman"/>
      <w:i/>
      <w:iCs/>
      <w:color w:val="404040"/>
      <w:sz w:val="28"/>
      <w:szCs w:val="24"/>
    </w:rPr>
  </w:style>
  <w:style w:type="character" w:customStyle="1" w:styleId="184">
    <w:name w:val="blank15"/>
    <w:basedOn w:val="27"/>
    <w:qFormat/>
    <w:uiPriority w:val="0"/>
  </w:style>
  <w:style w:type="character" w:customStyle="1" w:styleId="185">
    <w:name w:val="u-num"/>
    <w:basedOn w:val="27"/>
    <w:qFormat/>
    <w:uiPriority w:val="0"/>
  </w:style>
  <w:style w:type="character" w:customStyle="1" w:styleId="186">
    <w:name w:val="post_recommend_split"/>
    <w:basedOn w:val="27"/>
    <w:qFormat/>
    <w:uiPriority w:val="0"/>
  </w:style>
  <w:style w:type="character" w:customStyle="1" w:styleId="187">
    <w:name w:val="脚注文本 字符"/>
    <w:link w:val="19"/>
    <w:qFormat/>
    <w:uiPriority w:val="0"/>
    <w:rPr>
      <w:rFonts w:ascii="Times New Roman" w:hAnsi="Times New Roman" w:eastAsia="宋体" w:cs="Times New Roman"/>
      <w:sz w:val="18"/>
      <w:szCs w:val="18"/>
    </w:rPr>
  </w:style>
  <w:style w:type="character" w:customStyle="1" w:styleId="188">
    <w:name w:val="规划司括号标 Char Char"/>
    <w:link w:val="42"/>
    <w:qFormat/>
    <w:uiPriority w:val="0"/>
    <w:rPr>
      <w:rFonts w:ascii="楷体" w:hAnsi="楷体" w:eastAsia="楷体"/>
      <w:color w:val="000000"/>
      <w:sz w:val="30"/>
      <w:szCs w:val="30"/>
    </w:rPr>
  </w:style>
  <w:style w:type="character" w:customStyle="1" w:styleId="189">
    <w:name w:val="entry"/>
    <w:basedOn w:val="27"/>
    <w:qFormat/>
    <w:uiPriority w:val="0"/>
  </w:style>
  <w:style w:type="character" w:customStyle="1" w:styleId="190">
    <w:name w:val="dhn-tip"/>
    <w:basedOn w:val="27"/>
    <w:uiPriority w:val="0"/>
  </w:style>
  <w:style w:type="character" w:customStyle="1" w:styleId="191">
    <w:name w:val="标题 2 Char Char"/>
    <w:qFormat/>
    <w:uiPriority w:val="0"/>
    <w:rPr>
      <w:rFonts w:ascii="Times New Roman" w:hAnsi="Times New Roman"/>
      <w:b/>
      <w:color w:val="000000"/>
      <w:kern w:val="44"/>
      <w:sz w:val="28"/>
      <w:szCs w:val="28"/>
    </w:rPr>
  </w:style>
  <w:style w:type="character" w:customStyle="1" w:styleId="192">
    <w:name w:val="description"/>
    <w:basedOn w:val="27"/>
    <w:qFormat/>
    <w:uiPriority w:val="0"/>
  </w:style>
  <w:style w:type="character" w:customStyle="1" w:styleId="193">
    <w:name w:val="表格 Char Char Char"/>
    <w:qFormat/>
    <w:uiPriority w:val="0"/>
    <w:rPr>
      <w:rFonts w:ascii="Times New Roman" w:hAnsi="Times New Roman" w:eastAsia="宋体" w:cs="Times New Roman"/>
      <w:sz w:val="24"/>
      <w:szCs w:val="24"/>
    </w:rPr>
  </w:style>
  <w:style w:type="character" w:customStyle="1" w:styleId="194">
    <w:name w:val="样式1本次 字符"/>
    <w:link w:val="43"/>
    <w:qFormat/>
    <w:uiPriority w:val="0"/>
    <w:rPr>
      <w:rFonts w:ascii="黑体" w:hAnsi="黑体" w:eastAsia="黑体"/>
      <w:color w:val="000000"/>
      <w:kern w:val="2"/>
      <w:sz w:val="32"/>
      <w:szCs w:val="32"/>
    </w:rPr>
  </w:style>
  <w:style w:type="character" w:customStyle="1" w:styleId="195">
    <w:name w:val="批注框文本 Char Char Char Char"/>
    <w:link w:val="44"/>
    <w:qFormat/>
    <w:uiPriority w:val="0"/>
    <w:rPr>
      <w:rFonts w:ascii="Times New Roman" w:hAnsi="Times New Roman" w:eastAsia="宋体" w:cs="Times New Roman"/>
      <w:sz w:val="18"/>
      <w:szCs w:val="18"/>
    </w:rPr>
  </w:style>
  <w:style w:type="character" w:customStyle="1" w:styleId="196">
    <w:name w:val="name-desp"/>
    <w:basedOn w:val="27"/>
    <w:uiPriority w:val="0"/>
  </w:style>
  <w:style w:type="character" w:customStyle="1" w:styleId="197">
    <w:name w:val="批注框文本 字符"/>
    <w:link w:val="15"/>
    <w:uiPriority w:val="0"/>
    <w:rPr>
      <w:kern w:val="2"/>
      <w:sz w:val="18"/>
      <w:szCs w:val="18"/>
    </w:rPr>
  </w:style>
  <w:style w:type="character" w:customStyle="1" w:styleId="198">
    <w:name w:val="批注引用1"/>
    <w:uiPriority w:val="0"/>
    <w:rPr>
      <w:sz w:val="21"/>
      <w:szCs w:val="21"/>
    </w:rPr>
  </w:style>
  <w:style w:type="character" w:customStyle="1" w:styleId="199">
    <w:name w:val="ep-more-entry"/>
    <w:basedOn w:val="27"/>
    <w:qFormat/>
    <w:uiPriority w:val="0"/>
  </w:style>
  <w:style w:type="character" w:customStyle="1" w:styleId="200">
    <w:name w:val="题注 字符"/>
    <w:link w:val="10"/>
    <w:qFormat/>
    <w:uiPriority w:val="0"/>
    <w:rPr>
      <w:rFonts w:ascii="Calibri Light" w:hAnsi="Calibri Light"/>
      <w:kern w:val="2"/>
      <w:sz w:val="21"/>
    </w:rPr>
  </w:style>
  <w:style w:type="character" w:customStyle="1" w:styleId="201">
    <w:name w:val="占位符文本1"/>
    <w:qFormat/>
    <w:uiPriority w:val="0"/>
    <w:rPr>
      <w:color w:val="808080"/>
    </w:rPr>
  </w:style>
  <w:style w:type="character" w:customStyle="1" w:styleId="202">
    <w:name w:val="样式2本次 字符"/>
    <w:link w:val="45"/>
    <w:qFormat/>
    <w:uiPriority w:val="0"/>
    <w:rPr>
      <w:rFonts w:eastAsia="楷体_GB2312"/>
      <w:color w:val="000000"/>
      <w:kern w:val="2"/>
      <w:sz w:val="32"/>
      <w:szCs w:val="32"/>
    </w:rPr>
  </w:style>
  <w:style w:type="character" w:customStyle="1" w:styleId="203">
    <w:name w:val="2级标题 字符"/>
    <w:link w:val="46"/>
    <w:qFormat/>
    <w:uiPriority w:val="0"/>
    <w:rPr>
      <w:rFonts w:eastAsia="楷体_GB2312"/>
      <w:color w:val="000000"/>
      <w:kern w:val="2"/>
      <w:sz w:val="32"/>
      <w:szCs w:val="32"/>
    </w:rPr>
  </w:style>
  <w:style w:type="character" w:customStyle="1" w:styleId="204">
    <w:name w:val="count"/>
    <w:basedOn w:val="27"/>
    <w:uiPriority w:val="0"/>
  </w:style>
  <w:style w:type="character" w:customStyle="1" w:styleId="205">
    <w:name w:val="editor"/>
    <w:basedOn w:val="27"/>
    <w:uiPriority w:val="0"/>
  </w:style>
  <w:style w:type="character" w:customStyle="1" w:styleId="206">
    <w:name w:val="n-nav-bottom-copyright"/>
    <w:basedOn w:val="27"/>
    <w:qFormat/>
    <w:uiPriority w:val="0"/>
  </w:style>
  <w:style w:type="character" w:customStyle="1" w:styleId="207">
    <w:name w:val="clgray"/>
    <w:basedOn w:val="27"/>
    <w:qFormat/>
    <w:uiPriority w:val="0"/>
  </w:style>
  <w:style w:type="character" w:customStyle="1" w:styleId="208">
    <w:name w:val="tie-time"/>
    <w:basedOn w:val="27"/>
    <w:qFormat/>
    <w:uiPriority w:val="0"/>
  </w:style>
  <w:style w:type="character" w:customStyle="1" w:styleId="209">
    <w:name w:val="图标 Char Char"/>
    <w:link w:val="47"/>
    <w:qFormat/>
    <w:uiPriority w:val="0"/>
    <w:rPr>
      <w:rFonts w:ascii="Times New Roman" w:hAnsi="Times New Roman"/>
      <w:sz w:val="28"/>
    </w:rPr>
  </w:style>
  <w:style w:type="character" w:customStyle="1" w:styleId="210">
    <w:name w:val="tag"/>
    <w:basedOn w:val="27"/>
    <w:qFormat/>
    <w:uiPriority w:val="0"/>
  </w:style>
  <w:style w:type="character" w:customStyle="1" w:styleId="211">
    <w:name w:val="del-one"/>
    <w:basedOn w:val="27"/>
    <w:uiPriority w:val="0"/>
  </w:style>
  <w:style w:type="character" w:customStyle="1" w:styleId="212">
    <w:name w:val="name-ip"/>
    <w:basedOn w:val="27"/>
    <w:uiPriority w:val="0"/>
  </w:style>
  <w:style w:type="character" w:customStyle="1" w:styleId="213">
    <w:name w:val="tiyi1"/>
    <w:basedOn w:val="27"/>
    <w:uiPriority w:val="0"/>
  </w:style>
  <w:style w:type="character" w:customStyle="1" w:styleId="214">
    <w:name w:val="标题 字符"/>
    <w:link w:val="23"/>
    <w:qFormat/>
    <w:uiPriority w:val="0"/>
    <w:rPr>
      <w:rFonts w:ascii="Calibri Light" w:hAnsi="Calibri Light" w:cs="黑体"/>
      <w:b/>
      <w:bCs/>
      <w:kern w:val="2"/>
      <w:sz w:val="32"/>
      <w:szCs w:val="32"/>
    </w:rPr>
  </w:style>
  <w:style w:type="character" w:customStyle="1" w:styleId="215">
    <w:name w:val="引用 Char"/>
    <w:link w:val="48"/>
    <w:qFormat/>
    <w:uiPriority w:val="0"/>
    <w:rPr>
      <w:rFonts w:ascii="Times New Roman" w:hAnsi="Times New Roman" w:eastAsia="仿宋_GB2312"/>
      <w:iCs/>
      <w:color w:val="000000"/>
      <w:sz w:val="28"/>
    </w:rPr>
  </w:style>
  <w:style w:type="character" w:customStyle="1" w:styleId="216">
    <w:name w:val="样式3.序号 Char Char"/>
    <w:link w:val="49"/>
    <w:qFormat/>
    <w:uiPriority w:val="0"/>
    <w:rPr>
      <w:rFonts w:ascii="Times New Roman" w:hAnsi="Times New Roman" w:eastAsia="宋体" w:cs="Times New Roman"/>
      <w:b/>
      <w:bCs/>
      <w:kern w:val="0"/>
      <w:sz w:val="28"/>
      <w:szCs w:val="28"/>
    </w:rPr>
  </w:style>
  <w:style w:type="character" w:customStyle="1" w:styleId="217">
    <w:name w:val="ep-editor"/>
    <w:basedOn w:val="27"/>
    <w:qFormat/>
    <w:uiPriority w:val="0"/>
  </w:style>
  <w:style w:type="character" w:customStyle="1" w:styleId="218">
    <w:name w:val="post_recommend_tie_text"/>
    <w:basedOn w:val="27"/>
    <w:qFormat/>
    <w:uiPriority w:val="0"/>
  </w:style>
  <w:style w:type="character" w:customStyle="1" w:styleId="219">
    <w:name w:val="图题 Char Char"/>
    <w:link w:val="50"/>
    <w:uiPriority w:val="0"/>
    <w:rPr>
      <w:rFonts w:ascii="Times New Roman" w:hAnsi="Times New Roman" w:cs="Times New Roman"/>
      <w:color w:val="000000"/>
      <w:kern w:val="0"/>
      <w:sz w:val="24"/>
      <w:szCs w:val="28"/>
    </w:rPr>
  </w:style>
  <w:style w:type="character" w:customStyle="1" w:styleId="220">
    <w:name w:val="批注引用2"/>
    <w:uiPriority w:val="0"/>
    <w:rPr>
      <w:sz w:val="21"/>
      <w:szCs w:val="21"/>
    </w:rPr>
  </w:style>
  <w:style w:type="character" w:customStyle="1" w:styleId="221">
    <w:name w:val="blank20"/>
    <w:basedOn w:val="27"/>
    <w:uiPriority w:val="0"/>
  </w:style>
  <w:style w:type="character" w:customStyle="1" w:styleId="222">
    <w:name w:val="post_recommend_tie_icon"/>
    <w:basedOn w:val="27"/>
    <w:qFormat/>
    <w:uiPriority w:val="0"/>
  </w:style>
  <w:style w:type="character" w:customStyle="1" w:styleId="223">
    <w:name w:val="页眉 Char1"/>
    <w:qFormat/>
    <w:uiPriority w:val="0"/>
    <w:rPr>
      <w:rFonts w:ascii="Times New Roman" w:hAnsi="Times New Roman" w:eastAsia="宋体" w:cs="Times New Roman"/>
      <w:sz w:val="18"/>
      <w:szCs w:val="18"/>
    </w:rPr>
  </w:style>
  <w:style w:type="character" w:customStyle="1" w:styleId="224">
    <w:name w:val="样式3本次 字符"/>
    <w:link w:val="51"/>
    <w:qFormat/>
    <w:uiPriority w:val="0"/>
    <w:rPr>
      <w:rFonts w:eastAsia="仿宋_GB2312"/>
      <w:b/>
      <w:bCs/>
      <w:color w:val="000000"/>
      <w:kern w:val="2"/>
      <w:sz w:val="32"/>
      <w:szCs w:val="32"/>
    </w:rPr>
  </w:style>
  <w:style w:type="character" w:customStyle="1" w:styleId="225">
    <w:name w:val="标题1"/>
    <w:basedOn w:val="27"/>
    <w:qFormat/>
    <w:uiPriority w:val="0"/>
  </w:style>
  <w:style w:type="character" w:customStyle="1" w:styleId="226">
    <w:name w:val="n-nav-bottom-copyright-icon"/>
    <w:basedOn w:val="27"/>
    <w:qFormat/>
    <w:uiPriority w:val="0"/>
  </w:style>
  <w:style w:type="character" w:customStyle="1" w:styleId="227">
    <w:name w:val="boboicon"/>
    <w:basedOn w:val="27"/>
    <w:qFormat/>
    <w:uiPriority w:val="0"/>
  </w:style>
  <w:style w:type="character" w:customStyle="1" w:styleId="228">
    <w:name w:val="表格 Char Char"/>
    <w:link w:val="52"/>
    <w:uiPriority w:val="0"/>
    <w:rPr>
      <w:rFonts w:ascii="Times New Roman" w:hAnsi="Times New Roman" w:eastAsia="宋体" w:cs="Times New Roman"/>
      <w:sz w:val="24"/>
      <w:szCs w:val="24"/>
    </w:rPr>
  </w:style>
  <w:style w:type="character" w:customStyle="1" w:styleId="229">
    <w:name w:val="列出段落 Char"/>
    <w:link w:val="53"/>
    <w:uiPriority w:val="0"/>
    <w:rPr>
      <w:rFonts w:ascii="Times New Roman" w:hAnsi="Times New Roman" w:eastAsia="宋体" w:cs="Times New Roman"/>
      <w:sz w:val="28"/>
      <w:szCs w:val="24"/>
    </w:rPr>
  </w:style>
  <w:style w:type="character" w:customStyle="1" w:styleId="230">
    <w:name w:val="表题 Char Char"/>
    <w:link w:val="54"/>
    <w:qFormat/>
    <w:uiPriority w:val="0"/>
    <w:rPr>
      <w:rFonts w:ascii="Times New Roman" w:hAnsi="Times New Roman"/>
      <w:sz w:val="24"/>
    </w:rPr>
  </w:style>
  <w:style w:type="character" w:customStyle="1" w:styleId="231">
    <w:name w:val="图片 Char Char"/>
    <w:link w:val="55"/>
    <w:qFormat/>
    <w:uiPriority w:val="0"/>
    <w:rPr>
      <w:rFonts w:ascii="Times New Roman" w:hAnsi="Times New Roman" w:eastAsia="宋体" w:cs="Times New Roman"/>
      <w:sz w:val="28"/>
      <w:szCs w:val="24"/>
    </w:rPr>
  </w:style>
  <w:style w:type="character" w:customStyle="1" w:styleId="232">
    <w:name w:val="页脚 字符"/>
    <w:link w:val="16"/>
    <w:qFormat/>
    <w:uiPriority w:val="99"/>
    <w:rPr>
      <w:rFonts w:ascii="Times New Roman" w:hAnsi="Times New Roman" w:eastAsia="宋体" w:cs="Times New Roman"/>
      <w:sz w:val="18"/>
      <w:szCs w:val="18"/>
    </w:rPr>
  </w:style>
  <w:style w:type="character" w:customStyle="1" w:styleId="233">
    <w:name w:val="我的图表和题注 Char Char"/>
    <w:link w:val="56"/>
    <w:qFormat/>
    <w:uiPriority w:val="0"/>
    <w:rPr>
      <w:rFonts w:ascii="Times New Roman" w:hAnsi="宋体" w:eastAsia="宋体" w:cs="Times New Roman"/>
      <w:szCs w:val="30"/>
    </w:rPr>
  </w:style>
  <w:style w:type="character" w:customStyle="1" w:styleId="234">
    <w:name w:val="正文文本缩进 Char"/>
    <w:link w:val="57"/>
    <w:qFormat/>
    <w:uiPriority w:val="0"/>
    <w:rPr>
      <w:rFonts w:ascii="Times New Roman" w:hAnsi="Times New Roman" w:eastAsia="楷体_GB2312"/>
      <w:sz w:val="32"/>
    </w:rPr>
  </w:style>
  <w:style w:type="character" w:customStyle="1" w:styleId="235">
    <w:name w:val="文档结构图 Char"/>
    <w:link w:val="58"/>
    <w:qFormat/>
    <w:uiPriority w:val="0"/>
    <w:rPr>
      <w:rFonts w:ascii="Times New Roman" w:hAnsi="Times New Roman" w:eastAsia="宋体" w:cs="Times New Roman"/>
      <w:szCs w:val="24"/>
      <w:shd w:val="clear" w:color="auto" w:fill="000080"/>
    </w:rPr>
  </w:style>
  <w:style w:type="character" w:customStyle="1" w:styleId="236">
    <w:name w:val="日期 Char"/>
    <w:basedOn w:val="27"/>
    <w:link w:val="59"/>
    <w:uiPriority w:val="0"/>
  </w:style>
  <w:style w:type="character" w:customStyle="1" w:styleId="237">
    <w:name w:val="页眉 Char"/>
    <w:link w:val="60"/>
    <w:uiPriority w:val="0"/>
    <w:rPr>
      <w:rFonts w:ascii="Times New Roman" w:hAnsi="Times New Roman" w:eastAsia="宋体" w:cs="Times New Roman"/>
      <w:sz w:val="18"/>
      <w:szCs w:val="18"/>
    </w:rPr>
  </w:style>
  <w:style w:type="character" w:customStyle="1" w:styleId="238">
    <w:name w:val="表格 Char"/>
    <w:qFormat/>
    <w:uiPriority w:val="0"/>
    <w:rPr>
      <w:rFonts w:ascii="Times New Roman" w:hAnsi="Times New Roman" w:eastAsia="仿宋_GB2312" w:cs="Times New Roman"/>
      <w:sz w:val="24"/>
      <w:szCs w:val="24"/>
    </w:rPr>
  </w:style>
  <w:style w:type="character" w:customStyle="1" w:styleId="239">
    <w:name w:val="批注主题 字符"/>
    <w:link w:val="24"/>
    <w:semiHidden/>
    <w:qFormat/>
    <w:uiPriority w:val="99"/>
    <w:rPr>
      <w:rFonts w:ascii="Times New Roman" w:hAnsi="Times New Roman" w:eastAsia="宋体" w:cs="Times New Roman"/>
      <w:b/>
      <w:bCs/>
      <w:kern w:val="2"/>
      <w:sz w:val="28"/>
      <w:szCs w:val="24"/>
    </w:rPr>
  </w:style>
  <w:style w:type="table" w:customStyle="1" w:styleId="240">
    <w:name w:val="网格型浅色1"/>
    <w:basedOn w:val="25"/>
    <w:qFormat/>
    <w:uiPriority w:val="40"/>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53</Pages>
  <Words>4647</Words>
  <Characters>26494</Characters>
  <Lines>220</Lines>
  <Paragraphs>62</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2021-07-09T06:23:00Z</dcterms:created>
  <dc:creator>王一钧</dc:creator>
  <cp:lastModifiedBy>lenovo</cp:lastModifiedBy>
  <cp:lastPrinted>2021-06-02T08:06:00Z</cp:lastPrinted>
  <dcterms:modified xsi:type="dcterms:W3CDTF">2021-07-09T09:22:51Z</dcterms:modified>
  <dc:title>丁丽</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2052-11.8.2.8506</vt:lpwstr>
  </property>
  <property fmtid="{D5CDD505-2E9C-101B-9397-08002B2CF9AE}" pid="4" name="ICV">
    <vt:lpwstr>212499B5015649DD9415F6C6E5533468</vt:lpwstr>
  </property>
</Properties>
</file>