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2C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附件1</w:t>
      </w:r>
    </w:p>
    <w:p w14:paraId="7ACA97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6A05F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河源市按病种分值付费（DIP）医院系数</w:t>
      </w:r>
    </w:p>
    <w:p w14:paraId="184378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设定方案</w:t>
      </w:r>
    </w:p>
    <w:p w14:paraId="00CEC2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17E4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一、定点医疗机构系数由基本权重系数和加成权重系数组成。</w:t>
      </w:r>
    </w:p>
    <w:p w14:paraId="4BA46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定点医疗机构系数=基本系数×（1+加成系数）</w:t>
      </w:r>
    </w:p>
    <w:p w14:paraId="3BA0E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二、基本权重系数</w:t>
      </w:r>
    </w:p>
    <w:p w14:paraId="38642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2021年基本权重系数按照2020年按病种分值付费结算系数确定。</w:t>
      </w:r>
    </w:p>
    <w:p w14:paraId="2A78BC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b/>
          <w:bCs/>
          <w:sz w:val="32"/>
          <w:szCs w:val="32"/>
          <w:highlight w:val="yellow"/>
        </w:rPr>
        <w:t>划线部分修改为：</w:t>
      </w:r>
      <w:r>
        <w:rPr>
          <w:rFonts w:hint="eastAsia" w:ascii="仿宋" w:hAnsi="仿宋" w:eastAsia="仿宋" w:cs="仿宋"/>
          <w:sz w:val="32"/>
          <w:szCs w:val="32"/>
          <w:highlight w:val="yellow"/>
        </w:rPr>
        <w:t>基本权重系数按定点医疗机构在清算年度1月1日时的医院级别确定，未纳入DIP付费清算的定点医疗机构不设基本权重系数。三级定点医疗机构基本权重系数为1；二级甲等定点医疗机构基本权重系数为0.92，二级甲等未复评定点医疗机构基本权重系数为0.89，其他二级定点医疗机构基本权重系数为0.83；</w:t>
      </w:r>
      <w:r>
        <w:rPr>
          <w:rFonts w:hint="eastAsia" w:ascii="仿宋" w:hAnsi="仿宋" w:eastAsia="仿宋" w:cs="仿宋"/>
          <w:sz w:val="32"/>
          <w:szCs w:val="32"/>
          <w:highlight w:val="yellow"/>
          <w:lang w:val="en-US" w:eastAsia="zh-CN"/>
        </w:rPr>
        <w:t>中心</w:t>
      </w:r>
      <w:r>
        <w:rPr>
          <w:rFonts w:hint="eastAsia" w:ascii="仿宋" w:hAnsi="仿宋" w:eastAsia="仿宋" w:cs="仿宋"/>
          <w:sz w:val="32"/>
          <w:szCs w:val="32"/>
          <w:highlight w:val="yellow"/>
        </w:rPr>
        <w:t>卫生院基本权重系数为0.7，一级</w:t>
      </w:r>
      <w:r>
        <w:rPr>
          <w:rFonts w:hint="eastAsia" w:ascii="仿宋" w:hAnsi="仿宋" w:eastAsia="仿宋" w:cs="仿宋"/>
          <w:sz w:val="32"/>
          <w:szCs w:val="32"/>
          <w:highlight w:val="yellow"/>
          <w:lang w:val="en-US" w:eastAsia="zh-CN"/>
        </w:rPr>
        <w:t>医疗机构（含普通卫生院、社区卫生服务中心）</w:t>
      </w:r>
      <w:r>
        <w:rPr>
          <w:rFonts w:hint="eastAsia" w:ascii="仿宋" w:hAnsi="仿宋" w:eastAsia="仿宋" w:cs="仿宋"/>
          <w:sz w:val="32"/>
          <w:szCs w:val="32"/>
          <w:highlight w:val="yellow"/>
        </w:rPr>
        <w:t>基本权重系数为0.6。</w:t>
      </w:r>
      <w:r>
        <w:rPr>
          <w:rFonts w:hint="eastAsia" w:ascii="仿宋" w:hAnsi="仿宋" w:eastAsia="仿宋" w:cs="仿宋"/>
          <w:sz w:val="32"/>
          <w:szCs w:val="32"/>
          <w:highlight w:val="yellow"/>
          <w:lang w:val="en-US" w:eastAsia="zh-CN"/>
        </w:rPr>
        <w:t>未定等级的眼科医疗机构的基本权重系数按0.7执行。</w:t>
      </w:r>
    </w:p>
    <w:p w14:paraId="03051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yellow"/>
        </w:rPr>
        <w:t>医院等级以当年度医保协议签订的级别为准，中期因级别和等级变更重新签订医保协议的，按新协议签订后的结算病例按变更后系数确定。</w:t>
      </w:r>
    </w:p>
    <w:p w14:paraId="63D7FD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三、加成权重系数由CMI加成系数、老年患者比例加成系 数、儿科患者比例加成系数、医院技术水平加成系数、广东省高水平医院加成系数和县域住院率加成系数组成。</w:t>
      </w:r>
    </w:p>
    <w:p w14:paraId="037B41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（一）CMI加成系数</w:t>
      </w:r>
    </w:p>
    <w:p w14:paraId="65E95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定点医院CMI值大于各定点医院CMI平均值的，每超出平 均值10%的三级、二级和一级定点医疗机构分别加成2%、1.8% 和1.6%,最高加成5%。总病例数未达全市0.5%及核心病种数未达100种的不进行加成。</w:t>
      </w:r>
    </w:p>
    <w:p w14:paraId="7ED2F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计算公式为：</w:t>
      </w:r>
    </w:p>
    <w:p w14:paraId="545F5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某定点医院CMI值=该院所有出院病例总分值÷该院出院总例数÷1000。</w:t>
      </w:r>
    </w:p>
    <w:p w14:paraId="285A4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（二）老年患者比例加成系数</w:t>
      </w:r>
    </w:p>
    <w:p w14:paraId="657AC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定点医院老年患者 (65岁以上)住院结算人次占比大于等于全市平均值，且本院老年患者住院结算人次占总住院人次比例低于50%的，每超出平均值10%三级、二级和一级定点医疗机构分别加成1%、0.8%和 0.6%，最高加成 5%。康复医院、眼科医院不计算老年患者比例加成系数。老年病例总病例数未达全市1%的不进行加成。</w:t>
      </w:r>
    </w:p>
    <w:p w14:paraId="183CD0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yellow"/>
        </w:rPr>
      </w:pPr>
      <w:r>
        <w:rPr>
          <w:rFonts w:hint="eastAsia" w:ascii="仿宋" w:hAnsi="仿宋" w:eastAsia="仿宋" w:cs="仿宋"/>
          <w:b/>
          <w:bCs/>
          <w:sz w:val="32"/>
          <w:szCs w:val="32"/>
          <w:highlight w:val="yellow"/>
        </w:rPr>
        <w:t>划线部分修改为：</w:t>
      </w:r>
      <w:r>
        <w:rPr>
          <w:rFonts w:hint="eastAsia" w:ascii="仿宋" w:hAnsi="仿宋" w:eastAsia="仿宋" w:cs="仿宋"/>
          <w:sz w:val="32"/>
          <w:szCs w:val="32"/>
          <w:highlight w:val="yellow"/>
        </w:rPr>
        <w:t>以当年度全市65岁以上的病例占比为基准，将各医疗机构65岁以上的病例占比与基准进行比较，每超出平均值10%三级、二级和一级定点医疗机构分别加成0.8%、0.64%和0.48%，最高加成3%。康复医院、眼科医院不计算老年患者比例加成系数。老年病例总病例数未达全市1%的不进行加成。</w:t>
      </w:r>
    </w:p>
    <w:p w14:paraId="063AB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（三）儿科患者比例加成系数</w:t>
      </w:r>
    </w:p>
    <w:p w14:paraId="3FD016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定点医疗机构18岁以下儿童住院人次占比大于全市平均水平时，每超出平均值10%三级、二级和一级定点医疗机构分别加成1%、0.8%和0.6%,最高加成5%。康复医院、眼科医院不计算儿童患者比例加成系数。儿童病例总病例数未达全市1%的不进行加成。</w:t>
      </w:r>
    </w:p>
    <w:p w14:paraId="5F676A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yellow"/>
        </w:rPr>
      </w:pPr>
      <w:r>
        <w:rPr>
          <w:rFonts w:hint="eastAsia" w:ascii="仿宋" w:hAnsi="仿宋" w:eastAsia="仿宋" w:cs="仿宋"/>
          <w:b/>
          <w:bCs/>
          <w:sz w:val="32"/>
          <w:szCs w:val="32"/>
          <w:highlight w:val="yellow"/>
        </w:rPr>
        <w:t>划线部分修改为：</w:t>
      </w:r>
      <w:r>
        <w:rPr>
          <w:rFonts w:hint="eastAsia" w:ascii="仿宋" w:hAnsi="仿宋" w:eastAsia="仿宋" w:cs="仿宋"/>
          <w:sz w:val="32"/>
          <w:szCs w:val="32"/>
          <w:highlight w:val="yellow"/>
        </w:rPr>
        <w:t>以当年度全市6岁以下的病例占比为基准，将各医疗机构6岁以下的病例占比与基准进行比较，每超出平均值10%三级、二级和一级定点医疗机构分别加成0.8%、0.64%和0.48%,最高加成3%。康复医院、眼科医院不计算儿童患者比例加成系数。儿童病例总病例数未达全市1%的不进行加成。</w:t>
      </w:r>
    </w:p>
    <w:p w14:paraId="0F6343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（四）医院技术水平加成系数</w:t>
      </w:r>
    </w:p>
    <w:p w14:paraId="4A5F4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定点医疗机构具有国家或省级重点专科、区域诊疗中心、 医疗技术牵头单位、开展各级科研项目及医院等级评审等条 件可申请医院技术水平加成系数。具体加成系数详见《医院技</w:t>
      </w:r>
    </w:p>
    <w:p w14:paraId="424ECF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术水平加成系数明细表》（附录1）。</w:t>
      </w:r>
    </w:p>
    <w:p w14:paraId="19443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（五）广东省高水平医院加成系数</w:t>
      </w:r>
    </w:p>
    <w:p w14:paraId="73F0C6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属于广东省高水平医院的定点医疗机构加成1.3%。</w:t>
      </w:r>
    </w:p>
    <w:p w14:paraId="3DE7D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（六）县域住院率加成系数</w:t>
      </w:r>
    </w:p>
    <w:p w14:paraId="0A753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上年度县域住院率达到90%以上的县区总体加成1%,各定</w:t>
      </w:r>
    </w:p>
    <w:p w14:paraId="49AF4F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点医疗机构按县域内住院人次占比从1%中计算该加权系数。</w:t>
      </w:r>
    </w:p>
    <w:p w14:paraId="1F1D94F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yellow"/>
        </w:rPr>
      </w:pPr>
      <w:r>
        <w:rPr>
          <w:rFonts w:hint="eastAsia" w:ascii="仿宋" w:hAnsi="仿宋" w:eastAsia="仿宋" w:cs="仿宋"/>
          <w:b/>
          <w:bCs/>
          <w:sz w:val="32"/>
          <w:szCs w:val="32"/>
          <w:highlight w:val="yellow"/>
        </w:rPr>
        <w:t>划线部分修改为：</w:t>
      </w:r>
      <w:r>
        <w:rPr>
          <w:rFonts w:hint="eastAsia" w:ascii="仿宋" w:hAnsi="仿宋" w:eastAsia="仿宋" w:cs="仿宋"/>
          <w:sz w:val="32"/>
          <w:szCs w:val="32"/>
          <w:highlight w:val="yellow"/>
        </w:rPr>
        <w:t>上年度县域住院率到90%以上的县区总体加成1%，按照</w:t>
      </w:r>
      <w:r>
        <w:rPr>
          <w:rFonts w:hint="eastAsia" w:ascii="仿宋" w:hAnsi="仿宋" w:eastAsia="仿宋" w:cs="仿宋"/>
          <w:sz w:val="32"/>
          <w:szCs w:val="32"/>
          <w:highlight w:val="yellow"/>
          <w:lang w:val="en-US" w:eastAsia="zh-CN"/>
        </w:rPr>
        <w:t>县内住院人次</w:t>
      </w:r>
      <w:r>
        <w:rPr>
          <w:rFonts w:hint="eastAsia" w:ascii="仿宋" w:hAnsi="仿宋" w:eastAsia="仿宋" w:cs="仿宋"/>
          <w:sz w:val="32"/>
          <w:szCs w:val="32"/>
          <w:highlight w:val="yellow"/>
        </w:rPr>
        <w:t>前三的医疗机构住院人次占比进行分配。</w:t>
      </w:r>
    </w:p>
    <w:p w14:paraId="135AC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四、加成权重系数中的确定方法</w:t>
      </w:r>
    </w:p>
    <w:p w14:paraId="73826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（一）医院技术水平加成系数由各定点医疗机构对照《医 院技术水平加成系数明细表》，准备申请资料并提交向辖区医保中心，由各医保中心汇总后交由市医疗保障局组织专家进行确定。</w:t>
      </w:r>
    </w:p>
    <w:p w14:paraId="0D4E4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（二）CMI、老年患者比例及儿科患者比例加成系数由当年度的数据计算得出。</w:t>
      </w:r>
    </w:p>
    <w:p w14:paraId="45EF3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（三）县域住院率按上年度实际数据计算，有关数据以市</w:t>
      </w:r>
    </w:p>
    <w:p w14:paraId="5CE356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卫健局统计的为准。</w:t>
      </w:r>
    </w:p>
    <w:p w14:paraId="1C6F4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五、加成系数相加有不超过10%。</w:t>
      </w:r>
    </w:p>
    <w:p w14:paraId="7B0456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14:paraId="1A1BC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w:t>
      </w: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.医院技术水平加成系数明细表</w:t>
      </w:r>
    </w:p>
    <w:p w14:paraId="62A769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医院技术水平加成系数申请表</w:t>
      </w:r>
    </w:p>
    <w:p w14:paraId="5C28F7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63244E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26364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3404A0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65230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05E83E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14:paraId="7B50B4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附录1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0"/>
        <w:gridCol w:w="1097"/>
        <w:gridCol w:w="1639"/>
        <w:gridCol w:w="5100"/>
        <w:gridCol w:w="5018"/>
      </w:tblGrid>
      <w:tr w14:paraId="73B6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nil"/>
              <w:left w:val="nil"/>
              <w:bottom w:val="nil"/>
              <w:right w:val="nil"/>
            </w:tcBorders>
            <w:shd w:val="clear" w:color="auto" w:fill="auto"/>
            <w:noWrap/>
            <w:vAlign w:val="center"/>
          </w:tcPr>
          <w:p w14:paraId="7C33F3D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医院技术水平加成系数明细表</w:t>
            </w:r>
          </w:p>
        </w:tc>
      </w:tr>
      <w:tr w14:paraId="5F90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BA1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Style w:val="8"/>
                <w:sz w:val="24"/>
                <w:szCs w:val="24"/>
                <w:lang w:val="en-US" w:eastAsia="zh-CN" w:bidi="ar"/>
              </w:rPr>
              <w:t>加成项目</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E0F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8"/>
                <w:sz w:val="24"/>
                <w:szCs w:val="24"/>
                <w:lang w:val="en-US" w:eastAsia="zh-CN" w:bidi="ar"/>
              </w:rPr>
              <w:t>级别</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FB4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8"/>
                <w:sz w:val="24"/>
                <w:szCs w:val="24"/>
                <w:lang w:val="en-US" w:eastAsia="zh-CN" w:bidi="ar"/>
              </w:rPr>
              <w:t>医院类型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FBA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8"/>
                <w:sz w:val="24"/>
                <w:szCs w:val="24"/>
                <w:lang w:val="en-US" w:eastAsia="zh-CN" w:bidi="ar"/>
              </w:rPr>
              <w:t>加成方法</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644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加成要求</w:t>
            </w:r>
          </w:p>
        </w:tc>
      </w:tr>
      <w:tr w14:paraId="739B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A0520">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Style w:val="9"/>
                <w:sz w:val="22"/>
                <w:szCs w:val="22"/>
                <w:lang w:val="en-US" w:eastAsia="zh-CN" w:bidi="ar"/>
              </w:rPr>
              <w:t>重点专科</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4F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国家级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B2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三级</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A4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重点专科每个加成2%；特色专科每个加成0.9%。</w:t>
            </w:r>
          </w:p>
        </w:tc>
        <w:tc>
          <w:tcPr>
            <w:tcW w:w="1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DE90B">
            <w:pPr>
              <w:keepNext w:val="0"/>
              <w:keepLines w:val="0"/>
              <w:widowControl/>
              <w:suppressLineNumbers w:val="0"/>
              <w:jc w:val="left"/>
              <w:textAlignment w:val="center"/>
              <w:rPr>
                <w:rFonts w:hint="eastAsia" w:ascii="仿宋" w:hAnsi="仿宋" w:eastAsia="仿宋" w:cs="仿宋"/>
                <w:i w:val="0"/>
                <w:iCs w:val="0"/>
                <w:color w:val="000000"/>
                <w:sz w:val="22"/>
                <w:szCs w:val="22"/>
                <w:u w:val="single"/>
              </w:rPr>
            </w:pPr>
            <w:r>
              <w:rPr>
                <w:rFonts w:hint="eastAsia" w:ascii="仿宋" w:hAnsi="仿宋" w:eastAsia="仿宋" w:cs="仿宋"/>
                <w:i w:val="0"/>
                <w:iCs w:val="0"/>
                <w:color w:val="000000"/>
                <w:kern w:val="0"/>
                <w:sz w:val="22"/>
                <w:szCs w:val="22"/>
                <w:u w:val="single"/>
                <w:lang w:val="en-US" w:eastAsia="zh-CN" w:bidi="ar"/>
              </w:rPr>
              <w:t>1.该加成项目包含国家及省级有关部门评定的重点专科及特色专科；</w:t>
            </w:r>
            <w:r>
              <w:rPr>
                <w:rFonts w:hint="eastAsia" w:ascii="仿宋" w:hAnsi="仿宋" w:eastAsia="仿宋" w:cs="仿宋"/>
                <w:i w:val="0"/>
                <w:iCs w:val="0"/>
                <w:color w:val="000000"/>
                <w:kern w:val="0"/>
                <w:sz w:val="22"/>
                <w:szCs w:val="22"/>
                <w:u w:val="single"/>
                <w:lang w:val="en-US" w:eastAsia="zh-CN" w:bidi="ar"/>
              </w:rPr>
              <w:br w:type="textWrapping"/>
            </w:r>
            <w:r>
              <w:rPr>
                <w:rFonts w:hint="eastAsia" w:ascii="仿宋" w:hAnsi="仿宋" w:eastAsia="仿宋" w:cs="仿宋"/>
                <w:i w:val="0"/>
                <w:iCs w:val="0"/>
                <w:color w:val="000000"/>
                <w:kern w:val="0"/>
                <w:sz w:val="22"/>
                <w:szCs w:val="22"/>
                <w:u w:val="single"/>
                <w:lang w:val="en-US" w:eastAsia="zh-CN" w:bidi="ar"/>
              </w:rPr>
              <w:t>2.获批时间或复评时间在2015年至2020年期间的；</w:t>
            </w:r>
            <w:r>
              <w:rPr>
                <w:rFonts w:hint="eastAsia" w:ascii="仿宋" w:hAnsi="仿宋" w:eastAsia="仿宋" w:cs="仿宋"/>
                <w:i w:val="0"/>
                <w:iCs w:val="0"/>
                <w:color w:val="000000"/>
                <w:kern w:val="0"/>
                <w:sz w:val="22"/>
                <w:szCs w:val="22"/>
                <w:u w:val="single"/>
                <w:lang w:val="en-US" w:eastAsia="zh-CN" w:bidi="ar"/>
              </w:rPr>
              <w:br w:type="textWrapping"/>
            </w:r>
            <w:r>
              <w:rPr>
                <w:rFonts w:hint="eastAsia" w:ascii="仿宋" w:hAnsi="仿宋" w:eastAsia="仿宋" w:cs="仿宋"/>
                <w:i w:val="0"/>
                <w:iCs w:val="0"/>
                <w:color w:val="000000"/>
                <w:kern w:val="0"/>
                <w:sz w:val="22"/>
                <w:szCs w:val="22"/>
                <w:u w:val="single"/>
                <w:lang w:val="en-US" w:eastAsia="zh-CN" w:bidi="ar"/>
              </w:rPr>
              <w:t>3.该项目总加成不超过2%。</w:t>
            </w:r>
            <w:r>
              <w:rPr>
                <w:rStyle w:val="9"/>
                <w:sz w:val="22"/>
                <w:szCs w:val="22"/>
                <w:u w:val="single"/>
                <w:lang w:val="en-US" w:eastAsia="zh-CN" w:bidi="ar"/>
              </w:rPr>
              <w:br w:type="textWrapping"/>
            </w:r>
            <w:r>
              <w:rPr>
                <w:rStyle w:val="10"/>
                <w:sz w:val="22"/>
                <w:szCs w:val="22"/>
                <w:highlight w:val="yellow"/>
                <w:u w:val="single"/>
                <w:lang w:val="en-US" w:eastAsia="zh-CN" w:bidi="ar"/>
              </w:rPr>
              <w:t>划线部分修改为：</w:t>
            </w:r>
            <w:r>
              <w:rPr>
                <w:rStyle w:val="10"/>
                <w:sz w:val="22"/>
                <w:szCs w:val="22"/>
                <w:highlight w:val="yellow"/>
                <w:u w:val="single"/>
                <w:lang w:val="en-US" w:eastAsia="zh-CN" w:bidi="ar"/>
              </w:rPr>
              <w:br w:type="textWrapping"/>
            </w:r>
            <w:r>
              <w:rPr>
                <w:rStyle w:val="9"/>
                <w:sz w:val="22"/>
                <w:szCs w:val="22"/>
                <w:highlight w:val="yellow"/>
                <w:u w:val="single"/>
                <w:lang w:val="en-US" w:eastAsia="zh-CN" w:bidi="ar"/>
              </w:rPr>
              <w:t>1.该加成项目包含国家及省级有关部门评定的重点专科及特色专科；</w:t>
            </w:r>
            <w:r>
              <w:rPr>
                <w:rStyle w:val="9"/>
                <w:sz w:val="22"/>
                <w:szCs w:val="22"/>
                <w:highlight w:val="yellow"/>
                <w:u w:val="single"/>
                <w:lang w:val="en-US" w:eastAsia="zh-CN" w:bidi="ar"/>
              </w:rPr>
              <w:br w:type="textWrapping"/>
            </w:r>
            <w:r>
              <w:rPr>
                <w:rStyle w:val="9"/>
                <w:sz w:val="22"/>
                <w:szCs w:val="22"/>
                <w:highlight w:val="yellow"/>
                <w:u w:val="single"/>
                <w:lang w:val="en-US" w:eastAsia="zh-CN" w:bidi="ar"/>
              </w:rPr>
              <w:t>2.获批重点专科和特色专科在有效期内 ；</w:t>
            </w:r>
            <w:r>
              <w:rPr>
                <w:rStyle w:val="9"/>
                <w:sz w:val="22"/>
                <w:szCs w:val="22"/>
                <w:highlight w:val="yellow"/>
                <w:u w:val="single"/>
                <w:lang w:val="en-US" w:eastAsia="zh-CN" w:bidi="ar"/>
              </w:rPr>
              <w:br w:type="textWrapping"/>
            </w:r>
            <w:r>
              <w:rPr>
                <w:rStyle w:val="9"/>
                <w:sz w:val="22"/>
                <w:szCs w:val="22"/>
                <w:highlight w:val="yellow"/>
                <w:u w:val="single"/>
                <w:lang w:val="en-US" w:eastAsia="zh-CN" w:bidi="ar"/>
              </w:rPr>
              <w:t>3.该项目总加成不超过2%。</w:t>
            </w:r>
          </w:p>
        </w:tc>
      </w:tr>
      <w:tr w14:paraId="3D1A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310C">
            <w:pPr>
              <w:jc w:val="center"/>
              <w:rPr>
                <w:rFonts w:hint="eastAsia" w:ascii="仿宋" w:hAnsi="仿宋" w:eastAsia="仿宋" w:cs="仿宋"/>
                <w:i w:val="0"/>
                <w:iCs w:val="0"/>
                <w:color w:val="000000"/>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34C0">
            <w:pPr>
              <w:jc w:val="center"/>
              <w:rPr>
                <w:rFonts w:hint="eastAsia" w:ascii="仿宋" w:hAnsi="仿宋" w:eastAsia="仿宋" w:cs="仿宋"/>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6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二级及以下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83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重点专科每个加成2%；特色专科每个加成1%。</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8D41C">
            <w:pPr>
              <w:jc w:val="left"/>
              <w:rPr>
                <w:rFonts w:hint="eastAsia" w:ascii="仿宋" w:hAnsi="仿宋" w:eastAsia="仿宋" w:cs="仿宋"/>
                <w:i w:val="0"/>
                <w:iCs w:val="0"/>
                <w:color w:val="000000"/>
                <w:sz w:val="22"/>
                <w:szCs w:val="22"/>
                <w:u w:val="single"/>
              </w:rPr>
            </w:pPr>
          </w:p>
        </w:tc>
      </w:tr>
      <w:tr w14:paraId="0C66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BBD3">
            <w:pPr>
              <w:jc w:val="center"/>
              <w:rPr>
                <w:rFonts w:hint="eastAsia" w:ascii="仿宋" w:hAnsi="仿宋" w:eastAsia="仿宋" w:cs="仿宋"/>
                <w:i w:val="0"/>
                <w:iCs w:val="0"/>
                <w:color w:val="000000"/>
                <w:sz w:val="22"/>
                <w:szCs w:val="22"/>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DC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省级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09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三级</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93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重点专科每个加成1%；特色专科每个加成0.8%。</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C2BB6">
            <w:pPr>
              <w:jc w:val="left"/>
              <w:rPr>
                <w:rFonts w:hint="eastAsia" w:ascii="仿宋" w:hAnsi="仿宋" w:eastAsia="仿宋" w:cs="仿宋"/>
                <w:i w:val="0"/>
                <w:iCs w:val="0"/>
                <w:color w:val="000000"/>
                <w:sz w:val="22"/>
                <w:szCs w:val="22"/>
                <w:u w:val="single"/>
              </w:rPr>
            </w:pPr>
          </w:p>
        </w:tc>
      </w:tr>
      <w:tr w14:paraId="4239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BECB">
            <w:pPr>
              <w:jc w:val="center"/>
              <w:rPr>
                <w:rFonts w:hint="eastAsia" w:ascii="仿宋" w:hAnsi="仿宋" w:eastAsia="仿宋" w:cs="仿宋"/>
                <w:i w:val="0"/>
                <w:iCs w:val="0"/>
                <w:color w:val="000000"/>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25A2">
            <w:pPr>
              <w:jc w:val="center"/>
              <w:rPr>
                <w:rFonts w:hint="eastAsia" w:ascii="仿宋" w:hAnsi="仿宋" w:eastAsia="仿宋" w:cs="仿宋"/>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87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二级及以下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17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9"/>
                <w:sz w:val="22"/>
                <w:szCs w:val="22"/>
                <w:lang w:val="en-US" w:eastAsia="zh-CN" w:bidi="ar"/>
              </w:rPr>
              <w:t>重点专科每个加成1.1%；特色专科每个加成0.9%。</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E815">
            <w:pPr>
              <w:jc w:val="left"/>
              <w:rPr>
                <w:rFonts w:hint="eastAsia" w:ascii="仿宋" w:hAnsi="仿宋" w:eastAsia="仿宋" w:cs="仿宋"/>
                <w:i w:val="0"/>
                <w:iCs w:val="0"/>
                <w:color w:val="000000"/>
                <w:sz w:val="22"/>
                <w:szCs w:val="22"/>
                <w:u w:val="single"/>
              </w:rPr>
            </w:pPr>
          </w:p>
        </w:tc>
      </w:tr>
      <w:tr w14:paraId="4ED2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E21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区域诊疗中心</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4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国家级</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9C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所有定点医疗机构</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EB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每个诊疗中心加成1.2%。</w:t>
            </w:r>
          </w:p>
        </w:tc>
        <w:tc>
          <w:tcPr>
            <w:tcW w:w="1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2375D">
            <w:pPr>
              <w:keepNext w:val="0"/>
              <w:keepLines w:val="0"/>
              <w:widowControl/>
              <w:suppressLineNumbers w:val="0"/>
              <w:jc w:val="left"/>
              <w:textAlignment w:val="center"/>
              <w:rPr>
                <w:rFonts w:hint="eastAsia" w:ascii="仿宋" w:hAnsi="仿宋" w:eastAsia="仿宋" w:cs="仿宋"/>
                <w:i w:val="0"/>
                <w:iCs w:val="0"/>
                <w:color w:val="000000"/>
                <w:sz w:val="22"/>
                <w:szCs w:val="22"/>
                <w:u w:val="single"/>
              </w:rPr>
            </w:pPr>
            <w:r>
              <w:rPr>
                <w:rFonts w:hint="eastAsia" w:ascii="仿宋" w:hAnsi="仿宋" w:eastAsia="仿宋" w:cs="仿宋"/>
                <w:i w:val="0"/>
                <w:iCs w:val="0"/>
                <w:color w:val="000000"/>
                <w:kern w:val="0"/>
                <w:sz w:val="22"/>
                <w:szCs w:val="22"/>
                <w:u w:val="single"/>
                <w:lang w:val="en-US" w:eastAsia="zh-CN" w:bidi="ar"/>
              </w:rPr>
              <w:t>1.该加成项目包含但不限于救治中心、质量控制中心及诊断中心等；2.需经有关部门评审认定；3.获批时间或复评时间在2015年至2020年期间的；4.该项目总加成不超过2%。</w:t>
            </w:r>
            <w:r>
              <w:rPr>
                <w:rStyle w:val="11"/>
                <w:sz w:val="22"/>
                <w:szCs w:val="22"/>
                <w:u w:val="single"/>
                <w:lang w:val="en-US" w:eastAsia="zh-CN" w:bidi="ar"/>
              </w:rPr>
              <w:br w:type="textWrapping"/>
            </w:r>
            <w:r>
              <w:rPr>
                <w:rStyle w:val="12"/>
                <w:sz w:val="22"/>
                <w:szCs w:val="22"/>
                <w:highlight w:val="yellow"/>
                <w:u w:val="single"/>
                <w:lang w:val="en-US" w:eastAsia="zh-CN" w:bidi="ar"/>
              </w:rPr>
              <w:t>划线部分修改为：</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1.该加成项目包含胸痛中心、卒中中心、创伤中心、高危孕产妇救治中心、危重新生儿救治中心等；</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2.需经有关部门评审认定；</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3.获批中心在批准的有效期内；</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4.该项目总加成不超过2%。</w:t>
            </w:r>
          </w:p>
        </w:tc>
      </w:tr>
      <w:tr w14:paraId="648E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FB584">
            <w:pPr>
              <w:jc w:val="center"/>
              <w:rPr>
                <w:rFonts w:hint="eastAsia" w:ascii="仿宋" w:hAnsi="仿宋" w:eastAsia="仿宋" w:cs="仿宋"/>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D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省级</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76CD">
            <w:pPr>
              <w:jc w:val="center"/>
              <w:rPr>
                <w:rFonts w:hint="eastAsia" w:ascii="仿宋" w:hAnsi="仿宋" w:eastAsia="仿宋" w:cs="仿宋"/>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08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每个诊疗中心加成1%。</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4B71">
            <w:pPr>
              <w:jc w:val="left"/>
              <w:rPr>
                <w:rFonts w:hint="eastAsia" w:ascii="仿宋" w:hAnsi="仿宋" w:eastAsia="仿宋" w:cs="仿宋"/>
                <w:i w:val="0"/>
                <w:iCs w:val="0"/>
                <w:color w:val="000000"/>
                <w:sz w:val="22"/>
                <w:szCs w:val="22"/>
                <w:u w:val="single"/>
              </w:rPr>
            </w:pPr>
          </w:p>
        </w:tc>
      </w:tr>
      <w:tr w14:paraId="05C8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9521">
            <w:pPr>
              <w:jc w:val="center"/>
              <w:rPr>
                <w:rFonts w:hint="eastAsia" w:ascii="仿宋" w:hAnsi="仿宋" w:eastAsia="仿宋" w:cs="仿宋"/>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DB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市级</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1C17">
            <w:pPr>
              <w:jc w:val="center"/>
              <w:rPr>
                <w:rFonts w:hint="eastAsia" w:ascii="仿宋" w:hAnsi="仿宋" w:eastAsia="仿宋" w:cs="仿宋"/>
                <w:i w:val="0"/>
                <w:iCs w:val="0"/>
                <w:color w:val="000000"/>
                <w:sz w:val="22"/>
                <w:szCs w:val="22"/>
                <w:u w:val="none"/>
              </w:rPr>
            </w:pP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8C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每个诊疗中心加成0.8%。</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E3CB">
            <w:pPr>
              <w:jc w:val="left"/>
              <w:rPr>
                <w:rFonts w:hint="eastAsia" w:ascii="仿宋" w:hAnsi="仿宋" w:eastAsia="仿宋" w:cs="仿宋"/>
                <w:i w:val="0"/>
                <w:iCs w:val="0"/>
                <w:color w:val="000000"/>
                <w:sz w:val="22"/>
                <w:szCs w:val="22"/>
                <w:u w:val="single"/>
              </w:rPr>
            </w:pPr>
          </w:p>
        </w:tc>
      </w:tr>
      <w:tr w14:paraId="5123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0CC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医疗技术牵头单位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B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省级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6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所有定点医疗机构</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12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医学会主委单位每个加成1%,副主委单位每个加成0.8%。</w:t>
            </w:r>
          </w:p>
        </w:tc>
        <w:tc>
          <w:tcPr>
            <w:tcW w:w="17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4B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该项目总加成不超过2%。</w:t>
            </w:r>
          </w:p>
        </w:tc>
      </w:tr>
      <w:tr w14:paraId="74D9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7152">
            <w:pPr>
              <w:jc w:val="center"/>
              <w:rPr>
                <w:rFonts w:hint="eastAsia" w:ascii="仿宋" w:hAnsi="仿宋" w:eastAsia="仿宋" w:cs="仿宋"/>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4D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7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县区级及以下定点医疗机构</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6B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医学会主委单位每个加成0.3%。</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C73">
            <w:pPr>
              <w:jc w:val="left"/>
              <w:rPr>
                <w:rFonts w:hint="eastAsia" w:ascii="仿宋" w:hAnsi="仿宋" w:eastAsia="仿宋" w:cs="仿宋"/>
                <w:i w:val="0"/>
                <w:iCs w:val="0"/>
                <w:color w:val="000000"/>
                <w:sz w:val="22"/>
                <w:szCs w:val="22"/>
                <w:u w:val="none"/>
              </w:rPr>
            </w:pPr>
          </w:p>
        </w:tc>
      </w:tr>
      <w:tr w14:paraId="3C96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9E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科研项目</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46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国家级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A9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所有定点医疗机构</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EB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每个科研项目前3作者加成2.3%。</w:t>
            </w:r>
          </w:p>
        </w:tc>
        <w:tc>
          <w:tcPr>
            <w:tcW w:w="1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F8612">
            <w:pPr>
              <w:keepNext w:val="0"/>
              <w:keepLines w:val="0"/>
              <w:widowControl/>
              <w:suppressLineNumbers w:val="0"/>
              <w:jc w:val="left"/>
              <w:textAlignment w:val="center"/>
              <w:rPr>
                <w:rFonts w:hint="eastAsia" w:ascii="仿宋" w:hAnsi="仿宋" w:eastAsia="仿宋" w:cs="仿宋"/>
                <w:i w:val="0"/>
                <w:iCs w:val="0"/>
                <w:color w:val="000000"/>
                <w:sz w:val="22"/>
                <w:szCs w:val="22"/>
                <w:u w:val="single"/>
              </w:rPr>
            </w:pPr>
            <w:r>
              <w:rPr>
                <w:rFonts w:hint="eastAsia" w:ascii="仿宋" w:hAnsi="仿宋" w:eastAsia="仿宋" w:cs="仿宋"/>
                <w:i w:val="0"/>
                <w:iCs w:val="0"/>
                <w:color w:val="000000"/>
                <w:kern w:val="0"/>
                <w:sz w:val="22"/>
                <w:szCs w:val="22"/>
                <w:u w:val="single"/>
                <w:lang w:val="en-US" w:eastAsia="zh-CN" w:bidi="ar"/>
              </w:rPr>
              <w:t>1.该加成项目包含2020年立项、结题及在科研期间的科研项目;2.科研项目总加成不超过2%，有国家级科研项目的总加成限制提升至不超过2.3%。</w:t>
            </w:r>
            <w:r>
              <w:rPr>
                <w:rStyle w:val="11"/>
                <w:sz w:val="22"/>
                <w:szCs w:val="22"/>
                <w:u w:val="single"/>
                <w:lang w:val="en-US" w:eastAsia="zh-CN" w:bidi="ar"/>
              </w:rPr>
              <w:br w:type="textWrapping"/>
            </w:r>
            <w:r>
              <w:rPr>
                <w:rStyle w:val="12"/>
                <w:sz w:val="22"/>
                <w:szCs w:val="22"/>
                <w:highlight w:val="yellow"/>
                <w:u w:val="single"/>
                <w:lang w:val="en-US" w:eastAsia="zh-CN" w:bidi="ar"/>
              </w:rPr>
              <w:t>划线部分修改为：</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1.该加成项目指的是在结算年度当年度立项的科研项目；</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2.科研项目总加成不超过2%,有国家级科研项目的总加成限制提升至不超过2.3%。</w:t>
            </w:r>
          </w:p>
        </w:tc>
      </w:tr>
      <w:tr w14:paraId="45A1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A5D4">
            <w:pPr>
              <w:jc w:val="center"/>
              <w:rPr>
                <w:rFonts w:hint="eastAsia" w:ascii="仿宋" w:hAnsi="仿宋" w:eastAsia="仿宋" w:cs="仿宋"/>
                <w:i w:val="0"/>
                <w:iCs w:val="0"/>
                <w:color w:val="000000"/>
                <w:sz w:val="22"/>
                <w:szCs w:val="22"/>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3A3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省级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2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58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每个科研项目第1作者加成1%。</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D98B">
            <w:pPr>
              <w:jc w:val="left"/>
              <w:rPr>
                <w:rFonts w:hint="eastAsia" w:ascii="仿宋" w:hAnsi="仿宋" w:eastAsia="仿宋" w:cs="仿宋"/>
                <w:i w:val="0"/>
                <w:iCs w:val="0"/>
                <w:color w:val="000000"/>
                <w:sz w:val="22"/>
                <w:szCs w:val="22"/>
                <w:u w:val="single"/>
              </w:rPr>
            </w:pPr>
          </w:p>
        </w:tc>
      </w:tr>
      <w:tr w14:paraId="3681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E211">
            <w:pPr>
              <w:jc w:val="center"/>
              <w:rPr>
                <w:rFonts w:hint="eastAsia" w:ascii="仿宋" w:hAnsi="仿宋" w:eastAsia="仿宋" w:cs="仿宋"/>
                <w:i w:val="0"/>
                <w:iCs w:val="0"/>
                <w:color w:val="000000"/>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0CE7">
            <w:pPr>
              <w:jc w:val="center"/>
              <w:rPr>
                <w:rFonts w:hint="eastAsia" w:ascii="仿宋" w:hAnsi="仿宋" w:eastAsia="仿宋" w:cs="仿宋"/>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9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二级及以下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EA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每个科研项目第1作者加成1.5%。</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66A9">
            <w:pPr>
              <w:jc w:val="left"/>
              <w:rPr>
                <w:rFonts w:hint="eastAsia" w:ascii="仿宋" w:hAnsi="仿宋" w:eastAsia="仿宋" w:cs="仿宋"/>
                <w:i w:val="0"/>
                <w:iCs w:val="0"/>
                <w:color w:val="000000"/>
                <w:sz w:val="22"/>
                <w:szCs w:val="22"/>
                <w:u w:val="single"/>
              </w:rPr>
            </w:pPr>
          </w:p>
        </w:tc>
      </w:tr>
      <w:tr w14:paraId="4C38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26C4">
            <w:pPr>
              <w:jc w:val="center"/>
              <w:rPr>
                <w:rFonts w:hint="eastAsia" w:ascii="仿宋" w:hAnsi="仿宋" w:eastAsia="仿宋" w:cs="仿宋"/>
                <w:i w:val="0"/>
                <w:iCs w:val="0"/>
                <w:color w:val="000000"/>
                <w:sz w:val="22"/>
                <w:szCs w:val="22"/>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72F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19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CBC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每个科研项目第1作者加成0.1%,该项总加成不超过1%。</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BCAA">
            <w:pPr>
              <w:jc w:val="left"/>
              <w:rPr>
                <w:rFonts w:hint="eastAsia" w:ascii="仿宋" w:hAnsi="仿宋" w:eastAsia="仿宋" w:cs="仿宋"/>
                <w:i w:val="0"/>
                <w:iCs w:val="0"/>
                <w:color w:val="000000"/>
                <w:sz w:val="22"/>
                <w:szCs w:val="22"/>
                <w:u w:val="single"/>
              </w:rPr>
            </w:pPr>
          </w:p>
        </w:tc>
      </w:tr>
      <w:tr w14:paraId="4650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08D9">
            <w:pPr>
              <w:jc w:val="center"/>
              <w:rPr>
                <w:rFonts w:hint="eastAsia" w:ascii="仿宋" w:hAnsi="仿宋" w:eastAsia="仿宋" w:cs="仿宋"/>
                <w:i w:val="0"/>
                <w:iCs w:val="0"/>
                <w:color w:val="000000"/>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62372">
            <w:pPr>
              <w:jc w:val="center"/>
              <w:rPr>
                <w:rFonts w:hint="eastAsia" w:ascii="仿宋" w:hAnsi="仿宋" w:eastAsia="仿宋" w:cs="仿宋"/>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33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二级及以下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16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每个科研项目第1作者加成0.15%,该项总加成不超过1.5%。</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CAF8">
            <w:pPr>
              <w:jc w:val="left"/>
              <w:rPr>
                <w:rFonts w:hint="eastAsia" w:ascii="仿宋" w:hAnsi="仿宋" w:eastAsia="仿宋" w:cs="仿宋"/>
                <w:i w:val="0"/>
                <w:iCs w:val="0"/>
                <w:color w:val="000000"/>
                <w:sz w:val="22"/>
                <w:szCs w:val="22"/>
                <w:u w:val="single"/>
              </w:rPr>
            </w:pPr>
          </w:p>
        </w:tc>
      </w:tr>
      <w:tr w14:paraId="58F0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6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科技进步奖</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56D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省级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B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C8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1.每个一等奖前3作者加成2.3%；</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2.每个二等奖前2作者加成2%；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3.每个三等奖第1作者加成1%。</w:t>
            </w:r>
          </w:p>
        </w:tc>
        <w:tc>
          <w:tcPr>
            <w:tcW w:w="1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6B198">
            <w:pPr>
              <w:keepNext w:val="0"/>
              <w:keepLines w:val="0"/>
              <w:widowControl/>
              <w:suppressLineNumbers w:val="0"/>
              <w:jc w:val="left"/>
              <w:textAlignment w:val="center"/>
              <w:rPr>
                <w:rFonts w:hint="eastAsia" w:ascii="仿宋" w:hAnsi="仿宋" w:eastAsia="仿宋" w:cs="仿宋"/>
                <w:i w:val="0"/>
                <w:iCs w:val="0"/>
                <w:color w:val="000000"/>
                <w:sz w:val="22"/>
                <w:szCs w:val="22"/>
                <w:u w:val="single"/>
              </w:rPr>
            </w:pPr>
            <w:r>
              <w:rPr>
                <w:rFonts w:hint="eastAsia" w:ascii="仿宋" w:hAnsi="仿宋" w:eastAsia="仿宋" w:cs="仿宋"/>
                <w:i w:val="0"/>
                <w:iCs w:val="0"/>
                <w:color w:val="000000"/>
                <w:kern w:val="0"/>
                <w:sz w:val="22"/>
                <w:szCs w:val="22"/>
                <w:u w:val="single"/>
                <w:lang w:val="en-US" w:eastAsia="zh-CN" w:bidi="ar"/>
              </w:rPr>
              <w:t>1.该加成项目包含2020年获得的科技进步奖项目;2.科技进步奖项目总加成不超过2%，三级医疗机构和二级及以下医疗机构有省级科研项目的总加成限制分别提升至不超过2.3%和2.4%。</w:t>
            </w:r>
            <w:r>
              <w:rPr>
                <w:rStyle w:val="11"/>
                <w:sz w:val="22"/>
                <w:szCs w:val="22"/>
                <w:u w:val="single"/>
                <w:lang w:val="en-US" w:eastAsia="zh-CN" w:bidi="ar"/>
              </w:rPr>
              <w:br w:type="textWrapping"/>
            </w:r>
            <w:r>
              <w:rPr>
                <w:rStyle w:val="12"/>
                <w:sz w:val="22"/>
                <w:szCs w:val="22"/>
                <w:highlight w:val="yellow"/>
                <w:u w:val="single"/>
                <w:lang w:val="en-US" w:eastAsia="zh-CN" w:bidi="ar"/>
              </w:rPr>
              <w:t>划线部分修改为：</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1.该加成项目为本结算年度获得的科技进步奖项目；</w:t>
            </w:r>
            <w:r>
              <w:rPr>
                <w:rStyle w:val="11"/>
                <w:sz w:val="22"/>
                <w:szCs w:val="22"/>
                <w:highlight w:val="yellow"/>
                <w:u w:val="single"/>
                <w:lang w:val="en-US" w:eastAsia="zh-CN" w:bidi="ar"/>
              </w:rPr>
              <w:br w:type="textWrapping"/>
            </w:r>
            <w:r>
              <w:rPr>
                <w:rStyle w:val="11"/>
                <w:sz w:val="22"/>
                <w:szCs w:val="22"/>
                <w:highlight w:val="yellow"/>
                <w:u w:val="single"/>
                <w:lang w:val="en-US" w:eastAsia="zh-CN" w:bidi="ar"/>
              </w:rPr>
              <w:t>2.科技进步奖项目总加成不超过2%，三级医疗机构和二级及以下医疗机构有省级科研项目的总加成限制分别提升至不超过2.3%和2.4%。</w:t>
            </w:r>
          </w:p>
        </w:tc>
      </w:tr>
      <w:tr w14:paraId="5010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DE58">
            <w:pPr>
              <w:jc w:val="center"/>
              <w:rPr>
                <w:rFonts w:hint="eastAsia" w:ascii="仿宋" w:hAnsi="仿宋" w:eastAsia="仿宋" w:cs="仿宋"/>
                <w:i w:val="0"/>
                <w:iCs w:val="0"/>
                <w:color w:val="000000"/>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69FD">
            <w:pPr>
              <w:jc w:val="center"/>
              <w:rPr>
                <w:rFonts w:hint="eastAsia" w:ascii="仿宋" w:hAnsi="仿宋" w:eastAsia="仿宋" w:cs="仿宋"/>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DB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二级及以下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95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1.每个一等奖前3作者加成2.4%；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2.每个二等奖前2作者加成2.1%；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3.每个三等奖第1作者加成1.1%。</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7D0C1">
            <w:pPr>
              <w:jc w:val="left"/>
              <w:rPr>
                <w:rFonts w:hint="eastAsia" w:ascii="仿宋" w:hAnsi="仿宋" w:eastAsia="仿宋" w:cs="仿宋"/>
                <w:i w:val="0"/>
                <w:iCs w:val="0"/>
                <w:color w:val="000000"/>
                <w:sz w:val="22"/>
                <w:szCs w:val="22"/>
                <w:u w:val="single"/>
              </w:rPr>
            </w:pPr>
          </w:p>
        </w:tc>
      </w:tr>
      <w:tr w14:paraId="7B8D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63C4">
            <w:pPr>
              <w:jc w:val="center"/>
              <w:rPr>
                <w:rFonts w:hint="eastAsia" w:ascii="仿宋" w:hAnsi="仿宋" w:eastAsia="仿宋" w:cs="仿宋"/>
                <w:i w:val="0"/>
                <w:iCs w:val="0"/>
                <w:color w:val="000000"/>
                <w:sz w:val="22"/>
                <w:szCs w:val="22"/>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EDD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B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60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1.每个一等奖前3作者加成1%；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2.每个二等奖前2作者加成0.5%；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3.每个三等奖第1作者加成0.2%。</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1A9F">
            <w:pPr>
              <w:jc w:val="left"/>
              <w:rPr>
                <w:rFonts w:hint="eastAsia" w:ascii="仿宋" w:hAnsi="仿宋" w:eastAsia="仿宋" w:cs="仿宋"/>
                <w:i w:val="0"/>
                <w:iCs w:val="0"/>
                <w:color w:val="000000"/>
                <w:sz w:val="22"/>
                <w:szCs w:val="22"/>
                <w:u w:val="single"/>
              </w:rPr>
            </w:pPr>
          </w:p>
        </w:tc>
      </w:tr>
      <w:tr w14:paraId="2EFC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58E9">
            <w:pPr>
              <w:jc w:val="center"/>
              <w:rPr>
                <w:rFonts w:hint="eastAsia" w:ascii="仿宋" w:hAnsi="仿宋" w:eastAsia="仿宋" w:cs="仿宋"/>
                <w:i w:val="0"/>
                <w:iCs w:val="0"/>
                <w:color w:val="000000"/>
                <w:sz w:val="22"/>
                <w:szCs w:val="22"/>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77030">
            <w:pPr>
              <w:jc w:val="center"/>
              <w:rPr>
                <w:rFonts w:hint="eastAsia" w:ascii="仿宋" w:hAnsi="仿宋" w:eastAsia="仿宋" w:cs="仿宋"/>
                <w:i w:val="0"/>
                <w:iCs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AB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二级及以下</w:t>
            </w:r>
          </w:p>
        </w:tc>
        <w:tc>
          <w:tcPr>
            <w:tcW w:w="1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FD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1.每个一等奖前3作者加成1.1%；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2.每个二等奖前2作者加成0.6%；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3.每个三等奖第1作者加成0.3%。</w:t>
            </w: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506D">
            <w:pPr>
              <w:jc w:val="left"/>
              <w:rPr>
                <w:rFonts w:hint="eastAsia" w:ascii="仿宋" w:hAnsi="仿宋" w:eastAsia="仿宋" w:cs="仿宋"/>
                <w:i w:val="0"/>
                <w:iCs w:val="0"/>
                <w:color w:val="000000"/>
                <w:sz w:val="22"/>
                <w:szCs w:val="22"/>
                <w:u w:val="single"/>
              </w:rPr>
            </w:pPr>
          </w:p>
        </w:tc>
      </w:tr>
    </w:tbl>
    <w:p w14:paraId="0CDE73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2"/>
          <w:szCs w:val="22"/>
        </w:rPr>
      </w:pPr>
    </w:p>
    <w:p w14:paraId="5DECA3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14:paraId="1D316B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612DE2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202BB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5D78E0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53D7F2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CA047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5FD465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0B6C1C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sectPr>
          <w:pgSz w:w="16838" w:h="11906" w:orient="landscape"/>
          <w:pgMar w:top="1633" w:right="1440" w:bottom="1633" w:left="1440" w:header="851" w:footer="992" w:gutter="0"/>
          <w:cols w:space="0" w:num="1"/>
          <w:rtlGutter w:val="0"/>
          <w:docGrid w:type="lines" w:linePitch="320" w:charSpace="0"/>
        </w:sectPr>
      </w:pPr>
    </w:p>
    <w:p w14:paraId="38B11D15">
      <w:pPr>
        <w:widowControl/>
        <w:kinsoku w:val="0"/>
        <w:autoSpaceDE w:val="0"/>
        <w:autoSpaceDN w:val="0"/>
        <w:adjustRightInd w:val="0"/>
        <w:snapToGrid w:val="0"/>
        <w:spacing w:before="51" w:line="219" w:lineRule="auto"/>
        <w:ind w:left="5"/>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7"/>
          <w:kern w:val="0"/>
          <w:sz w:val="32"/>
          <w:szCs w:val="32"/>
        </w:rPr>
        <w:t>附</w:t>
      </w:r>
      <w:r>
        <w:rPr>
          <w:rFonts w:hint="eastAsia" w:ascii="仿宋" w:hAnsi="仿宋" w:eastAsia="仿宋" w:cs="仿宋"/>
          <w:snapToGrid w:val="0"/>
          <w:color w:val="000000"/>
          <w:spacing w:val="-7"/>
          <w:kern w:val="0"/>
          <w:sz w:val="32"/>
          <w:szCs w:val="32"/>
          <w:lang w:val="en-US" w:eastAsia="zh-CN"/>
        </w:rPr>
        <w:t>录</w:t>
      </w:r>
      <w:r>
        <w:rPr>
          <w:rFonts w:hint="eastAsia" w:ascii="仿宋" w:hAnsi="仿宋" w:eastAsia="仿宋" w:cs="仿宋"/>
          <w:snapToGrid w:val="0"/>
          <w:color w:val="000000"/>
          <w:spacing w:val="-7"/>
          <w:kern w:val="0"/>
          <w:sz w:val="32"/>
          <w:szCs w:val="32"/>
        </w:rPr>
        <w:t>2</w:t>
      </w:r>
    </w:p>
    <w:p w14:paraId="6F22DC85">
      <w:pPr>
        <w:widowControl/>
        <w:kinsoku w:val="0"/>
        <w:autoSpaceDE w:val="0"/>
        <w:autoSpaceDN w:val="0"/>
        <w:adjustRightInd w:val="0"/>
        <w:snapToGrid w:val="0"/>
        <w:spacing w:before="231" w:line="219" w:lineRule="auto"/>
        <w:ind w:left="2819"/>
        <w:jc w:val="left"/>
        <w:textAlignment w:val="baseline"/>
        <w:rPr>
          <w:rFonts w:hint="eastAsia" w:ascii="方正小标宋简体" w:hAnsi="方正小标宋简体" w:eastAsia="方正小标宋简体" w:cs="方正小标宋简体"/>
          <w:b w:val="0"/>
          <w:bCs w:val="0"/>
          <w:snapToGrid w:val="0"/>
          <w:color w:val="000000"/>
          <w:kern w:val="0"/>
          <w:sz w:val="32"/>
          <w:szCs w:val="32"/>
        </w:rPr>
      </w:pPr>
      <w:r>
        <w:rPr>
          <w:rFonts w:hint="eastAsia" w:ascii="方正小标宋简体" w:hAnsi="方正小标宋简体" w:eastAsia="方正小标宋简体" w:cs="方正小标宋简体"/>
          <w:b w:val="0"/>
          <w:bCs w:val="0"/>
          <w:snapToGrid w:val="0"/>
          <w:color w:val="000000"/>
          <w:spacing w:val="-10"/>
          <w:kern w:val="0"/>
          <w:sz w:val="32"/>
          <w:szCs w:val="32"/>
        </w:rPr>
        <w:t>医院技术水平加成系数申请表</w:t>
      </w:r>
    </w:p>
    <w:p w14:paraId="0D620C53">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rPr>
      </w:pPr>
    </w:p>
    <w:p w14:paraId="65A2CA66">
      <w:pPr>
        <w:widowControl/>
        <w:kinsoku w:val="0"/>
        <w:autoSpaceDE w:val="0"/>
        <w:autoSpaceDN w:val="0"/>
        <w:adjustRightInd w:val="0"/>
        <w:snapToGrid w:val="0"/>
        <w:spacing w:before="84" w:line="229" w:lineRule="auto"/>
        <w:ind w:left="8"/>
        <w:jc w:val="left"/>
        <w:textAlignment w:val="baseline"/>
        <w:rPr>
          <w:rFonts w:hint="eastAsia" w:ascii="仿宋" w:hAnsi="仿宋" w:eastAsia="仿宋" w:cs="仿宋"/>
          <w:b/>
          <w:bCs/>
          <w:snapToGrid w:val="0"/>
          <w:color w:val="000000"/>
          <w:kern w:val="0"/>
          <w:sz w:val="26"/>
          <w:szCs w:val="26"/>
        </w:rPr>
      </w:pPr>
      <w:r>
        <w:rPr>
          <w:rFonts w:hint="eastAsia" w:ascii="仿宋" w:hAnsi="仿宋" w:eastAsia="仿宋" w:cs="仿宋"/>
          <w:b/>
          <w:bCs/>
          <w:snapToGrid w:val="0"/>
          <w:color w:val="000000"/>
          <w:spacing w:val="-4"/>
          <w:kern w:val="0"/>
          <w:position w:val="-1"/>
          <w:sz w:val="26"/>
          <w:szCs w:val="26"/>
        </w:rPr>
        <w:t>辖区：□市直□县(区)</w:t>
      </w:r>
      <w:r>
        <w:rPr>
          <w:rFonts w:hint="eastAsia" w:ascii="仿宋" w:hAnsi="仿宋" w:eastAsia="仿宋" w:cs="仿宋"/>
          <w:b/>
          <w:bCs/>
          <w:snapToGrid w:val="0"/>
          <w:color w:val="000000"/>
          <w:kern w:val="0"/>
          <w:position w:val="-1"/>
          <w:sz w:val="26"/>
          <w:szCs w:val="26"/>
        </w:rPr>
        <w:t xml:space="preserve">         </w:t>
      </w:r>
      <w:r>
        <w:rPr>
          <w:rFonts w:hint="eastAsia" w:ascii="仿宋" w:hAnsi="仿宋" w:eastAsia="仿宋" w:cs="仿宋"/>
          <w:b/>
          <w:bCs/>
          <w:snapToGrid w:val="0"/>
          <w:color w:val="000000"/>
          <w:spacing w:val="-4"/>
          <w:kern w:val="0"/>
          <w:position w:val="1"/>
          <w:sz w:val="26"/>
          <w:szCs w:val="26"/>
        </w:rPr>
        <w:t>医院级别：□三级</w:t>
      </w:r>
      <w:r>
        <w:rPr>
          <w:rFonts w:hint="eastAsia" w:ascii="仿宋" w:hAnsi="仿宋" w:eastAsia="仿宋" w:cs="仿宋"/>
          <w:b/>
          <w:bCs/>
          <w:snapToGrid w:val="0"/>
          <w:color w:val="000000"/>
          <w:spacing w:val="-4"/>
          <w:kern w:val="0"/>
          <w:position w:val="1"/>
          <w:sz w:val="26"/>
          <w:szCs w:val="26"/>
          <w:lang w:eastAsia="zh-CN"/>
        </w:rPr>
        <w:t>□</w:t>
      </w:r>
      <w:r>
        <w:rPr>
          <w:rFonts w:hint="eastAsia" w:ascii="仿宋" w:hAnsi="仿宋" w:eastAsia="仿宋" w:cs="仿宋"/>
          <w:b/>
          <w:bCs/>
          <w:snapToGrid w:val="0"/>
          <w:color w:val="000000"/>
          <w:spacing w:val="-4"/>
          <w:kern w:val="0"/>
          <w:position w:val="1"/>
          <w:sz w:val="26"/>
          <w:szCs w:val="26"/>
        </w:rPr>
        <w:t>二级及以下</w:t>
      </w:r>
    </w:p>
    <w:p w14:paraId="4566C75A">
      <w:pPr>
        <w:widowControl/>
        <w:kinsoku w:val="0"/>
        <w:autoSpaceDE w:val="0"/>
        <w:autoSpaceDN w:val="0"/>
        <w:adjustRightInd w:val="0"/>
        <w:snapToGrid w:val="0"/>
        <w:spacing w:line="259" w:lineRule="auto"/>
        <w:jc w:val="left"/>
        <w:textAlignment w:val="baseline"/>
        <w:rPr>
          <w:rFonts w:hint="eastAsia" w:ascii="仿宋" w:hAnsi="仿宋" w:eastAsia="仿宋" w:cs="仿宋"/>
          <w:b/>
          <w:bCs/>
          <w:snapToGrid w:val="0"/>
          <w:color w:val="000000"/>
          <w:kern w:val="0"/>
          <w:sz w:val="21"/>
          <w:szCs w:val="21"/>
        </w:rPr>
      </w:pPr>
    </w:p>
    <w:p w14:paraId="00140B4D">
      <w:pPr>
        <w:widowControl/>
        <w:kinsoku w:val="0"/>
        <w:autoSpaceDE w:val="0"/>
        <w:autoSpaceDN w:val="0"/>
        <w:adjustRightInd w:val="0"/>
        <w:snapToGrid w:val="0"/>
        <w:spacing w:before="85" w:line="230" w:lineRule="auto"/>
        <w:ind w:left="8"/>
        <w:jc w:val="left"/>
        <w:textAlignment w:val="baseline"/>
        <w:rPr>
          <w:rFonts w:hint="eastAsia" w:ascii="仿宋" w:hAnsi="仿宋" w:eastAsia="仿宋" w:cs="仿宋"/>
          <w:b/>
          <w:bCs/>
          <w:snapToGrid w:val="0"/>
          <w:color w:val="000000"/>
          <w:kern w:val="0"/>
          <w:sz w:val="26"/>
          <w:szCs w:val="26"/>
        </w:rPr>
      </w:pPr>
      <w:r>
        <w:rPr>
          <w:rFonts w:hint="eastAsia" w:ascii="仿宋" w:hAnsi="仿宋" w:eastAsia="仿宋" w:cs="仿宋"/>
          <w:b/>
          <w:bCs/>
          <w:snapToGrid w:val="0"/>
          <w:color w:val="000000"/>
          <w:spacing w:val="-10"/>
          <w:kern w:val="0"/>
          <w:position w:val="-2"/>
          <w:sz w:val="26"/>
          <w:szCs w:val="26"/>
        </w:rPr>
        <w:t>医院名称(盖章):</w:t>
      </w:r>
      <w:r>
        <w:rPr>
          <w:rFonts w:hint="eastAsia" w:ascii="仿宋" w:hAnsi="仿宋" w:eastAsia="仿宋" w:cs="仿宋"/>
          <w:b/>
          <w:bCs/>
          <w:snapToGrid w:val="0"/>
          <w:color w:val="000000"/>
          <w:spacing w:val="3"/>
          <w:kern w:val="0"/>
          <w:position w:val="-2"/>
          <w:sz w:val="26"/>
          <w:szCs w:val="26"/>
        </w:rPr>
        <w:t xml:space="preserve">               </w:t>
      </w:r>
      <w:r>
        <w:rPr>
          <w:rFonts w:hint="eastAsia" w:ascii="仿宋" w:hAnsi="仿宋" w:eastAsia="仿宋" w:cs="仿宋"/>
          <w:b/>
          <w:bCs/>
          <w:snapToGrid w:val="0"/>
          <w:color w:val="000000"/>
          <w:spacing w:val="3"/>
          <w:kern w:val="0"/>
          <w:position w:val="-2"/>
          <w:sz w:val="26"/>
          <w:szCs w:val="26"/>
          <w:lang w:val="en-US" w:eastAsia="zh-CN"/>
        </w:rPr>
        <w:t xml:space="preserve"> </w:t>
      </w:r>
      <w:r>
        <w:rPr>
          <w:rFonts w:hint="eastAsia" w:ascii="仿宋" w:hAnsi="仿宋" w:eastAsia="仿宋" w:cs="仿宋"/>
          <w:b/>
          <w:bCs/>
          <w:snapToGrid w:val="0"/>
          <w:color w:val="000000"/>
          <w:spacing w:val="-10"/>
          <w:kern w:val="0"/>
          <w:position w:val="2"/>
          <w:sz w:val="26"/>
          <w:szCs w:val="26"/>
        </w:rPr>
        <w:t>申请时间：</w:t>
      </w:r>
      <w:r>
        <w:rPr>
          <w:rFonts w:hint="eastAsia" w:ascii="仿宋" w:hAnsi="仿宋" w:eastAsia="仿宋" w:cs="仿宋"/>
          <w:b/>
          <w:bCs/>
          <w:snapToGrid w:val="0"/>
          <w:color w:val="000000"/>
          <w:spacing w:val="6"/>
          <w:kern w:val="0"/>
          <w:position w:val="2"/>
          <w:sz w:val="26"/>
          <w:szCs w:val="26"/>
        </w:rPr>
        <w:t xml:space="preserve">   </w:t>
      </w:r>
      <w:r>
        <w:rPr>
          <w:rFonts w:hint="eastAsia" w:ascii="仿宋" w:hAnsi="仿宋" w:eastAsia="仿宋" w:cs="仿宋"/>
          <w:b/>
          <w:bCs/>
          <w:snapToGrid w:val="0"/>
          <w:color w:val="000000"/>
          <w:spacing w:val="-10"/>
          <w:kern w:val="0"/>
          <w:position w:val="2"/>
          <w:sz w:val="26"/>
          <w:szCs w:val="26"/>
        </w:rPr>
        <w:t>年</w:t>
      </w:r>
      <w:r>
        <w:rPr>
          <w:rFonts w:hint="eastAsia" w:ascii="仿宋" w:hAnsi="仿宋" w:eastAsia="仿宋" w:cs="仿宋"/>
          <w:b/>
          <w:bCs/>
          <w:snapToGrid w:val="0"/>
          <w:color w:val="000000"/>
          <w:spacing w:val="50"/>
          <w:kern w:val="0"/>
          <w:position w:val="2"/>
          <w:sz w:val="26"/>
          <w:szCs w:val="26"/>
        </w:rPr>
        <w:t xml:space="preserve"> </w:t>
      </w:r>
      <w:r>
        <w:rPr>
          <w:rFonts w:hint="eastAsia" w:ascii="仿宋" w:hAnsi="仿宋" w:eastAsia="仿宋" w:cs="仿宋"/>
          <w:b/>
          <w:bCs/>
          <w:snapToGrid w:val="0"/>
          <w:color w:val="000000"/>
          <w:spacing w:val="-10"/>
          <w:kern w:val="0"/>
          <w:position w:val="2"/>
          <w:sz w:val="26"/>
          <w:szCs w:val="26"/>
        </w:rPr>
        <w:t>月</w:t>
      </w:r>
      <w:r>
        <w:rPr>
          <w:rFonts w:hint="eastAsia" w:ascii="仿宋" w:hAnsi="仿宋" w:eastAsia="仿宋" w:cs="仿宋"/>
          <w:b/>
          <w:bCs/>
          <w:snapToGrid w:val="0"/>
          <w:color w:val="000000"/>
          <w:spacing w:val="77"/>
          <w:kern w:val="0"/>
          <w:position w:val="2"/>
          <w:sz w:val="26"/>
          <w:szCs w:val="26"/>
        </w:rPr>
        <w:t xml:space="preserve"> </w:t>
      </w:r>
      <w:r>
        <w:rPr>
          <w:rFonts w:hint="eastAsia" w:ascii="仿宋" w:hAnsi="仿宋" w:eastAsia="仿宋" w:cs="仿宋"/>
          <w:b/>
          <w:bCs/>
          <w:snapToGrid w:val="0"/>
          <w:color w:val="000000"/>
          <w:spacing w:val="-10"/>
          <w:kern w:val="0"/>
          <w:position w:val="2"/>
          <w:sz w:val="26"/>
          <w:szCs w:val="26"/>
        </w:rPr>
        <w:t>日</w:t>
      </w:r>
    </w:p>
    <w:p w14:paraId="7F5900E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p>
    <w:p w14:paraId="217ABFA7">
      <w:pPr>
        <w:widowControl/>
        <w:kinsoku w:val="0"/>
        <w:autoSpaceDE w:val="0"/>
        <w:autoSpaceDN w:val="0"/>
        <w:adjustRightInd w:val="0"/>
        <w:snapToGrid w:val="0"/>
        <w:spacing w:line="209" w:lineRule="exact"/>
        <w:jc w:val="left"/>
        <w:textAlignment w:val="baseline"/>
        <w:rPr>
          <w:rFonts w:ascii="Arial" w:hAnsi="Arial" w:eastAsia="Arial" w:cs="Arial"/>
          <w:snapToGrid w:val="0"/>
          <w:color w:val="000000"/>
          <w:kern w:val="0"/>
          <w:szCs w:val="21"/>
        </w:rPr>
      </w:pPr>
    </w:p>
    <w:tbl>
      <w:tblPr>
        <w:tblStyle w:val="7"/>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0"/>
        <w:gridCol w:w="4847"/>
        <w:gridCol w:w="2063"/>
      </w:tblGrid>
      <w:tr w14:paraId="6B358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860" w:type="dxa"/>
            <w:vAlign w:val="top"/>
          </w:tcPr>
          <w:p w14:paraId="1446A1B0">
            <w:pPr>
              <w:widowControl/>
              <w:kinsoku w:val="0"/>
              <w:autoSpaceDE w:val="0"/>
              <w:autoSpaceDN w:val="0"/>
              <w:adjustRightInd w:val="0"/>
              <w:snapToGrid w:val="0"/>
              <w:spacing w:before="262" w:line="219" w:lineRule="auto"/>
              <w:jc w:val="center"/>
              <w:textAlignment w:val="baseline"/>
              <w:rPr>
                <w:rFonts w:hint="eastAsia" w:ascii="黑体" w:hAnsi="黑体" w:eastAsia="黑体" w:cs="黑体"/>
                <w:b w:val="0"/>
                <w:bCs w:val="0"/>
                <w:snapToGrid w:val="0"/>
                <w:color w:val="000000"/>
                <w:kern w:val="0"/>
                <w:sz w:val="28"/>
                <w:szCs w:val="28"/>
              </w:rPr>
            </w:pPr>
            <w:r>
              <w:rPr>
                <w:rFonts w:hint="eastAsia" w:ascii="黑体" w:hAnsi="黑体" w:eastAsia="黑体" w:cs="黑体"/>
                <w:b w:val="0"/>
                <w:bCs w:val="0"/>
                <w:snapToGrid w:val="0"/>
                <w:color w:val="000000"/>
                <w:spacing w:val="4"/>
                <w:kern w:val="0"/>
                <w:sz w:val="28"/>
                <w:szCs w:val="28"/>
              </w:rPr>
              <w:t>申请加成项目</w:t>
            </w:r>
          </w:p>
        </w:tc>
        <w:tc>
          <w:tcPr>
            <w:tcW w:w="4847" w:type="dxa"/>
            <w:vAlign w:val="top"/>
          </w:tcPr>
          <w:p w14:paraId="01C94F39">
            <w:pPr>
              <w:widowControl/>
              <w:kinsoku w:val="0"/>
              <w:autoSpaceDE w:val="0"/>
              <w:autoSpaceDN w:val="0"/>
              <w:adjustRightInd w:val="0"/>
              <w:snapToGrid w:val="0"/>
              <w:spacing w:before="264" w:line="219" w:lineRule="auto"/>
              <w:jc w:val="center"/>
              <w:textAlignment w:val="baseline"/>
              <w:rPr>
                <w:rFonts w:hint="eastAsia" w:ascii="黑体" w:hAnsi="黑体" w:eastAsia="黑体" w:cs="黑体"/>
                <w:b w:val="0"/>
                <w:bCs w:val="0"/>
                <w:snapToGrid w:val="0"/>
                <w:color w:val="000000"/>
                <w:kern w:val="0"/>
                <w:sz w:val="28"/>
                <w:szCs w:val="28"/>
              </w:rPr>
            </w:pPr>
            <w:r>
              <w:rPr>
                <w:rFonts w:hint="eastAsia" w:ascii="黑体" w:hAnsi="黑体" w:eastAsia="黑体" w:cs="黑体"/>
                <w:b w:val="0"/>
                <w:bCs w:val="0"/>
                <w:snapToGrid w:val="0"/>
                <w:color w:val="000000"/>
                <w:spacing w:val="1"/>
                <w:kern w:val="0"/>
                <w:sz w:val="28"/>
                <w:szCs w:val="28"/>
              </w:rPr>
              <w:t>有关加成依据清单</w:t>
            </w:r>
          </w:p>
        </w:tc>
        <w:tc>
          <w:tcPr>
            <w:tcW w:w="2063" w:type="dxa"/>
            <w:vAlign w:val="top"/>
          </w:tcPr>
          <w:p w14:paraId="7752A01F">
            <w:pPr>
              <w:widowControl/>
              <w:kinsoku w:val="0"/>
              <w:autoSpaceDE w:val="0"/>
              <w:autoSpaceDN w:val="0"/>
              <w:adjustRightInd w:val="0"/>
              <w:snapToGrid w:val="0"/>
              <w:spacing w:before="266" w:line="219" w:lineRule="auto"/>
              <w:jc w:val="center"/>
              <w:textAlignment w:val="baseline"/>
              <w:rPr>
                <w:rFonts w:hint="eastAsia" w:ascii="黑体" w:hAnsi="黑体" w:eastAsia="黑体" w:cs="黑体"/>
                <w:b w:val="0"/>
                <w:bCs w:val="0"/>
                <w:snapToGrid w:val="0"/>
                <w:color w:val="000000"/>
                <w:kern w:val="0"/>
                <w:sz w:val="28"/>
                <w:szCs w:val="28"/>
              </w:rPr>
            </w:pPr>
            <w:r>
              <w:rPr>
                <w:rFonts w:hint="eastAsia" w:ascii="黑体" w:hAnsi="黑体" w:eastAsia="黑体" w:cs="黑体"/>
                <w:b w:val="0"/>
                <w:bCs w:val="0"/>
                <w:snapToGrid w:val="0"/>
                <w:color w:val="000000"/>
                <w:spacing w:val="1"/>
                <w:kern w:val="0"/>
                <w:sz w:val="28"/>
                <w:szCs w:val="28"/>
              </w:rPr>
              <w:t>自评加成系数</w:t>
            </w:r>
          </w:p>
        </w:tc>
      </w:tr>
      <w:tr w14:paraId="19850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2860" w:type="dxa"/>
            <w:vAlign w:val="top"/>
          </w:tcPr>
          <w:p w14:paraId="12B37282">
            <w:pPr>
              <w:widowControl/>
              <w:kinsoku w:val="0"/>
              <w:autoSpaceDE w:val="0"/>
              <w:autoSpaceDN w:val="0"/>
              <w:adjustRightInd w:val="0"/>
              <w:snapToGrid w:val="0"/>
              <w:spacing w:line="476" w:lineRule="auto"/>
              <w:jc w:val="left"/>
              <w:textAlignment w:val="baseline"/>
              <w:rPr>
                <w:rFonts w:hint="eastAsia" w:ascii="仿宋" w:hAnsi="仿宋" w:eastAsia="仿宋" w:cs="仿宋"/>
                <w:snapToGrid w:val="0"/>
                <w:color w:val="000000"/>
                <w:kern w:val="0"/>
                <w:sz w:val="21"/>
                <w:szCs w:val="21"/>
              </w:rPr>
            </w:pPr>
          </w:p>
          <w:p w14:paraId="426F1A8E">
            <w:pPr>
              <w:widowControl/>
              <w:kinsoku w:val="0"/>
              <w:autoSpaceDE w:val="0"/>
              <w:autoSpaceDN w:val="0"/>
              <w:adjustRightInd w:val="0"/>
              <w:snapToGrid w:val="0"/>
              <w:spacing w:before="91" w:line="219" w:lineRule="auto"/>
              <w:ind w:left="45"/>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2"/>
                <w:kern w:val="0"/>
                <w:sz w:val="28"/>
                <w:szCs w:val="28"/>
              </w:rPr>
              <w:t>重点专科</w:t>
            </w:r>
          </w:p>
        </w:tc>
        <w:tc>
          <w:tcPr>
            <w:tcW w:w="4847" w:type="dxa"/>
            <w:vAlign w:val="top"/>
          </w:tcPr>
          <w:p w14:paraId="57D9239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c>
          <w:tcPr>
            <w:tcW w:w="2063" w:type="dxa"/>
            <w:vAlign w:val="top"/>
          </w:tcPr>
          <w:p w14:paraId="318DE4A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r>
      <w:tr w14:paraId="1BF86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860" w:type="dxa"/>
            <w:vAlign w:val="top"/>
          </w:tcPr>
          <w:p w14:paraId="5912E1DE">
            <w:pPr>
              <w:widowControl/>
              <w:kinsoku w:val="0"/>
              <w:autoSpaceDE w:val="0"/>
              <w:autoSpaceDN w:val="0"/>
              <w:adjustRightInd w:val="0"/>
              <w:snapToGrid w:val="0"/>
              <w:spacing w:line="461" w:lineRule="auto"/>
              <w:jc w:val="left"/>
              <w:textAlignment w:val="baseline"/>
              <w:rPr>
                <w:rFonts w:hint="eastAsia" w:ascii="仿宋" w:hAnsi="仿宋" w:eastAsia="仿宋" w:cs="仿宋"/>
                <w:snapToGrid w:val="0"/>
                <w:color w:val="000000"/>
                <w:kern w:val="0"/>
                <w:sz w:val="21"/>
                <w:szCs w:val="21"/>
              </w:rPr>
            </w:pPr>
          </w:p>
          <w:p w14:paraId="2EF7E3A8">
            <w:pPr>
              <w:widowControl/>
              <w:kinsoku w:val="0"/>
              <w:autoSpaceDE w:val="0"/>
              <w:autoSpaceDN w:val="0"/>
              <w:adjustRightInd w:val="0"/>
              <w:snapToGrid w:val="0"/>
              <w:spacing w:before="91" w:line="220" w:lineRule="auto"/>
              <w:ind w:left="45"/>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3"/>
                <w:kern w:val="0"/>
                <w:sz w:val="28"/>
                <w:szCs w:val="28"/>
              </w:rPr>
              <w:t>区域诊疗中心</w:t>
            </w:r>
          </w:p>
        </w:tc>
        <w:tc>
          <w:tcPr>
            <w:tcW w:w="4847" w:type="dxa"/>
            <w:vAlign w:val="top"/>
          </w:tcPr>
          <w:p w14:paraId="7A8350E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c>
          <w:tcPr>
            <w:tcW w:w="2063" w:type="dxa"/>
            <w:vAlign w:val="top"/>
          </w:tcPr>
          <w:p w14:paraId="3B64640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r>
      <w:tr w14:paraId="7FC0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2860" w:type="dxa"/>
            <w:vAlign w:val="top"/>
          </w:tcPr>
          <w:p w14:paraId="726B7D9B">
            <w:pPr>
              <w:widowControl/>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 w:val="21"/>
                <w:szCs w:val="21"/>
              </w:rPr>
            </w:pPr>
          </w:p>
          <w:p w14:paraId="5E5447FC">
            <w:pPr>
              <w:widowControl/>
              <w:kinsoku w:val="0"/>
              <w:autoSpaceDE w:val="0"/>
              <w:autoSpaceDN w:val="0"/>
              <w:adjustRightInd w:val="0"/>
              <w:snapToGrid w:val="0"/>
              <w:spacing w:line="275" w:lineRule="auto"/>
              <w:jc w:val="left"/>
              <w:textAlignment w:val="baseline"/>
              <w:rPr>
                <w:rFonts w:hint="eastAsia" w:ascii="仿宋" w:hAnsi="仿宋" w:eastAsia="仿宋" w:cs="仿宋"/>
                <w:snapToGrid w:val="0"/>
                <w:color w:val="000000"/>
                <w:kern w:val="0"/>
                <w:sz w:val="21"/>
                <w:szCs w:val="21"/>
              </w:rPr>
            </w:pPr>
          </w:p>
          <w:p w14:paraId="237EE4FE">
            <w:pPr>
              <w:widowControl/>
              <w:kinsoku w:val="0"/>
              <w:autoSpaceDE w:val="0"/>
              <w:autoSpaceDN w:val="0"/>
              <w:adjustRightInd w:val="0"/>
              <w:snapToGrid w:val="0"/>
              <w:spacing w:before="91" w:line="219" w:lineRule="auto"/>
              <w:ind w:left="45"/>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
                <w:kern w:val="0"/>
                <w:sz w:val="28"/>
                <w:szCs w:val="28"/>
              </w:rPr>
              <w:t>医疗技术牵头单位</w:t>
            </w:r>
          </w:p>
        </w:tc>
        <w:tc>
          <w:tcPr>
            <w:tcW w:w="4847" w:type="dxa"/>
            <w:vAlign w:val="top"/>
          </w:tcPr>
          <w:p w14:paraId="2B90B4D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c>
          <w:tcPr>
            <w:tcW w:w="2063" w:type="dxa"/>
            <w:vAlign w:val="top"/>
          </w:tcPr>
          <w:p w14:paraId="22E429D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r>
      <w:tr w14:paraId="19070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860" w:type="dxa"/>
            <w:vAlign w:val="top"/>
          </w:tcPr>
          <w:p w14:paraId="6E48076A">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1"/>
                <w:szCs w:val="21"/>
              </w:rPr>
            </w:pPr>
          </w:p>
          <w:p w14:paraId="6E07FED6">
            <w:pPr>
              <w:widowControl/>
              <w:kinsoku w:val="0"/>
              <w:autoSpaceDE w:val="0"/>
              <w:autoSpaceDN w:val="0"/>
              <w:adjustRightInd w:val="0"/>
              <w:snapToGrid w:val="0"/>
              <w:spacing w:line="261" w:lineRule="auto"/>
              <w:jc w:val="left"/>
              <w:textAlignment w:val="baseline"/>
              <w:rPr>
                <w:rFonts w:hint="eastAsia" w:ascii="仿宋" w:hAnsi="仿宋" w:eastAsia="仿宋" w:cs="仿宋"/>
                <w:snapToGrid w:val="0"/>
                <w:color w:val="000000"/>
                <w:kern w:val="0"/>
                <w:sz w:val="21"/>
                <w:szCs w:val="21"/>
              </w:rPr>
            </w:pPr>
          </w:p>
          <w:p w14:paraId="4004B9CB">
            <w:pPr>
              <w:widowControl/>
              <w:kinsoku w:val="0"/>
              <w:autoSpaceDE w:val="0"/>
              <w:autoSpaceDN w:val="0"/>
              <w:adjustRightInd w:val="0"/>
              <w:snapToGrid w:val="0"/>
              <w:spacing w:before="91" w:line="219" w:lineRule="auto"/>
              <w:ind w:left="45"/>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spacing w:val="13"/>
                <w:kern w:val="0"/>
                <w:sz w:val="28"/>
                <w:szCs w:val="28"/>
              </w:rPr>
              <w:t>科研项目</w:t>
            </w:r>
          </w:p>
        </w:tc>
        <w:tc>
          <w:tcPr>
            <w:tcW w:w="4847" w:type="dxa"/>
            <w:vAlign w:val="top"/>
          </w:tcPr>
          <w:p w14:paraId="2005573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c>
          <w:tcPr>
            <w:tcW w:w="2063" w:type="dxa"/>
            <w:vAlign w:val="top"/>
          </w:tcPr>
          <w:p w14:paraId="6717258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r>
      <w:tr w14:paraId="3B6BE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2860" w:type="dxa"/>
            <w:vAlign w:val="top"/>
          </w:tcPr>
          <w:p w14:paraId="0C5C8425">
            <w:pPr>
              <w:widowControl/>
              <w:kinsoku w:val="0"/>
              <w:autoSpaceDE w:val="0"/>
              <w:autoSpaceDN w:val="0"/>
              <w:adjustRightInd w:val="0"/>
              <w:snapToGrid w:val="0"/>
              <w:spacing w:line="256" w:lineRule="auto"/>
              <w:jc w:val="left"/>
              <w:textAlignment w:val="baseline"/>
              <w:rPr>
                <w:rFonts w:hint="eastAsia" w:ascii="仿宋" w:hAnsi="仿宋" w:eastAsia="仿宋" w:cs="仿宋"/>
                <w:snapToGrid w:val="0"/>
                <w:color w:val="000000"/>
                <w:kern w:val="0"/>
                <w:sz w:val="21"/>
                <w:szCs w:val="21"/>
              </w:rPr>
            </w:pPr>
          </w:p>
          <w:p w14:paraId="463D748A">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000000"/>
                <w:kern w:val="0"/>
                <w:sz w:val="21"/>
                <w:szCs w:val="21"/>
              </w:rPr>
            </w:pPr>
          </w:p>
          <w:p w14:paraId="56918F05">
            <w:pPr>
              <w:widowControl/>
              <w:kinsoku w:val="0"/>
              <w:autoSpaceDE w:val="0"/>
              <w:autoSpaceDN w:val="0"/>
              <w:adjustRightInd w:val="0"/>
              <w:snapToGrid w:val="0"/>
              <w:spacing w:before="91" w:line="219" w:lineRule="auto"/>
              <w:ind w:left="45"/>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spacing w:val="2"/>
                <w:kern w:val="0"/>
                <w:sz w:val="28"/>
                <w:szCs w:val="28"/>
                <w:lang w:val="en-US" w:eastAsia="zh-CN"/>
              </w:rPr>
              <w:t>医院等级评审</w:t>
            </w:r>
          </w:p>
        </w:tc>
        <w:tc>
          <w:tcPr>
            <w:tcW w:w="4847" w:type="dxa"/>
            <w:vAlign w:val="top"/>
          </w:tcPr>
          <w:p w14:paraId="433E6CC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c>
          <w:tcPr>
            <w:tcW w:w="2063" w:type="dxa"/>
            <w:vAlign w:val="top"/>
          </w:tcPr>
          <w:p w14:paraId="45B41C1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1"/>
                <w:szCs w:val="21"/>
              </w:rPr>
            </w:pPr>
          </w:p>
        </w:tc>
      </w:tr>
    </w:tbl>
    <w:p w14:paraId="04E414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14:paraId="0727B71E">
      <w:pPr>
        <w:jc w:val="both"/>
        <w:rPr>
          <w:sz w:val="32"/>
          <w:szCs w:val="32"/>
        </w:rPr>
      </w:pPr>
    </w:p>
    <w:p w14:paraId="21B806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74EE5D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10092A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sectPr>
      <w:pgSz w:w="11906" w:h="16838"/>
      <w:pgMar w:top="1440" w:right="1633" w:bottom="1440" w:left="1633"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B1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9E4A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F9E4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gyMjI2YTA1OWE2NjJkODQwMGZiNGFjZTA0NDkifQ=="/>
  </w:docVars>
  <w:rsids>
    <w:rsidRoot w:val="2F1631F7"/>
    <w:rsid w:val="02873BB9"/>
    <w:rsid w:val="07EB1212"/>
    <w:rsid w:val="085148AB"/>
    <w:rsid w:val="0FFF56D6"/>
    <w:rsid w:val="10967DE9"/>
    <w:rsid w:val="113413B0"/>
    <w:rsid w:val="114535BD"/>
    <w:rsid w:val="16CA07EC"/>
    <w:rsid w:val="186E51A7"/>
    <w:rsid w:val="18DF60A5"/>
    <w:rsid w:val="18EA3115"/>
    <w:rsid w:val="1B803B6F"/>
    <w:rsid w:val="1C2F6084"/>
    <w:rsid w:val="20967991"/>
    <w:rsid w:val="250E110E"/>
    <w:rsid w:val="25E76599"/>
    <w:rsid w:val="27A72484"/>
    <w:rsid w:val="2B597F39"/>
    <w:rsid w:val="2B6F35EB"/>
    <w:rsid w:val="2DB94C12"/>
    <w:rsid w:val="2F1631F7"/>
    <w:rsid w:val="32EE540A"/>
    <w:rsid w:val="33D740F0"/>
    <w:rsid w:val="349D489F"/>
    <w:rsid w:val="34FC1D61"/>
    <w:rsid w:val="36256561"/>
    <w:rsid w:val="36737C9D"/>
    <w:rsid w:val="36DA1F2E"/>
    <w:rsid w:val="39B82AB1"/>
    <w:rsid w:val="408D1798"/>
    <w:rsid w:val="49CB1BAA"/>
    <w:rsid w:val="4EF41AAC"/>
    <w:rsid w:val="513C6E37"/>
    <w:rsid w:val="543A0058"/>
    <w:rsid w:val="5DA12EF6"/>
    <w:rsid w:val="5F482B3B"/>
    <w:rsid w:val="659375C8"/>
    <w:rsid w:val="6B3E659D"/>
    <w:rsid w:val="6C6121CE"/>
    <w:rsid w:val="6E95615F"/>
    <w:rsid w:val="73A11102"/>
    <w:rsid w:val="7679535D"/>
    <w:rsid w:val="7E3C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31"/>
    <w:basedOn w:val="6"/>
    <w:autoRedefine/>
    <w:qFormat/>
    <w:uiPriority w:val="0"/>
    <w:rPr>
      <w:rFonts w:hint="eastAsia" w:ascii="黑体" w:hAnsi="宋体" w:eastAsia="黑体" w:cs="黑体"/>
      <w:color w:val="000000"/>
      <w:sz w:val="28"/>
      <w:szCs w:val="28"/>
      <w:u w:val="none"/>
    </w:rPr>
  </w:style>
  <w:style w:type="character" w:customStyle="1" w:styleId="9">
    <w:name w:val="font41"/>
    <w:basedOn w:val="6"/>
    <w:autoRedefine/>
    <w:qFormat/>
    <w:uiPriority w:val="0"/>
    <w:rPr>
      <w:rFonts w:hint="eastAsia" w:ascii="仿宋" w:hAnsi="仿宋" w:eastAsia="仿宋" w:cs="仿宋"/>
      <w:color w:val="000000"/>
      <w:sz w:val="24"/>
      <w:szCs w:val="24"/>
      <w:u w:val="none"/>
    </w:rPr>
  </w:style>
  <w:style w:type="character" w:customStyle="1" w:styleId="10">
    <w:name w:val="font121"/>
    <w:basedOn w:val="6"/>
    <w:autoRedefine/>
    <w:qFormat/>
    <w:uiPriority w:val="0"/>
    <w:rPr>
      <w:rFonts w:hint="eastAsia" w:ascii="仿宋" w:hAnsi="仿宋" w:eastAsia="仿宋" w:cs="仿宋"/>
      <w:b/>
      <w:bCs/>
      <w:color w:val="000000"/>
      <w:sz w:val="24"/>
      <w:szCs w:val="24"/>
      <w:u w:val="none"/>
    </w:rPr>
  </w:style>
  <w:style w:type="character" w:customStyle="1" w:styleId="11">
    <w:name w:val="font14"/>
    <w:basedOn w:val="6"/>
    <w:autoRedefine/>
    <w:qFormat/>
    <w:uiPriority w:val="0"/>
    <w:rPr>
      <w:rFonts w:hint="eastAsia" w:ascii="仿宋" w:hAnsi="仿宋" w:eastAsia="仿宋" w:cs="仿宋"/>
      <w:color w:val="000000"/>
      <w:sz w:val="22"/>
      <w:szCs w:val="22"/>
      <w:u w:val="none"/>
    </w:rPr>
  </w:style>
  <w:style w:type="character" w:customStyle="1" w:styleId="12">
    <w:name w:val="font131"/>
    <w:basedOn w:val="6"/>
    <w:autoRedefine/>
    <w:qFormat/>
    <w:uiPriority w:val="0"/>
    <w:rPr>
      <w:rFonts w:hint="eastAsia" w:ascii="仿宋" w:hAnsi="仿宋" w:eastAsia="仿宋" w:cs="仿宋"/>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1607</Words>
  <Characters>1744</Characters>
  <Lines>1</Lines>
  <Paragraphs>1</Paragraphs>
  <TotalTime>27</TotalTime>
  <ScaleCrop>false</ScaleCrop>
  <LinksUpToDate>false</LinksUpToDate>
  <CharactersWithSpaces>1753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2024-04-11T09:55:00Z</dcterms:created>
  <dc:creator>瑾</dc:creator>
  <cp:lastModifiedBy>瑾</cp:lastModifiedBy>
  <dcterms:modified xsi:type="dcterms:W3CDTF">2024-10-22T07:30:22Z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A2A4AB52A8E9448DBBF99BF24A5D7ACB_11</vt:lpwstr>
  </property>
</Properties>
</file>