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21290">
      <w:pPr>
        <w:pStyle w:val="17"/>
        <w:spacing w:before="0" w:beforeAutospacing="0" w:after="0" w:afterAutospacing="0"/>
        <w:ind w:firstLine="0" w:firstLineChars="0"/>
        <w:jc w:val="both"/>
        <w:rPr>
          <w:rFonts w:ascii="Times New Roman" w:hAnsi="Times New Roman" w:cs="Times New Roman"/>
          <w:kern w:val="2"/>
          <w:sz w:val="32"/>
          <w:szCs w:val="32"/>
        </w:rPr>
      </w:pPr>
      <w:r>
        <w:rPr>
          <w:rFonts w:hint="eastAsia" w:ascii="Times New Roman" w:hAnsi="Times New Roman" w:eastAsia="黑体" w:cs="黑体"/>
          <w:kern w:val="2"/>
          <w:sz w:val="32"/>
          <w:szCs w:val="32"/>
        </w:rPr>
        <w:t>附件5</w:t>
      </w:r>
    </w:p>
    <w:p w14:paraId="526D4397">
      <w:pPr>
        <w:pStyle w:val="9"/>
        <w:spacing w:before="0" w:after="0" w:line="640" w:lineRule="exact"/>
        <w:ind w:firstLine="0" w:firstLineChars="0"/>
        <w:rPr>
          <w:rFonts w:hint="eastAsia" w:ascii="黑体" w:hAnsi="黑体" w:cs="黑体"/>
          <w:sz w:val="32"/>
        </w:rPr>
      </w:pPr>
      <w:r>
        <w:rPr>
          <w:rFonts w:hint="eastAsia" w:ascii="黑体" w:hAnsi="黑体" w:cs="黑体"/>
          <w:sz w:val="32"/>
        </w:rPr>
        <w:t>广东省简易流程清洁生产审核技术指引</w:t>
      </w:r>
    </w:p>
    <w:p w14:paraId="1E46A55B">
      <w:pPr>
        <w:pStyle w:val="9"/>
        <w:spacing w:before="0" w:after="0" w:line="640" w:lineRule="exact"/>
        <w:ind w:firstLine="0" w:firstLineChars="0"/>
        <w:rPr>
          <w:rFonts w:hint="eastAsia" w:ascii="黑体" w:hAnsi="黑体" w:cs="黑体"/>
          <w:b w:val="0"/>
          <w:bCs/>
          <w:color w:val="auto"/>
          <w:sz w:val="32"/>
        </w:rPr>
      </w:pPr>
      <w:r>
        <w:rPr>
          <w:rFonts w:hint="eastAsia" w:ascii="黑体" w:hAnsi="黑体" w:cs="黑体"/>
          <w:b w:val="0"/>
          <w:bCs/>
          <w:color w:val="auto"/>
          <w:sz w:val="32"/>
        </w:rPr>
        <w:t>（强制性审核）</w:t>
      </w:r>
    </w:p>
    <w:p w14:paraId="0B5AAEBE">
      <w:pPr>
        <w:pStyle w:val="18"/>
        <w:spacing w:before="0" w:beforeLines="0" w:line="240" w:lineRule="auto"/>
        <w:ind w:firstLine="640"/>
        <w:rPr>
          <w:sz w:val="32"/>
          <w:szCs w:val="32"/>
        </w:rPr>
      </w:pPr>
    </w:p>
    <w:p w14:paraId="73FC802C">
      <w:pPr>
        <w:widowControl/>
        <w:ind w:firstLine="420"/>
        <w:jc w:val="both"/>
        <w:rPr>
          <w:rFonts w:cs="Times New Roman"/>
          <w:color w:val="000000"/>
          <w:kern w:val="0"/>
          <w:szCs w:val="21"/>
          <w:lang w:bidi="ar"/>
        </w:rPr>
      </w:pPr>
      <w:r>
        <w:rPr>
          <w:rFonts w:cs="Times New Roman"/>
          <w:color w:val="000000"/>
          <w:kern w:val="0"/>
          <w:szCs w:val="21"/>
          <w:lang w:bidi="ar"/>
        </w:rPr>
        <w:t>为</w:t>
      </w:r>
      <w:r>
        <w:rPr>
          <w:rFonts w:hint="eastAsia" w:cs="Times New Roman"/>
          <w:color w:val="000000"/>
          <w:kern w:val="0"/>
          <w:szCs w:val="21"/>
          <w:lang w:val="en-US" w:eastAsia="zh-CN" w:bidi="ar"/>
        </w:rPr>
        <w:t>贯彻</w:t>
      </w:r>
      <w:r>
        <w:rPr>
          <w:rFonts w:cs="Times New Roman"/>
          <w:color w:val="000000"/>
          <w:kern w:val="0"/>
          <w:szCs w:val="21"/>
          <w:lang w:bidi="ar"/>
        </w:rPr>
        <w:t>落实《“十四五”全国清洁生产推行方案》《广东省全面推行清洁生产实施方案（2023-2025年）》</w:t>
      </w:r>
      <w:r>
        <w:rPr>
          <w:rFonts w:hint="eastAsia" w:cs="Times New Roman"/>
          <w:color w:val="000000"/>
          <w:kern w:val="0"/>
          <w:szCs w:val="21"/>
          <w:lang w:val="en-US" w:eastAsia="zh-CN" w:bidi="ar"/>
        </w:rPr>
        <w:t>相关要求</w:t>
      </w:r>
      <w:r>
        <w:rPr>
          <w:rFonts w:hint="eastAsia" w:cs="Times New Roman"/>
          <w:color w:val="000000"/>
          <w:kern w:val="0"/>
          <w:szCs w:val="21"/>
          <w:lang w:bidi="ar"/>
        </w:rPr>
        <w:t>，深入实施差异化清洁生产审核制度</w:t>
      </w:r>
      <w:r>
        <w:rPr>
          <w:rFonts w:cs="Times New Roman"/>
          <w:color w:val="000000"/>
          <w:kern w:val="0"/>
          <w:szCs w:val="21"/>
          <w:highlight w:val="none"/>
          <w:lang w:bidi="ar"/>
        </w:rPr>
        <w:t>，</w:t>
      </w:r>
      <w:r>
        <w:rPr>
          <w:rFonts w:hint="eastAsia" w:cs="Times New Roman"/>
          <w:color w:val="000000"/>
          <w:kern w:val="0"/>
          <w:szCs w:val="21"/>
          <w:highlight w:val="none"/>
          <w:lang w:bidi="ar"/>
        </w:rPr>
        <w:t>指导应实施强制性清洁生产审核的企业（仅限于符合采用简易流程审核方式情形）规范开展简易流程审核工作</w:t>
      </w:r>
      <w:r>
        <w:rPr>
          <w:rFonts w:cs="Times New Roman"/>
          <w:color w:val="000000"/>
          <w:kern w:val="0"/>
          <w:szCs w:val="21"/>
          <w:lang w:bidi="ar"/>
        </w:rPr>
        <w:t>，制定本指引。</w:t>
      </w:r>
    </w:p>
    <w:p w14:paraId="4A8D5370">
      <w:pPr>
        <w:widowControl/>
        <w:ind w:firstLine="420"/>
        <w:jc w:val="left"/>
        <w:rPr>
          <w:rFonts w:hint="eastAsia" w:ascii="宋体" w:hAnsi="宋体" w:cs="宋体"/>
          <w:color w:val="000000"/>
          <w:kern w:val="0"/>
          <w:szCs w:val="21"/>
          <w:lang w:bidi="ar"/>
        </w:rPr>
      </w:pPr>
      <w:r>
        <w:rPr>
          <w:rFonts w:hint="eastAsia" w:ascii="宋体" w:hAnsi="宋体" w:cs="宋体"/>
          <w:color w:val="000000"/>
          <w:kern w:val="0"/>
          <w:szCs w:val="21"/>
          <w:lang w:bidi="ar"/>
        </w:rPr>
        <w:t>本指引规定了简易流程清洁生产审核的</w:t>
      </w:r>
      <w:r>
        <w:rPr>
          <w:rFonts w:hint="eastAsia"/>
          <w:szCs w:val="21"/>
        </w:rPr>
        <w:t>工作程序、基本内容及</w:t>
      </w:r>
      <w:r>
        <w:rPr>
          <w:szCs w:val="21"/>
        </w:rPr>
        <w:t>技术要点</w:t>
      </w:r>
      <w:r>
        <w:rPr>
          <w:rFonts w:hint="eastAsia" w:ascii="宋体" w:hAnsi="宋体" w:cs="宋体"/>
          <w:color w:val="000000"/>
          <w:kern w:val="0"/>
          <w:szCs w:val="21"/>
          <w:lang w:bidi="ar"/>
        </w:rPr>
        <w:t>。</w:t>
      </w:r>
    </w:p>
    <w:p w14:paraId="49035788">
      <w:pPr>
        <w:pStyle w:val="2"/>
        <w:ind w:firstLine="562"/>
      </w:pPr>
      <w:r>
        <w:rPr>
          <w:rFonts w:hint="eastAsia"/>
        </w:rPr>
        <w:t>1定义与适用范围</w:t>
      </w:r>
    </w:p>
    <w:p w14:paraId="4D72460E">
      <w:pPr>
        <w:ind w:firstLine="420"/>
      </w:pPr>
      <w:r>
        <w:t>简易流程清洁生产审核</w:t>
      </w:r>
      <w:r>
        <w:rPr>
          <w:rFonts w:hint="eastAsia"/>
        </w:rPr>
        <w:t>是常规清洁生产审核的简化版，具有</w:t>
      </w:r>
      <w:r>
        <w:t>流程简化</w:t>
      </w:r>
      <w:r>
        <w:rPr>
          <w:rFonts w:hint="eastAsia"/>
        </w:rPr>
        <w:t>、重点突出、方法灵活、快速实施等特点。</w:t>
      </w:r>
      <w:r>
        <w:t>简易</w:t>
      </w:r>
      <w:r>
        <w:rPr>
          <w:rFonts w:hint="eastAsia"/>
          <w:lang w:val="en-US" w:eastAsia="zh-CN"/>
        </w:rPr>
        <w:t>流程</w:t>
      </w:r>
      <w:r>
        <w:t>清洁生产审核</w:t>
      </w:r>
      <w:r>
        <w:rPr>
          <w:rFonts w:hint="eastAsia"/>
        </w:rPr>
        <w:t>优化了清洁生产审核步骤、程序，采用结构化的表格替代了传统的审核报告，企业可在前期清洁生产审核基础上，聚焦新发现、新产生的能耗高、物耗高和污染重等关键环节，采用简易灵活的分析方法和工具，识别企业生产和服务过程中资源能源浪费和环境污染的原因和清洁生产机会，有针对性的提出并实施进一步减少有毒有害物料使用、产生，降低能耗、物耗及废弃物产生的方案。</w:t>
      </w:r>
    </w:p>
    <w:p w14:paraId="0C250B61">
      <w:pPr>
        <w:ind w:firstLine="420"/>
      </w:pPr>
      <w:r>
        <w:rPr>
          <w:rFonts w:hint="eastAsia"/>
        </w:rPr>
        <w:t>本指引适用于《广东省生态环境厅强制性清洁生产审核及验收工作流程》中规定的“</w:t>
      </w:r>
      <w:r>
        <w:rPr>
          <w:rFonts w:hint="eastAsia"/>
          <w:lang w:val="en-US" w:eastAsia="zh-CN"/>
        </w:rPr>
        <w:t>①</w:t>
      </w:r>
      <w:r>
        <w:rPr>
          <w:rFonts w:hint="eastAsia"/>
        </w:rPr>
        <w:t>国家、省或</w:t>
      </w:r>
      <w:r>
        <w:rPr>
          <w:rFonts w:hint="eastAsia"/>
          <w:highlight w:val="none"/>
        </w:rPr>
        <w:t>市考核的生态环境相关规划、行动计划中明确指出需要开展强制性清洁生产审核工作的企业</w:t>
      </w:r>
      <w:r>
        <w:rPr>
          <w:rFonts w:hint="eastAsia"/>
          <w:highlight w:val="none"/>
          <w:lang w:eastAsia="zh-CN"/>
        </w:rPr>
        <w:t>；</w:t>
      </w:r>
      <w:r>
        <w:rPr>
          <w:rFonts w:hint="eastAsia"/>
          <w:highlight w:val="none"/>
          <w:lang w:val="en-US" w:eastAsia="zh-CN"/>
        </w:rPr>
        <w:t>②</w:t>
      </w:r>
      <w:r>
        <w:rPr>
          <w:rFonts w:hint="eastAsia"/>
          <w:highlight w:val="none"/>
        </w:rPr>
        <w:t>实行排污许可</w:t>
      </w:r>
      <w:r>
        <w:rPr>
          <w:rFonts w:hint="eastAsia"/>
        </w:rPr>
        <w:t>重点管理或纳入环境监管重点单位名录内的企业”，</w:t>
      </w:r>
      <w:r>
        <w:rPr>
          <w:rFonts w:hint="eastAsia"/>
          <w:lang w:val="en-US" w:eastAsia="zh-CN"/>
        </w:rPr>
        <w:t>以上两类企业</w:t>
      </w:r>
      <w:r>
        <w:rPr>
          <w:rFonts w:hint="eastAsia"/>
        </w:rPr>
        <w:t>已开展两轮及以上清洁生产审核并通过验收，且最近一轮清洁生产审核验收后达到相关行业清洁生产评价指标体系Ⅱ级</w:t>
      </w:r>
      <w:r>
        <w:rPr>
          <w:rFonts w:hint="eastAsia"/>
          <w:lang w:val="en-US" w:eastAsia="zh-CN"/>
        </w:rPr>
        <w:t>及以上</w:t>
      </w:r>
      <w:r>
        <w:rPr>
          <w:rFonts w:hint="eastAsia"/>
        </w:rPr>
        <w:t>水平的企业。</w:t>
      </w:r>
    </w:p>
    <w:p w14:paraId="15F80D2F">
      <w:pPr>
        <w:pStyle w:val="2"/>
        <w:ind w:firstLine="562"/>
      </w:pPr>
      <w:r>
        <w:rPr>
          <w:rFonts w:hint="eastAsia"/>
        </w:rPr>
        <w:t>2工作程序</w:t>
      </w:r>
    </w:p>
    <w:p w14:paraId="29253BD8">
      <w:pPr>
        <w:ind w:firstLine="420"/>
      </w:pPr>
      <w:r>
        <w:rPr>
          <w:rFonts w:hint="eastAsia"/>
        </w:rPr>
        <w:t>简易流程清洁生产审核工作程序原则上包括审核准备、现状调研及问题分析、方案确定与实施、绩效分析与汇总四个阶段（见图1）。</w:t>
      </w:r>
    </w:p>
    <w:p w14:paraId="64D2AD4F">
      <w:pPr>
        <w:ind w:firstLine="420"/>
        <w:rPr>
          <w:rFonts w:cs="Times New Roman" w:eastAsiaTheme="majorEastAsia"/>
          <w:color w:val="auto"/>
        </w:rPr>
      </w:pPr>
      <w:r>
        <w:rPr>
          <w:rFonts w:hint="eastAsia"/>
        </w:rPr>
        <w:t>审核准备：</w:t>
      </w:r>
      <w:r>
        <w:rPr>
          <w:rFonts w:cs="Times New Roman" w:eastAsiaTheme="majorEastAsia"/>
        </w:rPr>
        <w:t>建立由</w:t>
      </w:r>
      <w:r>
        <w:rPr>
          <w:rFonts w:cs="Times New Roman" w:eastAsiaTheme="majorEastAsia"/>
          <w:color w:val="auto"/>
        </w:rPr>
        <w:t>高层领导挂帅</w:t>
      </w:r>
      <w:r>
        <w:rPr>
          <w:rFonts w:hint="eastAsia" w:cs="Times New Roman" w:eastAsiaTheme="majorEastAsia"/>
          <w:color w:val="auto"/>
        </w:rPr>
        <w:t>的跨部门</w:t>
      </w:r>
      <w:r>
        <w:rPr>
          <w:rFonts w:cs="Times New Roman" w:eastAsiaTheme="majorEastAsia"/>
          <w:color w:val="auto"/>
        </w:rPr>
        <w:t>清洁生产审核小组</w:t>
      </w:r>
      <w:r>
        <w:rPr>
          <w:rFonts w:hint="eastAsia" w:cs="Times New Roman" w:eastAsiaTheme="majorEastAsia"/>
          <w:color w:val="auto"/>
        </w:rPr>
        <w:t>，</w:t>
      </w:r>
      <w:r>
        <w:rPr>
          <w:rFonts w:cs="Times New Roman" w:eastAsiaTheme="majorEastAsia"/>
          <w:color w:val="auto"/>
        </w:rPr>
        <w:t>制定</w:t>
      </w:r>
      <w:r>
        <w:rPr>
          <w:rFonts w:hint="eastAsia" w:cs="Times New Roman" w:eastAsiaTheme="majorEastAsia"/>
          <w:color w:val="auto"/>
        </w:rPr>
        <w:t>任务明确、职责清晰的</w:t>
      </w:r>
      <w:r>
        <w:rPr>
          <w:rFonts w:cs="Times New Roman" w:eastAsiaTheme="majorEastAsia"/>
          <w:color w:val="auto"/>
        </w:rPr>
        <w:t>审核计划</w:t>
      </w:r>
      <w:r>
        <w:rPr>
          <w:rFonts w:hint="eastAsia" w:cs="Times New Roman" w:eastAsiaTheme="majorEastAsia"/>
          <w:color w:val="auto"/>
        </w:rPr>
        <w:t>，组织</w:t>
      </w:r>
      <w:r>
        <w:rPr>
          <w:rFonts w:cs="Times New Roman" w:eastAsiaTheme="majorEastAsia"/>
          <w:color w:val="auto"/>
        </w:rPr>
        <w:t>开展</w:t>
      </w:r>
      <w:r>
        <w:rPr>
          <w:rFonts w:hint="eastAsia" w:cs="Times New Roman" w:eastAsiaTheme="majorEastAsia"/>
          <w:color w:val="auto"/>
        </w:rPr>
        <w:t>多层次清洁生产宣贯</w:t>
      </w:r>
      <w:r>
        <w:rPr>
          <w:rFonts w:hint="eastAsia" w:cs="Times New Roman" w:eastAsiaTheme="majorEastAsia"/>
          <w:color w:val="auto"/>
          <w:lang w:val="en-US" w:eastAsia="zh-CN"/>
        </w:rPr>
        <w:t>培训</w:t>
      </w:r>
      <w:r>
        <w:rPr>
          <w:rFonts w:hint="eastAsia" w:cs="Times New Roman" w:eastAsiaTheme="majorEastAsia"/>
          <w:color w:val="auto"/>
        </w:rPr>
        <w:t>，</w:t>
      </w:r>
      <w:r>
        <w:rPr>
          <w:rFonts w:cs="Times New Roman" w:eastAsiaTheme="majorEastAsia"/>
          <w:color w:val="auto"/>
        </w:rPr>
        <w:t>提升</w:t>
      </w:r>
      <w:r>
        <w:rPr>
          <w:rFonts w:hint="eastAsia" w:cs="Times New Roman" w:eastAsiaTheme="majorEastAsia"/>
          <w:color w:val="auto"/>
        </w:rPr>
        <w:t>全</w:t>
      </w:r>
      <w:r>
        <w:rPr>
          <w:rFonts w:cs="Times New Roman" w:eastAsiaTheme="majorEastAsia"/>
          <w:color w:val="auto"/>
        </w:rPr>
        <w:t>员清洁生产意识</w:t>
      </w:r>
      <w:r>
        <w:rPr>
          <w:rFonts w:hint="eastAsia" w:cs="Times New Roman" w:eastAsiaTheme="majorEastAsia"/>
          <w:color w:val="auto"/>
        </w:rPr>
        <w:t>。</w:t>
      </w:r>
    </w:p>
    <w:p w14:paraId="69C11FBB">
      <w:pPr>
        <w:ind w:firstLine="420"/>
        <w:rPr>
          <w:color w:val="auto"/>
        </w:rPr>
      </w:pPr>
      <w:r>
        <w:rPr>
          <w:color w:val="auto"/>
        </w:rPr>
        <w:t>现状调研及问题分析</w:t>
      </w:r>
      <w:r>
        <w:rPr>
          <w:rFonts w:hint="eastAsia"/>
          <w:color w:val="auto"/>
        </w:rPr>
        <w:t>：开展现场调研及资料收集，结合纳入名单原因和审核重点，有选择地从原辅材料和能源、技术工艺、设备、过程控制、产品、废弃物、管理及人员等8个方面，准确地识别生产活动中存在的资源利用率低、能源消耗大、</w:t>
      </w:r>
      <w:r>
        <w:rPr>
          <w:rFonts w:hint="eastAsia"/>
          <w:color w:val="auto"/>
          <w:lang w:val="en-US" w:eastAsia="zh-CN"/>
        </w:rPr>
        <w:t>污染物</w:t>
      </w:r>
      <w:r>
        <w:rPr>
          <w:rFonts w:hint="eastAsia"/>
          <w:color w:val="auto"/>
        </w:rPr>
        <w:t>排放</w:t>
      </w:r>
      <w:r>
        <w:rPr>
          <w:rFonts w:hint="eastAsia"/>
          <w:color w:val="auto"/>
          <w:lang w:val="en-US" w:eastAsia="zh-CN"/>
        </w:rPr>
        <w:t>量大</w:t>
      </w:r>
      <w:r>
        <w:rPr>
          <w:rFonts w:hint="eastAsia"/>
          <w:color w:val="auto"/>
        </w:rPr>
        <w:t>等问题，以及其他潜在的环境风险点，深入分析其原因，挖掘提高原辅料、水和能源利用效率，减少污染物产生和碳排放的潜力，提出改进建议。</w:t>
      </w:r>
    </w:p>
    <w:p w14:paraId="078CB46D">
      <w:pPr>
        <w:ind w:firstLine="420"/>
        <w:rPr>
          <w:color w:val="auto"/>
        </w:rPr>
      </w:pPr>
      <w:r>
        <w:rPr>
          <w:rFonts w:hint="eastAsia"/>
          <w:color w:val="auto"/>
        </w:rPr>
        <w:t>方案确定与实施：总结整理改进建议，汇总形成清洁生产方案，针对重点方案进行技术、环境、经济可行性分析，筛选确定并实施本轮清洁生产方案。</w:t>
      </w:r>
    </w:p>
    <w:p w14:paraId="3B219454">
      <w:pPr>
        <w:ind w:firstLine="420"/>
        <w:rPr>
          <w:color w:val="auto"/>
        </w:rPr>
      </w:pPr>
      <w:r>
        <w:rPr>
          <w:rFonts w:hint="eastAsia"/>
          <w:color w:val="auto"/>
        </w:rPr>
        <w:t>绩效分析与汇总：统计汇总本轮已实施清洁生产方案的环境经济绩效，评估企业清洁生产水平提升程度，分析实施前后清洁生产目标完成情况。</w:t>
      </w:r>
    </w:p>
    <w:p w14:paraId="23C1C7AF">
      <w:pPr>
        <w:pStyle w:val="19"/>
        <w:spacing w:line="240" w:lineRule="auto"/>
        <w:ind w:firstLine="0" w:firstLineChars="0"/>
        <w:jc w:val="center"/>
        <w:rPr>
          <w:rFonts w:hint="eastAsia" w:eastAsia="仿宋_GB2312"/>
          <w:lang w:eastAsia="zh-CN"/>
        </w:rPr>
      </w:pPr>
      <w:r>
        <w:rPr>
          <w:rFonts w:hint="eastAsia" w:eastAsia="仿宋_GB2312"/>
          <w:lang w:eastAsia="zh-CN"/>
        </w:rPr>
        <w:drawing>
          <wp:inline distT="0" distB="0" distL="114300" distR="114300">
            <wp:extent cx="4519930" cy="5859780"/>
            <wp:effectExtent l="0" t="0" r="13970" b="7620"/>
            <wp:docPr id="3" name="图片 3" descr="广东省简易工作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广东省简易工作流程图"/>
                    <pic:cNvPicPr>
                      <a:picLocks noChangeAspect="1"/>
                    </pic:cNvPicPr>
                  </pic:nvPicPr>
                  <pic:blipFill>
                    <a:blip r:embed="rId13"/>
                    <a:stretch>
                      <a:fillRect/>
                    </a:stretch>
                  </pic:blipFill>
                  <pic:spPr>
                    <a:xfrm>
                      <a:off x="0" y="0"/>
                      <a:ext cx="4519930" cy="5859780"/>
                    </a:xfrm>
                    <a:prstGeom prst="rect">
                      <a:avLst/>
                    </a:prstGeom>
                  </pic:spPr>
                </pic:pic>
              </a:graphicData>
            </a:graphic>
          </wp:inline>
        </w:drawing>
      </w:r>
    </w:p>
    <w:p w14:paraId="22C54E14">
      <w:pPr>
        <w:pStyle w:val="19"/>
        <w:spacing w:line="240" w:lineRule="auto"/>
        <w:ind w:firstLine="0" w:firstLineChars="0"/>
        <w:jc w:val="center"/>
        <w:rPr>
          <w:rFonts w:eastAsia="黑体" w:cs="Times New Roman"/>
          <w:sz w:val="18"/>
          <w:szCs w:val="18"/>
        </w:rPr>
      </w:pPr>
      <w:r>
        <w:rPr>
          <w:rFonts w:eastAsia="黑体" w:cs="Times New Roman"/>
          <w:sz w:val="18"/>
          <w:szCs w:val="18"/>
        </w:rPr>
        <w:t>图1 简易流程清洁生产审核工作程序图</w:t>
      </w:r>
    </w:p>
    <w:p w14:paraId="7640D496">
      <w:pPr>
        <w:pStyle w:val="2"/>
        <w:ind w:firstLine="562"/>
      </w:pPr>
      <w:bookmarkStart w:id="0" w:name="_Toc452643984"/>
      <w:bookmarkStart w:id="1" w:name="_Toc452975004"/>
      <w:bookmarkStart w:id="2" w:name="_Toc450900957"/>
      <w:bookmarkStart w:id="3" w:name="_Toc451434288"/>
      <w:bookmarkStart w:id="4" w:name="_Toc452972029"/>
      <w:r>
        <w:rPr>
          <w:rFonts w:hint="eastAsia"/>
        </w:rPr>
        <w:t>3技术要点</w:t>
      </w:r>
    </w:p>
    <w:p w14:paraId="1F2CFCD5">
      <w:pPr>
        <w:pStyle w:val="3"/>
        <w:ind w:firstLine="480"/>
      </w:pPr>
      <w:r>
        <w:rPr>
          <w:rFonts w:hint="eastAsia"/>
        </w:rPr>
        <w:t>3.1审核准备</w:t>
      </w:r>
      <w:bookmarkEnd w:id="0"/>
      <w:bookmarkEnd w:id="1"/>
      <w:bookmarkEnd w:id="2"/>
      <w:bookmarkEnd w:id="3"/>
      <w:bookmarkEnd w:id="4"/>
    </w:p>
    <w:p w14:paraId="6E99160F">
      <w:pPr>
        <w:pStyle w:val="4"/>
        <w:ind w:firstLine="420"/>
      </w:pPr>
      <w:r>
        <w:rPr>
          <w:rFonts w:hint="eastAsia"/>
        </w:rPr>
        <w:t>3.1.1建立清洁生产审核小组</w:t>
      </w:r>
    </w:p>
    <w:p w14:paraId="6724C156">
      <w:pPr>
        <w:ind w:firstLine="420"/>
      </w:pPr>
      <w:r>
        <w:rPr>
          <w:rFonts w:hint="eastAsia"/>
          <w:lang w:eastAsia="zh-CN"/>
        </w:rPr>
        <w:t>（</w:t>
      </w:r>
      <w:r>
        <w:rPr>
          <w:rFonts w:hint="eastAsia"/>
          <w:lang w:val="en-US" w:eastAsia="zh-CN"/>
        </w:rPr>
        <w:t>1</w:t>
      </w:r>
      <w:r>
        <w:rPr>
          <w:rFonts w:hint="eastAsia"/>
          <w:lang w:eastAsia="zh-CN"/>
        </w:rPr>
        <w:t>）</w:t>
      </w:r>
      <w:r>
        <w:rPr>
          <w:rFonts w:hint="eastAsia" w:ascii="Times New Roman" w:hAnsi="Times New Roman" w:eastAsia="宋体"/>
        </w:rPr>
        <w:t>审核小组职责：</w:t>
      </w:r>
      <w:r>
        <w:rPr>
          <w:rFonts w:hint="eastAsia"/>
        </w:rPr>
        <w:t>负责整个审核过程统筹规划、实施和监督的临时性机构。</w:t>
      </w:r>
    </w:p>
    <w:p w14:paraId="2028AD87">
      <w:pPr>
        <w:ind w:firstLine="420"/>
      </w:pPr>
      <w:r>
        <w:rPr>
          <w:rFonts w:hint="eastAsia" w:ascii="Times New Roman" w:hAnsi="Times New Roman" w:eastAsia="宋体"/>
          <w:lang w:eastAsia="zh-CN"/>
        </w:rPr>
        <w:t>（</w:t>
      </w:r>
      <w:r>
        <w:rPr>
          <w:rFonts w:hint="eastAsia" w:ascii="Times New Roman" w:hAnsi="Times New Roman" w:eastAsia="宋体"/>
          <w:lang w:val="en-US" w:eastAsia="zh-CN"/>
        </w:rPr>
        <w:t>2</w:t>
      </w:r>
      <w:r>
        <w:rPr>
          <w:rFonts w:hint="eastAsia" w:ascii="Times New Roman" w:hAnsi="Times New Roman" w:eastAsia="宋体"/>
          <w:lang w:eastAsia="zh-CN"/>
        </w:rPr>
        <w:t>）</w:t>
      </w:r>
      <w:r>
        <w:rPr>
          <w:rFonts w:hint="eastAsia" w:ascii="Times New Roman" w:hAnsi="Times New Roman" w:eastAsia="宋体"/>
        </w:rPr>
        <w:t>审核小组构成</w:t>
      </w:r>
      <w:r>
        <w:rPr>
          <w:rFonts w:hint="eastAsia"/>
        </w:rPr>
        <w:t>：</w:t>
      </w:r>
    </w:p>
    <w:p w14:paraId="4D766198">
      <w:pPr>
        <w:ind w:firstLine="420"/>
      </w:pPr>
      <w:r>
        <w:rPr>
          <w:rFonts w:hint="eastAsia"/>
        </w:rPr>
        <w:t>组长：由企业高层领导人兼任组长，原则上应由企业总经理或分管副总经理兼任。组长需熟悉企业生产工艺、管理与技术，了解污染防治原则和审核工作机制，具备领导和组织协调工作等能力。组长主要</w:t>
      </w:r>
      <w:r>
        <w:t>负责指导整体方向和决策</w:t>
      </w:r>
      <w:r>
        <w:rPr>
          <w:rFonts w:hint="eastAsia"/>
        </w:rPr>
        <w:t>，牵头制定工作计划，推动企业颁布相关规定与措施，监督与推动清洁生产审核工作进展。</w:t>
      </w:r>
    </w:p>
    <w:p w14:paraId="193C1EAA">
      <w:pPr>
        <w:ind w:firstLine="420"/>
      </w:pPr>
      <w:r>
        <w:rPr>
          <w:rFonts w:hint="eastAsia"/>
        </w:rPr>
        <w:t>组员：审核小组的组成根据企业实际情况确定，成员原则上应包括企业生产、管理、环保、技术、财务等有关部门的负责人，并具体承担</w:t>
      </w:r>
      <w:r>
        <w:t>如</w:t>
      </w:r>
      <w:r>
        <w:rPr>
          <w:rFonts w:hint="eastAsia"/>
        </w:rPr>
        <w:t>宣贯培训、现场调研、</w:t>
      </w:r>
      <w:r>
        <w:t>数据收集</w:t>
      </w:r>
      <w:r>
        <w:rPr>
          <w:rFonts w:hint="eastAsia"/>
        </w:rPr>
        <w:t>与</w:t>
      </w:r>
      <w:r>
        <w:t>分析</w:t>
      </w:r>
      <w:r>
        <w:rPr>
          <w:rFonts w:hint="eastAsia"/>
        </w:rPr>
        <w:t>、资金筹措、方案筛选与实施等</w:t>
      </w:r>
      <w:r>
        <w:t>任务</w:t>
      </w:r>
      <w:r>
        <w:rPr>
          <w:rFonts w:hint="eastAsia"/>
        </w:rPr>
        <w:t>。</w:t>
      </w:r>
    </w:p>
    <w:p w14:paraId="2A2AC196">
      <w:pPr>
        <w:ind w:firstLine="420"/>
      </w:pPr>
      <w:r>
        <w:rPr>
          <w:rFonts w:hint="eastAsia" w:ascii="Times New Roman" w:hAnsi="Times New Roman" w:eastAsia="宋体"/>
          <w:lang w:eastAsia="zh-CN"/>
        </w:rPr>
        <w:t>（</w:t>
      </w:r>
      <w:r>
        <w:rPr>
          <w:rFonts w:hint="eastAsia" w:ascii="Times New Roman" w:hAnsi="Times New Roman" w:eastAsia="宋体"/>
          <w:lang w:val="en-US" w:eastAsia="zh-CN"/>
        </w:rPr>
        <w:t>3</w:t>
      </w:r>
      <w:r>
        <w:rPr>
          <w:rFonts w:hint="eastAsia" w:ascii="Times New Roman" w:hAnsi="Times New Roman" w:eastAsia="宋体"/>
          <w:lang w:eastAsia="zh-CN"/>
        </w:rPr>
        <w:t>）</w:t>
      </w:r>
      <w:r>
        <w:rPr>
          <w:rFonts w:hint="eastAsia" w:ascii="Times New Roman" w:hAnsi="Times New Roman" w:eastAsia="宋体"/>
        </w:rPr>
        <w:t>审核小组运行机制：</w:t>
      </w:r>
      <w:r>
        <w:rPr>
          <w:rFonts w:hint="eastAsia"/>
        </w:rPr>
        <w:t>包括定期例会制度、进度控制制度、问题反馈及报告机制。</w:t>
      </w:r>
    </w:p>
    <w:p w14:paraId="0701464F">
      <w:pPr>
        <w:ind w:firstLine="420"/>
      </w:pPr>
      <w:r>
        <w:rPr>
          <w:rFonts w:hint="eastAsia"/>
        </w:rPr>
        <w:t>定期例会制度。相关责任人汇报工作内容及进度，分析存在技术、进度、资金等问题，讨论完善措施，并进行记录。</w:t>
      </w:r>
    </w:p>
    <w:p w14:paraId="2306001D">
      <w:pPr>
        <w:ind w:firstLine="420"/>
      </w:pPr>
      <w:r>
        <w:rPr>
          <w:rFonts w:hint="eastAsia"/>
        </w:rPr>
        <w:t>进度控制制度。专人负责进度监督，定期组织进度讨论，讨论延迟的原因，提出改进措施。</w:t>
      </w:r>
    </w:p>
    <w:p w14:paraId="1697A32A">
      <w:pPr>
        <w:ind w:firstLine="420"/>
      </w:pPr>
      <w:r>
        <w:rPr>
          <w:rFonts w:hint="eastAsia"/>
        </w:rPr>
        <w:t>问题反馈及报告机制。如遇重大问题，相关责任人需在一定期限内由下至上进行报告，确保问题及时反馈并解决。</w:t>
      </w:r>
    </w:p>
    <w:p w14:paraId="684518EA">
      <w:pPr>
        <w:pStyle w:val="4"/>
        <w:ind w:firstLine="420"/>
      </w:pPr>
      <w:r>
        <w:rPr>
          <w:rFonts w:hint="eastAsia"/>
        </w:rPr>
        <w:t>3.1.2制定审核工作计划</w:t>
      </w:r>
    </w:p>
    <w:p w14:paraId="777BE42C">
      <w:pPr>
        <w:ind w:firstLine="420"/>
      </w:pPr>
      <w:r>
        <w:rPr>
          <w:rFonts w:hint="eastAsia"/>
        </w:rPr>
        <w:t>审核工作计划主要包括各阶段工作内容、完成时间、责任部门及负责人等。</w:t>
      </w:r>
    </w:p>
    <w:p w14:paraId="28DB18BA">
      <w:pPr>
        <w:ind w:firstLine="420"/>
      </w:pPr>
      <w:r>
        <w:rPr>
          <w:rFonts w:hint="eastAsia"/>
        </w:rPr>
        <w:t>审核工作计划应重点关注审核</w:t>
      </w:r>
      <w:r>
        <w:rPr>
          <w:rFonts w:hint="eastAsia"/>
          <w:lang w:val="en-US" w:eastAsia="zh-CN"/>
        </w:rPr>
        <w:t>工作</w:t>
      </w:r>
      <w:r>
        <w:rPr>
          <w:rFonts w:hint="eastAsia"/>
        </w:rPr>
        <w:t>的时间节点，选取的时间节点与企业所制定的年度工作计划相匹配。各阶段所需的工作时长要充分结合企业实际生产经营情况考虑，可适当预留一定的时间，确保企业能按时完成审核工作。责任部门和负责人需要各司其职，</w:t>
      </w:r>
      <w:r>
        <w:rPr>
          <w:rFonts w:hint="eastAsia"/>
          <w:lang w:val="en-US" w:eastAsia="zh-CN"/>
        </w:rPr>
        <w:t>在</w:t>
      </w:r>
      <w:r>
        <w:rPr>
          <w:rFonts w:hint="eastAsia"/>
        </w:rPr>
        <w:t>各阶段都发挥应有的作用。</w:t>
      </w:r>
    </w:p>
    <w:p w14:paraId="18FF3FBA">
      <w:pPr>
        <w:pStyle w:val="4"/>
        <w:ind w:firstLine="420"/>
      </w:pPr>
      <w:r>
        <w:rPr>
          <w:rFonts w:hint="eastAsia"/>
        </w:rPr>
        <w:t>3.1.3开展宣贯培训</w:t>
      </w:r>
    </w:p>
    <w:p w14:paraId="2356D2C3">
      <w:pPr>
        <w:ind w:firstLine="420"/>
      </w:pPr>
      <w:r>
        <w:rPr>
          <w:rFonts w:hint="eastAsia"/>
        </w:rPr>
        <w:t>宣贯培训旨在提升全体员工的清洁生产意识，掌握清洁生产审核相关知识，有效动员全体员工积极参与。可采用专题培训、线上分享、宣传栏、车间看板及企业例会等多种方式。宣贯培训内容包括但不限于：</w:t>
      </w:r>
    </w:p>
    <w:p w14:paraId="4977DB9A">
      <w:pPr>
        <w:numPr>
          <w:ilvl w:val="0"/>
          <w:numId w:val="2"/>
        </w:numPr>
        <w:ind w:firstLine="420"/>
      </w:pPr>
      <w:r>
        <w:rPr>
          <w:rFonts w:hint="eastAsia"/>
        </w:rPr>
        <w:t>清洁生产有关政策、法规及激励措施；</w:t>
      </w:r>
    </w:p>
    <w:p w14:paraId="70456521">
      <w:pPr>
        <w:numPr>
          <w:ilvl w:val="0"/>
          <w:numId w:val="2"/>
        </w:numPr>
        <w:ind w:firstLine="420"/>
      </w:pPr>
      <w:r>
        <w:rPr>
          <w:rFonts w:hint="eastAsia"/>
        </w:rPr>
        <w:t>简易流程清洁生产审核工作程序与内容；</w:t>
      </w:r>
    </w:p>
    <w:p w14:paraId="2FA49C55">
      <w:pPr>
        <w:numPr>
          <w:ilvl w:val="0"/>
          <w:numId w:val="2"/>
        </w:numPr>
        <w:ind w:firstLine="420"/>
      </w:pPr>
      <w:r>
        <w:rPr>
          <w:rFonts w:hint="eastAsia"/>
        </w:rPr>
        <w:t>清洁生产审核技巧与方法；</w:t>
      </w:r>
    </w:p>
    <w:p w14:paraId="7C181522">
      <w:pPr>
        <w:numPr>
          <w:ilvl w:val="0"/>
          <w:numId w:val="2"/>
        </w:numPr>
        <w:ind w:firstLine="420"/>
      </w:pPr>
      <w:r>
        <w:rPr>
          <w:rFonts w:hint="eastAsia"/>
        </w:rPr>
        <w:t>同行业清洁生产审核典型案例；</w:t>
      </w:r>
    </w:p>
    <w:p w14:paraId="191C3742">
      <w:pPr>
        <w:numPr>
          <w:ilvl w:val="0"/>
          <w:numId w:val="2"/>
        </w:numPr>
        <w:ind w:firstLine="420"/>
      </w:pPr>
      <w:r>
        <w:rPr>
          <w:rFonts w:hint="eastAsia"/>
        </w:rPr>
        <w:t>重点岗位清洁生产实操练习。</w:t>
      </w:r>
    </w:p>
    <w:p w14:paraId="12E6557B">
      <w:pPr>
        <w:pStyle w:val="3"/>
        <w:ind w:firstLine="480"/>
      </w:pPr>
      <w:bookmarkStart w:id="5" w:name="_Toc452643985"/>
      <w:bookmarkStart w:id="6" w:name="_Toc452975005"/>
      <w:bookmarkStart w:id="7" w:name="_Toc452972030"/>
      <w:r>
        <w:rPr>
          <w:rFonts w:hint="eastAsia"/>
        </w:rPr>
        <w:t>3.2</w:t>
      </w:r>
      <w:r>
        <w:t>现状调研及问题分析</w:t>
      </w:r>
      <w:bookmarkEnd w:id="5"/>
      <w:bookmarkEnd w:id="6"/>
      <w:bookmarkEnd w:id="7"/>
    </w:p>
    <w:p w14:paraId="4FF7EBC6">
      <w:pPr>
        <w:ind w:firstLine="420"/>
      </w:pPr>
      <w:r>
        <w:rPr>
          <w:rFonts w:hint="eastAsia"/>
        </w:rPr>
        <w:t>企业可在以往清洁生产审核工作基础上，从以下八个方面开展现状调研及全面分析</w:t>
      </w:r>
      <w:r>
        <w:rPr>
          <w:rFonts w:hint="eastAsia"/>
          <w:lang w:eastAsia="zh-CN"/>
        </w:rPr>
        <w:t>，</w:t>
      </w:r>
      <w:r>
        <w:rPr>
          <w:rFonts w:hint="eastAsia"/>
        </w:rPr>
        <w:t>结合纳入名单原因，选择若干重点方面</w:t>
      </w:r>
      <w:r>
        <w:rPr>
          <w:rFonts w:hint="eastAsia"/>
          <w:lang w:val="en-US" w:eastAsia="zh-CN"/>
        </w:rPr>
        <w:t>重点分析，找出问题并提出改进建议</w:t>
      </w:r>
      <w:r>
        <w:rPr>
          <w:rFonts w:hint="eastAsia"/>
        </w:rPr>
        <w:t>。发现的问题及建议填入《广东省简易流程清洁生产审核报告表编制技术指南</w:t>
      </w:r>
      <w:r>
        <w:rPr>
          <w:rFonts w:hint="eastAsia"/>
          <w:lang w:eastAsia="zh-CN"/>
        </w:rPr>
        <w:t>（</w:t>
      </w:r>
      <w:r>
        <w:rPr>
          <w:rFonts w:hint="eastAsia"/>
          <w:lang w:val="en-US" w:eastAsia="zh-CN"/>
        </w:rPr>
        <w:t>强制性审核</w:t>
      </w:r>
      <w:r>
        <w:rPr>
          <w:rFonts w:hint="eastAsia"/>
          <w:lang w:eastAsia="zh-CN"/>
        </w:rPr>
        <w:t>）</w:t>
      </w:r>
      <w:r>
        <w:rPr>
          <w:rFonts w:hint="eastAsia"/>
        </w:rPr>
        <w:t>》（以下简称“《简易流程报告表编制技术指南》”）“</w:t>
      </w:r>
      <w:r>
        <w:rPr>
          <w:rFonts w:hint="eastAsia"/>
          <w:highlight w:val="none"/>
        </w:rPr>
        <w:t>表2-</w:t>
      </w:r>
      <w:r>
        <w:rPr>
          <w:rFonts w:hint="eastAsia"/>
          <w:highlight w:val="none"/>
          <w:lang w:val="en-US" w:eastAsia="zh-CN"/>
        </w:rPr>
        <w:t>13</w:t>
      </w:r>
      <w:r>
        <w:rPr>
          <w:rFonts w:hint="eastAsia"/>
          <w:highlight w:val="none"/>
        </w:rPr>
        <w:t xml:space="preserve"> 本轮清洁生产审核主要问题分析表</w:t>
      </w:r>
      <w:r>
        <w:rPr>
          <w:rFonts w:hint="eastAsia"/>
        </w:rPr>
        <w:t>”。</w:t>
      </w:r>
    </w:p>
    <w:p w14:paraId="61FB9EB6">
      <w:pPr>
        <w:pStyle w:val="4"/>
        <w:ind w:firstLine="420"/>
      </w:pPr>
      <w:r>
        <w:rPr>
          <w:rFonts w:hint="eastAsia"/>
        </w:rPr>
        <w:t>3.2.1原辅材料和能源</w:t>
      </w:r>
    </w:p>
    <w:p w14:paraId="71CB1AE8">
      <w:pPr>
        <w:pStyle w:val="5"/>
        <w:ind w:firstLine="420"/>
      </w:pPr>
      <w:r>
        <w:rPr>
          <w:rFonts w:hint="eastAsia"/>
        </w:rPr>
        <w:t>3.2.1.1资料收集</w:t>
      </w:r>
    </w:p>
    <w:p w14:paraId="7E1D5EBA">
      <w:pPr>
        <w:ind w:firstLine="420"/>
      </w:pPr>
      <w:r>
        <w:rPr>
          <w:rFonts w:hint="eastAsia"/>
        </w:rPr>
        <w:t>（1）</w:t>
      </w:r>
      <w:r>
        <w:t>收集近</w:t>
      </w:r>
      <w:r>
        <w:rPr>
          <w:rFonts w:hint="eastAsia"/>
        </w:rPr>
        <w:t>三年</w:t>
      </w:r>
      <w:r>
        <w:t>原辅材料相关数据</w:t>
      </w:r>
      <w:r>
        <w:rPr>
          <w:rFonts w:hint="eastAsia"/>
          <w:lang w:val="en-US" w:eastAsia="zh-CN"/>
        </w:rPr>
        <w:t>资料</w:t>
      </w:r>
      <w:r>
        <w:rPr>
          <w:rFonts w:hint="eastAsia"/>
        </w:rPr>
        <w:t>，包括</w:t>
      </w:r>
      <w:r>
        <w:t>名称、成分、有毒有害化学品理化性能</w:t>
      </w:r>
      <w:r>
        <w:rPr>
          <w:rFonts w:hint="eastAsia"/>
        </w:rPr>
        <w:t>及</w:t>
      </w:r>
      <w:r>
        <w:t>消耗量等。</w:t>
      </w:r>
    </w:p>
    <w:p w14:paraId="2C3434BE">
      <w:pPr>
        <w:numPr>
          <w:ilvl w:val="0"/>
          <w:numId w:val="3"/>
        </w:numPr>
        <w:ind w:firstLine="420"/>
      </w:pPr>
      <w:r>
        <w:rPr>
          <w:rFonts w:hint="eastAsia" w:cs="Times New Roman" w:eastAsiaTheme="majorEastAsia"/>
        </w:rPr>
        <w:t>收集近三年取水量、重复利用水量、外排水量及回用水量等数据。</w:t>
      </w:r>
    </w:p>
    <w:p w14:paraId="7863766A">
      <w:pPr>
        <w:numPr>
          <w:ilvl w:val="0"/>
          <w:numId w:val="3"/>
        </w:numPr>
        <w:ind w:firstLine="420"/>
      </w:pPr>
      <w:r>
        <w:rPr>
          <w:rFonts w:hint="eastAsia" w:cs="Times New Roman" w:eastAsiaTheme="majorEastAsia"/>
        </w:rPr>
        <w:t>收集近三年能源消耗数据</w:t>
      </w:r>
      <w:r>
        <w:rPr>
          <w:rFonts w:hint="eastAsia" w:cs="Times New Roman" w:eastAsiaTheme="majorEastAsia"/>
          <w:lang w:val="en-US" w:eastAsia="zh-CN"/>
        </w:rPr>
        <w:t>资料</w:t>
      </w:r>
      <w:r>
        <w:rPr>
          <w:rFonts w:hint="eastAsia" w:cs="Times New Roman" w:eastAsiaTheme="majorEastAsia"/>
        </w:rPr>
        <w:t>，包括重点用能环节、能源类型及消耗量。</w:t>
      </w:r>
    </w:p>
    <w:p w14:paraId="1D84AB44">
      <w:pPr>
        <w:numPr>
          <w:ilvl w:val="0"/>
          <w:numId w:val="3"/>
        </w:numPr>
        <w:ind w:firstLine="420"/>
      </w:pPr>
      <w:r>
        <w:rPr>
          <w:rFonts w:hint="eastAsia"/>
        </w:rPr>
        <w:t>收集原辅料包装及输送相关数据，包括包装</w:t>
      </w:r>
      <w:r>
        <w:rPr>
          <w:rFonts w:hint="eastAsia"/>
          <w:lang w:val="en-US" w:eastAsia="zh-CN"/>
        </w:rPr>
        <w:t>材质</w:t>
      </w:r>
      <w:r>
        <w:rPr>
          <w:rFonts w:hint="eastAsia"/>
        </w:rPr>
        <w:t>和规格，储存与输送方式及过程中原辅料的损耗量。</w:t>
      </w:r>
    </w:p>
    <w:p w14:paraId="195F3D70">
      <w:pPr>
        <w:ind w:firstLineChars="0"/>
        <w:rPr>
          <w:rFonts w:eastAsiaTheme="majorEastAsia"/>
        </w:rPr>
      </w:pPr>
      <w:r>
        <w:rPr>
          <w:rFonts w:hint="eastAsia"/>
        </w:rPr>
        <w:t>收集</w:t>
      </w:r>
      <w:r>
        <w:rPr>
          <w:rFonts w:hint="eastAsia"/>
          <w:lang w:eastAsia="zh-CN"/>
        </w:rPr>
        <w:t>的</w:t>
      </w:r>
      <w:r>
        <w:rPr>
          <w:rFonts w:hint="eastAsia"/>
          <w:lang w:val="en-US" w:eastAsia="zh-CN"/>
        </w:rPr>
        <w:t>信息填入</w:t>
      </w:r>
      <w:r>
        <w:rPr>
          <w:rFonts w:hint="eastAsia"/>
        </w:rPr>
        <w:t>《简易流程报告表编制技术指南》“表2-1 主要原辅料及资源能源消耗统计表”。企业可根据行业实际和企业管理现状，增减相关内容。</w:t>
      </w:r>
    </w:p>
    <w:p w14:paraId="48067845">
      <w:pPr>
        <w:pStyle w:val="5"/>
        <w:ind w:firstLine="420"/>
      </w:pPr>
      <w:r>
        <w:rPr>
          <w:rFonts w:hint="eastAsia"/>
        </w:rPr>
        <w:t>3.2.1.2现场考察</w:t>
      </w:r>
    </w:p>
    <w:p w14:paraId="5B31BAC5">
      <w:pPr>
        <w:ind w:firstLine="420"/>
        <w:rPr>
          <w:highlight w:val="yellow"/>
        </w:rPr>
      </w:pPr>
      <w:r>
        <w:rPr>
          <w:rFonts w:hint="eastAsia"/>
        </w:rPr>
        <w:t>（1）现场考察</w:t>
      </w:r>
      <w:r>
        <w:t>原辅材料的</w:t>
      </w:r>
      <w:r>
        <w:rPr>
          <w:rFonts w:hint="eastAsia"/>
        </w:rPr>
        <w:t>包装</w:t>
      </w:r>
      <w:r>
        <w:t>、运输、储存</w:t>
      </w:r>
      <w:r>
        <w:rPr>
          <w:rFonts w:hint="eastAsia"/>
        </w:rPr>
        <w:t>及使用情况</w:t>
      </w:r>
      <w:r>
        <w:t>，</w:t>
      </w:r>
      <w:r>
        <w:rPr>
          <w:rFonts w:hint="eastAsia"/>
        </w:rPr>
        <w:t>重点关注有毒有害原辅料的贮存、转运、使用过程的不规范导致洒落、浪费的情况，以及原辅料包装的合理性和储存、输运过程中的损耗，考察预防原辅料损耗已采取措施的</w:t>
      </w:r>
      <w:r>
        <w:rPr>
          <w:rFonts w:hint="eastAsia"/>
          <w:lang w:val="en-US" w:eastAsia="zh-CN"/>
        </w:rPr>
        <w:t>实际</w:t>
      </w:r>
      <w:r>
        <w:rPr>
          <w:rFonts w:hint="eastAsia"/>
        </w:rPr>
        <w:t>情况等。</w:t>
      </w:r>
    </w:p>
    <w:p w14:paraId="78B881CB">
      <w:pPr>
        <w:ind w:firstLine="420"/>
      </w:pPr>
      <w:r>
        <w:rPr>
          <w:rFonts w:hint="eastAsia"/>
        </w:rPr>
        <w:t>（2）现场考察主要用水系统（如冷却水系统）运行状况、用水管理制度建立及执行情况，以及已采取的节水措施和落实情况等。</w:t>
      </w:r>
    </w:p>
    <w:p w14:paraId="0A878AB1">
      <w:pPr>
        <w:ind w:firstLine="420"/>
      </w:pPr>
      <w:r>
        <w:rPr>
          <w:rFonts w:hint="eastAsia"/>
        </w:rPr>
        <w:t>（3）现场考察重点耗能设备或生产工序能效情况、能源管理制度建设及执行状况，以及已采取的节能措施和落实情况等。</w:t>
      </w:r>
    </w:p>
    <w:p w14:paraId="33504747">
      <w:pPr>
        <w:ind w:firstLine="420"/>
      </w:pPr>
      <w:r>
        <w:rPr>
          <w:rFonts w:hint="eastAsia"/>
        </w:rPr>
        <w:t>现场考察可参考工作表</w:t>
      </w:r>
      <w:r>
        <w:rPr>
          <w:rFonts w:hint="eastAsia"/>
          <w:lang w:val="en-US" w:eastAsia="zh-CN"/>
        </w:rPr>
        <w:t>A.1</w:t>
      </w:r>
      <w:r>
        <w:rPr>
          <w:rFonts w:hint="eastAsia"/>
        </w:rPr>
        <w:t>，企业可根据行业实际和企业管理现状，增减相关内容。</w:t>
      </w:r>
    </w:p>
    <w:p w14:paraId="00231707">
      <w:pPr>
        <w:pStyle w:val="5"/>
        <w:ind w:firstLine="420"/>
      </w:pPr>
      <w:r>
        <w:rPr>
          <w:rFonts w:hint="eastAsia"/>
        </w:rPr>
        <w:t>3.2.1.3问题分析</w:t>
      </w:r>
    </w:p>
    <w:p w14:paraId="042014F3">
      <w:pPr>
        <w:ind w:firstLine="420"/>
      </w:pPr>
      <w:r>
        <w:rPr>
          <w:rFonts w:hint="eastAsia"/>
        </w:rPr>
        <w:t>（1）</w:t>
      </w:r>
      <w:r>
        <w:t>分析有毒有害原辅材料</w:t>
      </w:r>
      <w:r>
        <w:rPr>
          <w:rFonts w:hint="eastAsia"/>
          <w:lang w:val="en-US" w:eastAsia="zh-CN"/>
        </w:rPr>
        <w:t>减少使用</w:t>
      </w:r>
      <w:r>
        <w:t>或替代的可行性；</w:t>
      </w:r>
    </w:p>
    <w:p w14:paraId="40407C78">
      <w:pPr>
        <w:ind w:firstLine="420"/>
      </w:pPr>
      <w:r>
        <w:rPr>
          <w:rFonts w:hint="eastAsia"/>
        </w:rPr>
        <w:t>（2）核算年度</w:t>
      </w:r>
      <w:r>
        <w:t>原辅材料单耗、利用率</w:t>
      </w:r>
      <w:r>
        <w:rPr>
          <w:rFonts w:hint="eastAsia"/>
        </w:rPr>
        <w:t>、原辅料投入量或配比</w:t>
      </w:r>
      <w:r>
        <w:t>等指标</w:t>
      </w:r>
      <w:r>
        <w:rPr>
          <w:rFonts w:hint="eastAsia"/>
        </w:rPr>
        <w:t>，</w:t>
      </w:r>
      <w:r>
        <w:t>与行业标准</w:t>
      </w:r>
      <w:r>
        <w:rPr>
          <w:rFonts w:hint="eastAsia"/>
        </w:rPr>
        <w:t>、</w:t>
      </w:r>
      <w:r>
        <w:t>消耗限额</w:t>
      </w:r>
      <w:r>
        <w:rPr>
          <w:rFonts w:hint="eastAsia"/>
        </w:rPr>
        <w:t>、</w:t>
      </w:r>
      <w:r>
        <w:rPr>
          <w:rFonts w:hint="eastAsia" w:cs="Times New Roman" w:eastAsiaTheme="majorEastAsia"/>
        </w:rPr>
        <w:t>清洁生产评价指标体系</w:t>
      </w:r>
      <w:r>
        <w:rPr>
          <w:rFonts w:hint="eastAsia" w:cs="Times New Roman" w:eastAsiaTheme="majorEastAsia"/>
          <w:lang w:eastAsia="zh-CN"/>
        </w:rPr>
        <w:t>、</w:t>
      </w:r>
      <w:r>
        <w:rPr>
          <w:rFonts w:hint="eastAsia" w:cs="Times New Roman" w:eastAsiaTheme="majorEastAsia"/>
          <w:lang w:val="en-US" w:eastAsia="zh-CN"/>
        </w:rPr>
        <w:t>行业先进水平</w:t>
      </w:r>
      <w:r>
        <w:rPr>
          <w:rFonts w:hint="eastAsia" w:cs="Times New Roman" w:eastAsiaTheme="majorEastAsia"/>
        </w:rPr>
        <w:t>或企业历史最佳水平等进行对比分析</w:t>
      </w:r>
      <w:r>
        <w:rPr>
          <w:rFonts w:hint="eastAsia"/>
        </w:rPr>
        <w:t>，评估原辅料利用水平。分析生产周期或班次</w:t>
      </w:r>
      <w:r>
        <w:t>原辅材料单耗</w:t>
      </w:r>
      <w:r>
        <w:rPr>
          <w:rFonts w:hint="eastAsia"/>
        </w:rPr>
        <w:t>或利用率的变化趋势，识别异常点及原因，提出提</w:t>
      </w:r>
      <w:r>
        <w:rPr>
          <w:rFonts w:hint="eastAsia"/>
          <w:lang w:val="en-US" w:eastAsia="zh-CN"/>
        </w:rPr>
        <w:t>高</w:t>
      </w:r>
      <w:r>
        <w:rPr>
          <w:rFonts w:hint="eastAsia"/>
        </w:rPr>
        <w:t>原辅料利用率的建议。</w:t>
      </w:r>
    </w:p>
    <w:p w14:paraId="2E259AD2">
      <w:pPr>
        <w:ind w:firstLine="420"/>
      </w:pPr>
      <w:r>
        <w:rPr>
          <w:rFonts w:hint="eastAsia"/>
        </w:rPr>
        <w:t>（3）分析原辅材料储存和输运过程中物料损耗的原因，提出优化储存和输送过程的建议。评估原辅料包装物材质和规格的合理性及其环境友好性，提出选择环保型包装材料及优化包装规格等方面的建议。</w:t>
      </w:r>
    </w:p>
    <w:p w14:paraId="0858521E">
      <w:pPr>
        <w:ind w:firstLine="420"/>
      </w:pPr>
      <w:r>
        <w:rPr>
          <w:rFonts w:hint="eastAsia"/>
        </w:rPr>
        <w:t>（4）</w:t>
      </w:r>
      <w:r>
        <w:rPr>
          <w:rFonts w:hint="eastAsia" w:cs="Times New Roman" w:eastAsiaTheme="majorEastAsia"/>
        </w:rPr>
        <w:t>根据实际需要，绘制重点关注工序</w:t>
      </w:r>
      <w:r>
        <w:rPr>
          <w:rFonts w:hint="eastAsia" w:cs="Times New Roman" w:eastAsiaTheme="majorEastAsia"/>
          <w:lang w:val="en-US" w:eastAsia="zh-CN"/>
        </w:rPr>
        <w:t>/</w:t>
      </w:r>
      <w:r>
        <w:rPr>
          <w:rFonts w:hint="eastAsia" w:cs="Times New Roman" w:eastAsiaTheme="majorEastAsia"/>
        </w:rPr>
        <w:t>车间的水平衡图，分析主要用水环节和用水量。</w:t>
      </w:r>
      <w:r>
        <w:rPr>
          <w:rFonts w:hint="eastAsia"/>
        </w:rPr>
        <w:t>核算</w:t>
      </w:r>
      <w:r>
        <w:rPr>
          <w:rFonts w:hint="eastAsia" w:cs="Times New Roman" w:eastAsiaTheme="majorEastAsia"/>
        </w:rPr>
        <w:t>单位产品新鲜水耗、单位产品循环用水量、工业用水重复利用率、间接冷却水循环率、工艺水回用率及万元产值取水量等指标，</w:t>
      </w:r>
      <w:r>
        <w:rPr>
          <w:rFonts w:hint="eastAsia"/>
        </w:rPr>
        <w:t>与</w:t>
      </w:r>
      <w:r>
        <w:rPr>
          <w:rFonts w:hint="eastAsia" w:cs="Times New Roman" w:eastAsiaTheme="majorEastAsia"/>
        </w:rPr>
        <w:t>行业水资源消耗指标、限额指标、清洁生产评价指标体系或企业历史最佳水平等进行对比分析，评估生产用水的消耗水平。可通过分析主要用水工序或车间季度、月度、生产周期或班次的水资源消耗情况，识别超额耗水的原因，</w:t>
      </w:r>
      <w:r>
        <w:rPr>
          <w:rFonts w:hint="eastAsia"/>
        </w:rPr>
        <w:t>提出节水措施建议，如改进工艺流程、采用节水型设备、修复泄漏问题、安装流量控制装置、实施梯级用水策略以及建设雨水收集系统等。</w:t>
      </w:r>
    </w:p>
    <w:p w14:paraId="399B53F2">
      <w:pPr>
        <w:ind w:firstLine="420"/>
        <w:rPr>
          <w:rFonts w:hint="eastAsia" w:cs="Times New Roman" w:eastAsiaTheme="majorEastAsia"/>
        </w:rPr>
      </w:pPr>
      <w:r>
        <w:rPr>
          <w:rFonts w:hint="eastAsia"/>
        </w:rPr>
        <w:t>（5）核算单位产品或单位产值能源消耗量，</w:t>
      </w:r>
      <w:r>
        <w:rPr>
          <w:rFonts w:hint="eastAsia" w:cs="Times New Roman" w:eastAsiaTheme="majorEastAsia"/>
        </w:rPr>
        <w:t>与行业标准、消耗限额、清洁生产评价指标体系或企业历史最佳水平等进行对比分析，以评估能源消耗水平。可通过分析重点用能工序或车间季度、月度、生产周期或班次中能源消耗的变化趋势，识别超额耗能的原因，提出改进建议，如采用清洁能源或再生能源替代、实施能源梯级利用、提高设备能效等。鼓励碳核查控排企业名单内企业，分析主要碳排放源，识别减排潜力，提出碳减排建议。</w:t>
      </w:r>
    </w:p>
    <w:p w14:paraId="33CE8269">
      <w:pPr>
        <w:ind w:firstLine="420"/>
        <w:rPr>
          <w:rFonts w:hint="eastAsia" w:cs="Times New Roman" w:eastAsiaTheme="majorEastAsia"/>
        </w:rPr>
      </w:pPr>
    </w:p>
    <w:p w14:paraId="3A9A035B">
      <w:pPr>
        <w:pStyle w:val="4"/>
        <w:ind w:firstLine="420"/>
      </w:pPr>
      <w:r>
        <w:rPr>
          <w:rFonts w:hint="eastAsia"/>
        </w:rPr>
        <w:t>3.2.2技术工艺</w:t>
      </w:r>
    </w:p>
    <w:p w14:paraId="7B86DA5B">
      <w:pPr>
        <w:pStyle w:val="5"/>
        <w:ind w:firstLine="420"/>
      </w:pPr>
      <w:r>
        <w:rPr>
          <w:rFonts w:hint="eastAsia"/>
        </w:rPr>
        <w:t>3.2.2.1资料收集</w:t>
      </w:r>
    </w:p>
    <w:p w14:paraId="62055D5D">
      <w:pPr>
        <w:ind w:firstLine="420"/>
        <w:rPr>
          <w:rFonts w:cs="Times New Roman" w:eastAsiaTheme="majorEastAsia"/>
        </w:rPr>
      </w:pPr>
      <w:r>
        <w:rPr>
          <w:rFonts w:hint="eastAsia"/>
        </w:rPr>
        <w:t>（1）收集</w:t>
      </w:r>
      <w:r>
        <w:rPr>
          <w:rFonts w:hint="eastAsia" w:cs="Times New Roman" w:eastAsiaTheme="majorEastAsia"/>
        </w:rPr>
        <w:t>生产工艺流程及产排污环节数据</w:t>
      </w:r>
      <w:r>
        <w:rPr>
          <w:rFonts w:hint="eastAsia" w:cs="Times New Roman" w:eastAsiaTheme="majorEastAsia"/>
          <w:lang w:val="en-US" w:eastAsia="zh-CN"/>
        </w:rPr>
        <w:t>资料</w:t>
      </w:r>
      <w:r>
        <w:rPr>
          <w:rFonts w:hint="eastAsia" w:cs="Times New Roman" w:eastAsiaTheme="majorEastAsia"/>
        </w:rPr>
        <w:t>，绘制生产工艺流程及产污环节图。生产工艺流程图应包括主要生产工序（包括生产设备）、主要原辅料、燃料及污染物等信息。</w:t>
      </w:r>
    </w:p>
    <w:p w14:paraId="4AD4AE3B">
      <w:pPr>
        <w:ind w:firstLine="420"/>
        <w:rPr>
          <w:rFonts w:cs="Times New Roman" w:eastAsiaTheme="majorEastAsia"/>
        </w:rPr>
      </w:pPr>
      <w:r>
        <w:rPr>
          <w:rFonts w:hint="eastAsia" w:cs="Times New Roman" w:eastAsiaTheme="majorEastAsia"/>
        </w:rPr>
        <w:t>（2）收集技术工艺相关参数，包括工艺类型、关键工艺参数、原料转化率、反应及转化步骤、生产条件要求、车间设备布局及物料输送路程等信息。</w:t>
      </w:r>
    </w:p>
    <w:p w14:paraId="609D630B">
      <w:pPr>
        <w:ind w:firstLine="420"/>
        <w:rPr>
          <w:rFonts w:cs="Times New Roman" w:eastAsiaTheme="majorEastAsia"/>
        </w:rPr>
      </w:pPr>
      <w:r>
        <w:rPr>
          <w:rFonts w:hint="eastAsia"/>
        </w:rPr>
        <w:t>收集</w:t>
      </w:r>
      <w:r>
        <w:rPr>
          <w:rFonts w:hint="eastAsia"/>
          <w:lang w:eastAsia="zh-CN"/>
        </w:rPr>
        <w:t>的</w:t>
      </w:r>
      <w:r>
        <w:rPr>
          <w:rFonts w:hint="eastAsia"/>
          <w:lang w:val="en-US" w:eastAsia="zh-CN"/>
        </w:rPr>
        <w:t>信息填入</w:t>
      </w:r>
      <w:r>
        <w:rPr>
          <w:rFonts w:hint="eastAsia"/>
        </w:rPr>
        <w:t>《简易流程报告表编制技术指南》“表2-2 生产技术工艺信息表</w:t>
      </w:r>
      <w:r>
        <w:rPr>
          <w:rFonts w:hint="eastAsia" w:cs="Times New Roman" w:eastAsiaTheme="majorEastAsia"/>
          <w:lang w:val="en-US" w:eastAsia="zh-CN"/>
        </w:rPr>
        <w:t>"</w:t>
      </w:r>
      <w:r>
        <w:rPr>
          <w:rFonts w:hint="eastAsia" w:cs="Times New Roman" w:eastAsiaTheme="majorEastAsia"/>
        </w:rPr>
        <w:t>。企业可根据行业实际和企业管理现状，增减相关内容。</w:t>
      </w:r>
    </w:p>
    <w:p w14:paraId="0B24DF74">
      <w:pPr>
        <w:pStyle w:val="5"/>
        <w:ind w:firstLine="420"/>
      </w:pPr>
      <w:r>
        <w:rPr>
          <w:rFonts w:hint="eastAsia"/>
        </w:rPr>
        <w:t>3.2.2.2现场考察</w:t>
      </w:r>
    </w:p>
    <w:p w14:paraId="2216764B">
      <w:pPr>
        <w:pStyle w:val="19"/>
        <w:ind w:firstLine="420"/>
        <w:rPr>
          <w:rFonts w:cs="Times New Roman" w:eastAsiaTheme="majorEastAsia"/>
          <w:sz w:val="21"/>
        </w:rPr>
      </w:pPr>
      <w:r>
        <w:rPr>
          <w:rFonts w:hint="eastAsia" w:cs="Times New Roman" w:eastAsiaTheme="majorEastAsia"/>
          <w:sz w:val="21"/>
          <w:szCs w:val="22"/>
        </w:rPr>
        <w:t>（1）通过现场考察或与管理</w:t>
      </w:r>
      <w:r>
        <w:rPr>
          <w:rFonts w:hint="eastAsia" w:cs="Times New Roman" w:eastAsiaTheme="majorEastAsia"/>
          <w:sz w:val="21"/>
          <w:szCs w:val="22"/>
          <w:lang w:val="en-US" w:eastAsia="zh-CN"/>
        </w:rPr>
        <w:t>者及</w:t>
      </w:r>
      <w:r>
        <w:rPr>
          <w:rFonts w:hint="eastAsia" w:cs="Times New Roman" w:eastAsiaTheme="majorEastAsia"/>
          <w:sz w:val="21"/>
          <w:szCs w:val="22"/>
        </w:rPr>
        <w:t>一线员工访谈等方式，考察各个</w:t>
      </w:r>
      <w:r>
        <w:rPr>
          <w:rFonts w:hint="eastAsia" w:cs="Times New Roman" w:eastAsiaTheme="majorEastAsia"/>
          <w:sz w:val="21"/>
        </w:rPr>
        <w:t>车间（部门）、工序（流程）的生产现场情况、车间布局及物料输送路线，重点关注易引起生产波动、使用有毒有害物质，以及物耗、水耗、能耗较高及产污较大的环节。</w:t>
      </w:r>
    </w:p>
    <w:p w14:paraId="5C09C8CD">
      <w:pPr>
        <w:pStyle w:val="19"/>
        <w:ind w:firstLine="420"/>
        <w:rPr>
          <w:rFonts w:cs="Times New Roman" w:eastAsiaTheme="majorEastAsia"/>
          <w:sz w:val="21"/>
        </w:rPr>
      </w:pPr>
      <w:r>
        <w:rPr>
          <w:rFonts w:hint="eastAsia" w:cs="Times New Roman" w:eastAsiaTheme="majorEastAsia"/>
          <w:sz w:val="21"/>
        </w:rPr>
        <w:t>（2）查阅生产记录、工艺运行状况、质量控制报告等相关文档。</w:t>
      </w:r>
    </w:p>
    <w:p w14:paraId="21CFDD88">
      <w:pPr>
        <w:ind w:firstLineChars="0"/>
        <w:rPr>
          <w:rFonts w:eastAsiaTheme="majorEastAsia"/>
        </w:rPr>
      </w:pPr>
      <w:r>
        <w:rPr>
          <w:rFonts w:hint="eastAsia"/>
        </w:rPr>
        <w:t>现场考察可参考工作表</w:t>
      </w:r>
      <w:r>
        <w:rPr>
          <w:rFonts w:hint="eastAsia"/>
          <w:lang w:val="en-US" w:eastAsia="zh-CN"/>
        </w:rPr>
        <w:t>A.2</w:t>
      </w:r>
      <w:r>
        <w:rPr>
          <w:rFonts w:hint="eastAsia"/>
        </w:rPr>
        <w:t>。企业可根据行业实际和企业管理现状，增减相关内容。</w:t>
      </w:r>
    </w:p>
    <w:p w14:paraId="1ED4F4DA">
      <w:pPr>
        <w:pStyle w:val="5"/>
        <w:ind w:firstLine="420"/>
      </w:pPr>
      <w:r>
        <w:rPr>
          <w:rFonts w:hint="eastAsia"/>
        </w:rPr>
        <w:t>3.2.2.3问题分析</w:t>
      </w:r>
    </w:p>
    <w:p w14:paraId="49BD4939">
      <w:pPr>
        <w:ind w:firstLine="420"/>
        <w:rPr>
          <w:rFonts w:cs="Times New Roman" w:eastAsiaTheme="majorEastAsia"/>
        </w:rPr>
      </w:pPr>
      <w:r>
        <w:rPr>
          <w:rFonts w:hint="eastAsia" w:cs="Times New Roman" w:eastAsiaTheme="majorEastAsia"/>
        </w:rPr>
        <w:t>（1）评估</w:t>
      </w:r>
      <w:r>
        <w:rPr>
          <w:rFonts w:cs="Times New Roman" w:eastAsiaTheme="majorEastAsia"/>
        </w:rPr>
        <w:t>各个车间（部门）、工序（流程）工艺水平，</w:t>
      </w:r>
      <w:r>
        <w:rPr>
          <w:rFonts w:hint="eastAsia" w:cs="Times New Roman" w:eastAsiaTheme="majorEastAsia"/>
        </w:rPr>
        <w:t>与</w:t>
      </w:r>
      <w:r>
        <w:rPr>
          <w:rFonts w:hint="eastAsia" w:cs="Times New Roman" w:eastAsiaTheme="majorEastAsia"/>
          <w:lang w:val="en-US" w:eastAsia="zh-CN"/>
        </w:rPr>
        <w:t>清洁生产评价指标体系或行业先进水平</w:t>
      </w:r>
      <w:r>
        <w:rPr>
          <w:rFonts w:hint="eastAsia" w:cs="Times New Roman" w:eastAsiaTheme="majorEastAsia"/>
        </w:rPr>
        <w:t>或企业历史最佳水平进行对比分析，识别存在的差距及改进机会。</w:t>
      </w:r>
    </w:p>
    <w:p w14:paraId="4835906F">
      <w:pPr>
        <w:ind w:firstLine="420"/>
        <w:rPr>
          <w:rFonts w:cs="Times New Roman" w:eastAsiaTheme="majorEastAsia"/>
        </w:rPr>
      </w:pPr>
      <w:r>
        <w:rPr>
          <w:rFonts w:hint="eastAsia" w:cs="Times New Roman" w:eastAsiaTheme="majorEastAsia"/>
        </w:rPr>
        <w:t>（2）计算</w:t>
      </w:r>
      <w:r>
        <w:rPr>
          <w:rFonts w:cs="Times New Roman" w:eastAsiaTheme="majorEastAsia"/>
        </w:rPr>
        <w:t>各个车间（部门）、工序（流程）</w:t>
      </w:r>
      <w:r>
        <w:rPr>
          <w:rFonts w:hint="eastAsia" w:cs="Times New Roman" w:eastAsiaTheme="majorEastAsia"/>
        </w:rPr>
        <w:t>主要物料转化率，识别主要的物料消耗点、能源消耗点及污染物产生点，深入分析物料利用率低、能源消耗大、污染物产生量大等问题的根本原因。根据实际需要，可绘制针对重点</w:t>
      </w:r>
      <w:r>
        <w:rPr>
          <w:rFonts w:hint="eastAsia" w:cs="Times New Roman" w:eastAsiaTheme="majorEastAsia"/>
          <w:lang w:val="en-US" w:eastAsia="zh-CN"/>
        </w:rPr>
        <w:t>车间/</w:t>
      </w:r>
      <w:r>
        <w:rPr>
          <w:rFonts w:hint="eastAsia" w:cs="Times New Roman" w:eastAsiaTheme="majorEastAsia"/>
        </w:rPr>
        <w:t>环节的物料平衡图。</w:t>
      </w:r>
    </w:p>
    <w:p w14:paraId="7BCAB746">
      <w:pPr>
        <w:ind w:firstLine="420"/>
        <w:rPr>
          <w:rFonts w:cs="Times New Roman" w:eastAsiaTheme="majorEastAsia"/>
        </w:rPr>
      </w:pPr>
      <w:r>
        <w:rPr>
          <w:rFonts w:hint="eastAsia" w:cs="Times New Roman" w:eastAsiaTheme="majorEastAsia"/>
        </w:rPr>
        <w:t>（3）评估设备布局、工艺流程的合理性及工作流程的效率，分析</w:t>
      </w:r>
      <w:r>
        <w:rPr>
          <w:rFonts w:cs="Times New Roman" w:eastAsiaTheme="majorEastAsia"/>
        </w:rPr>
        <w:t>无效传输路线过程是否过长</w:t>
      </w:r>
      <w:r>
        <w:rPr>
          <w:rFonts w:hint="eastAsia" w:cs="Times New Roman" w:eastAsiaTheme="majorEastAsia"/>
        </w:rPr>
        <w:t>、</w:t>
      </w:r>
      <w:r>
        <w:rPr>
          <w:rFonts w:cs="Times New Roman" w:eastAsiaTheme="majorEastAsia"/>
        </w:rPr>
        <w:t>反应及转化步骤是否过</w:t>
      </w:r>
      <w:r>
        <w:rPr>
          <w:rFonts w:hint="eastAsia" w:cs="Times New Roman" w:eastAsiaTheme="majorEastAsia"/>
        </w:rPr>
        <w:t>多、</w:t>
      </w:r>
      <w:r>
        <w:rPr>
          <w:rFonts w:cs="Times New Roman" w:eastAsiaTheme="majorEastAsia"/>
        </w:rPr>
        <w:t>连续生产能力是否</w:t>
      </w:r>
      <w:r>
        <w:rPr>
          <w:rFonts w:hint="eastAsia" w:cs="Times New Roman" w:eastAsiaTheme="majorEastAsia"/>
        </w:rPr>
        <w:t>不足及</w:t>
      </w:r>
      <w:r>
        <w:rPr>
          <w:rFonts w:cs="Times New Roman" w:eastAsiaTheme="majorEastAsia"/>
        </w:rPr>
        <w:t>生产条件要求是否过严</w:t>
      </w:r>
      <w:r>
        <w:rPr>
          <w:rFonts w:hint="eastAsia" w:cs="Times New Roman" w:eastAsiaTheme="majorEastAsia"/>
        </w:rPr>
        <w:t>等</w:t>
      </w:r>
      <w:r>
        <w:rPr>
          <w:rFonts w:cs="Times New Roman" w:eastAsiaTheme="majorEastAsia"/>
        </w:rPr>
        <w:t>。</w:t>
      </w:r>
    </w:p>
    <w:p w14:paraId="1F136FD8">
      <w:pPr>
        <w:ind w:firstLine="420"/>
        <w:rPr>
          <w:rFonts w:cs="Times New Roman" w:eastAsiaTheme="majorEastAsia"/>
        </w:rPr>
      </w:pPr>
      <w:r>
        <w:rPr>
          <w:rFonts w:hint="eastAsia" w:cs="Times New Roman" w:eastAsiaTheme="majorEastAsia"/>
        </w:rPr>
        <w:t>（4）</w:t>
      </w:r>
      <w:r>
        <w:rPr>
          <w:rFonts w:cs="Times New Roman" w:eastAsiaTheme="majorEastAsia"/>
        </w:rPr>
        <w:t>分析</w:t>
      </w:r>
      <w:r>
        <w:rPr>
          <w:rFonts w:hint="eastAsia" w:cs="Times New Roman" w:eastAsiaTheme="majorEastAsia"/>
        </w:rPr>
        <w:t>生产技术</w:t>
      </w:r>
      <w:r>
        <w:rPr>
          <w:rFonts w:cs="Times New Roman" w:eastAsiaTheme="majorEastAsia"/>
        </w:rPr>
        <w:t>工艺水平和布局等方面存在的问题及</w:t>
      </w:r>
      <w:r>
        <w:rPr>
          <w:rFonts w:hint="eastAsia" w:cs="Times New Roman" w:eastAsiaTheme="majorEastAsia"/>
        </w:rPr>
        <w:t>其</w:t>
      </w:r>
      <w:r>
        <w:rPr>
          <w:rFonts w:cs="Times New Roman" w:eastAsiaTheme="majorEastAsia"/>
        </w:rPr>
        <w:t>对污染物（包括有毒有害污染物）产生的影响，评估引进先进技术工艺、实施生产工艺改进（如</w:t>
      </w:r>
      <w:r>
        <w:rPr>
          <w:rFonts w:hint="eastAsia" w:cs="Times New Roman" w:eastAsiaTheme="majorEastAsia"/>
        </w:rPr>
        <w:t>优化</w:t>
      </w:r>
      <w:r>
        <w:rPr>
          <w:rFonts w:cs="Times New Roman" w:eastAsiaTheme="majorEastAsia"/>
        </w:rPr>
        <w:t>工艺步骤</w:t>
      </w:r>
      <w:r>
        <w:rPr>
          <w:rFonts w:hint="eastAsia" w:cs="Times New Roman" w:eastAsiaTheme="majorEastAsia"/>
        </w:rPr>
        <w:t>和参数</w:t>
      </w:r>
      <w:r>
        <w:rPr>
          <w:rFonts w:cs="Times New Roman" w:eastAsiaTheme="majorEastAsia"/>
        </w:rPr>
        <w:t>等）、提高工艺稳定性和连续性、提升生产效率（服务质量）</w:t>
      </w:r>
      <w:r>
        <w:rPr>
          <w:rFonts w:hint="eastAsia" w:cs="Times New Roman" w:eastAsiaTheme="majorEastAsia"/>
        </w:rPr>
        <w:t>、</w:t>
      </w:r>
      <w:r>
        <w:rPr>
          <w:rFonts w:cs="Times New Roman" w:eastAsiaTheme="majorEastAsia"/>
        </w:rPr>
        <w:t>改善生产布局（如减短无效传输线路或冗余工序等）</w:t>
      </w:r>
      <w:r>
        <w:rPr>
          <w:rFonts w:hint="eastAsia" w:cs="Times New Roman" w:eastAsiaTheme="majorEastAsia"/>
        </w:rPr>
        <w:t>及</w:t>
      </w:r>
      <w:r>
        <w:rPr>
          <w:rFonts w:cs="Times New Roman" w:eastAsiaTheme="majorEastAsia"/>
        </w:rPr>
        <w:t>完善现场管控等方面的潜力</w:t>
      </w:r>
      <w:r>
        <w:rPr>
          <w:rFonts w:hint="eastAsia" w:cs="Times New Roman" w:eastAsiaTheme="majorEastAsia"/>
        </w:rPr>
        <w:t>，并提</w:t>
      </w:r>
      <w:r>
        <w:rPr>
          <w:rFonts w:hint="eastAsia" w:cs="Times New Roman" w:eastAsiaTheme="majorEastAsia"/>
          <w:lang w:val="en-US" w:eastAsia="zh-CN"/>
        </w:rPr>
        <w:t>出</w:t>
      </w:r>
      <w:r>
        <w:rPr>
          <w:rFonts w:hint="eastAsia" w:cs="Times New Roman" w:eastAsiaTheme="majorEastAsia"/>
        </w:rPr>
        <w:t>相应的改进建议</w:t>
      </w:r>
      <w:r>
        <w:rPr>
          <w:rFonts w:cs="Times New Roman" w:eastAsiaTheme="majorEastAsia"/>
        </w:rPr>
        <w:t>。</w:t>
      </w:r>
    </w:p>
    <w:p w14:paraId="2775CB3B">
      <w:pPr>
        <w:pStyle w:val="4"/>
        <w:ind w:firstLine="420"/>
      </w:pPr>
      <w:r>
        <w:rPr>
          <w:rFonts w:hint="eastAsia"/>
        </w:rPr>
        <w:t>3.2.3设备</w:t>
      </w:r>
    </w:p>
    <w:p w14:paraId="602B790D">
      <w:pPr>
        <w:pStyle w:val="5"/>
        <w:ind w:firstLine="420"/>
      </w:pPr>
      <w:r>
        <w:rPr>
          <w:rFonts w:hint="eastAsia"/>
        </w:rPr>
        <w:t>3.2.3.1资料收集</w:t>
      </w:r>
    </w:p>
    <w:p w14:paraId="1AB424FE">
      <w:pPr>
        <w:pStyle w:val="19"/>
        <w:ind w:firstLine="420"/>
        <w:rPr>
          <w:rFonts w:cs="Times New Roman" w:eastAsiaTheme="majorEastAsia"/>
          <w:sz w:val="21"/>
        </w:rPr>
      </w:pPr>
      <w:r>
        <w:rPr>
          <w:rFonts w:hint="eastAsia" w:cs="Times New Roman" w:eastAsiaTheme="majorEastAsia"/>
          <w:sz w:val="21"/>
        </w:rPr>
        <w:t>（1）收集主要生产设备及公用设施基本信息，包括设备规格、型号等主要参数，用能类型、能源消耗、额定功率及运行时间等运行数据；</w:t>
      </w:r>
    </w:p>
    <w:p w14:paraId="3672CDA4">
      <w:pPr>
        <w:pStyle w:val="19"/>
        <w:ind w:firstLine="420"/>
        <w:rPr>
          <w:rFonts w:cs="Times New Roman" w:eastAsiaTheme="majorEastAsia"/>
          <w:sz w:val="21"/>
        </w:rPr>
      </w:pPr>
      <w:r>
        <w:rPr>
          <w:rFonts w:hint="eastAsia" w:cs="Times New Roman" w:eastAsiaTheme="majorEastAsia"/>
          <w:sz w:val="21"/>
        </w:rPr>
        <w:t>（2）收集主要生产设备及公用设施日常运行记录和维护记录，包括设备的启动和停止时间、运行状态、故障情况、维修保养记录、能耗数据、性能测试结果等信息。</w:t>
      </w:r>
    </w:p>
    <w:p w14:paraId="10D11063">
      <w:pPr>
        <w:ind w:firstLineChars="0"/>
        <w:rPr>
          <w:rFonts w:eastAsiaTheme="majorEastAsia"/>
        </w:rPr>
      </w:pPr>
      <w:r>
        <w:rPr>
          <w:rFonts w:hint="eastAsia"/>
        </w:rPr>
        <w:t>收集</w:t>
      </w:r>
      <w:r>
        <w:rPr>
          <w:rFonts w:hint="eastAsia"/>
          <w:lang w:eastAsia="zh-CN"/>
        </w:rPr>
        <w:t>的</w:t>
      </w:r>
      <w:r>
        <w:rPr>
          <w:rFonts w:hint="eastAsia"/>
          <w:lang w:val="en-US" w:eastAsia="zh-CN"/>
        </w:rPr>
        <w:t>信息填入</w:t>
      </w:r>
      <w:r>
        <w:rPr>
          <w:rFonts w:hint="eastAsia"/>
        </w:rPr>
        <w:t>《简易流程报告表编制技术指南》“</w:t>
      </w:r>
      <w:r>
        <w:t>表2-</w:t>
      </w:r>
      <w:r>
        <w:rPr>
          <w:rFonts w:hint="eastAsia"/>
          <w:lang w:val="en-US" w:eastAsia="zh-CN"/>
        </w:rPr>
        <w:t>3</w:t>
      </w:r>
      <w:r>
        <w:t xml:space="preserve"> 主要设备信息表</w:t>
      </w:r>
      <w:r>
        <w:rPr>
          <w:rFonts w:hint="eastAsia" w:cs="Times New Roman" w:eastAsiaTheme="majorEastAsia"/>
          <w:lang w:val="en-US" w:eastAsia="zh-CN"/>
        </w:rPr>
        <w:t>"</w:t>
      </w:r>
      <w:r>
        <w:rPr>
          <w:rFonts w:hint="eastAsia"/>
        </w:rPr>
        <w:t>。企业可根据行业实际和企业管理现状，增减相关内容。</w:t>
      </w:r>
    </w:p>
    <w:p w14:paraId="61EFF606">
      <w:pPr>
        <w:pStyle w:val="5"/>
        <w:ind w:firstLine="420"/>
      </w:pPr>
      <w:r>
        <w:rPr>
          <w:rFonts w:hint="eastAsia"/>
        </w:rPr>
        <w:t>3.2.3.2现场考察</w:t>
      </w:r>
    </w:p>
    <w:p w14:paraId="183A09B7">
      <w:pPr>
        <w:ind w:firstLine="420"/>
        <w:rPr>
          <w:rFonts w:cs="Times New Roman" w:eastAsiaTheme="majorEastAsia"/>
        </w:rPr>
      </w:pPr>
      <w:r>
        <w:rPr>
          <w:rFonts w:hint="eastAsia" w:cs="Times New Roman" w:eastAsiaTheme="majorEastAsia"/>
        </w:rPr>
        <w:t>（1）现场考察主体设备与公用设施之间的匹配性，是否存在能力不匹配情况。</w:t>
      </w:r>
    </w:p>
    <w:p w14:paraId="2990E2A7">
      <w:pPr>
        <w:ind w:firstLine="420"/>
        <w:rPr>
          <w:rFonts w:cs="Times New Roman" w:eastAsiaTheme="majorEastAsia"/>
        </w:rPr>
      </w:pPr>
      <w:r>
        <w:rPr>
          <w:rFonts w:hint="eastAsia" w:cs="Times New Roman" w:eastAsiaTheme="majorEastAsia"/>
        </w:rPr>
        <w:t>（2）重点查明陈旧设备、产污较大的设备、使用有毒有害物质设备、高能耗设备（如功率容量大的设备）及故障多发设备的运行及维护情况。检查是否对设备进行定期维护，包括润滑、清洁、紧固和部件更换等；核实是否定期对设备进行全面检查</w:t>
      </w:r>
      <w:r>
        <w:rPr>
          <w:rFonts w:hint="eastAsia" w:cs="Times New Roman" w:eastAsiaTheme="majorEastAsia"/>
          <w:lang w:eastAsia="zh-CN"/>
        </w:rPr>
        <w:t>、</w:t>
      </w:r>
      <w:r>
        <w:rPr>
          <w:rFonts w:hint="eastAsia" w:cs="Times New Roman" w:eastAsiaTheme="majorEastAsia"/>
        </w:rPr>
        <w:t>识别潜在的磨损或损坏并分析故障原因，是否对故障及维修进行记录等。</w:t>
      </w:r>
    </w:p>
    <w:p w14:paraId="0944B99A">
      <w:pPr>
        <w:ind w:firstLine="420"/>
        <w:rPr>
          <w:rFonts w:cs="Times New Roman" w:eastAsiaTheme="majorEastAsia"/>
          <w:color w:val="0000FF"/>
        </w:rPr>
      </w:pPr>
      <w:r>
        <w:rPr>
          <w:rFonts w:hint="eastAsia"/>
        </w:rPr>
        <w:t>现场考察可参考工作表</w:t>
      </w:r>
      <w:r>
        <w:rPr>
          <w:rFonts w:hint="eastAsia"/>
          <w:lang w:val="en-US" w:eastAsia="zh-CN"/>
        </w:rPr>
        <w:t>A.3</w:t>
      </w:r>
      <w:r>
        <w:rPr>
          <w:rFonts w:hint="eastAsia"/>
        </w:rPr>
        <w:t>，企业可根据行业实际和企业管理现状，增减相关内容。</w:t>
      </w:r>
    </w:p>
    <w:p w14:paraId="1092DDD0">
      <w:pPr>
        <w:pStyle w:val="5"/>
        <w:ind w:firstLine="420"/>
      </w:pPr>
      <w:r>
        <w:rPr>
          <w:rFonts w:hint="eastAsia"/>
        </w:rPr>
        <w:t>3.2.3.3问题分析</w:t>
      </w:r>
    </w:p>
    <w:p w14:paraId="7778DF41">
      <w:pPr>
        <w:pStyle w:val="19"/>
        <w:ind w:firstLine="420" w:firstLineChars="0"/>
        <w:rPr>
          <w:rFonts w:cs="Times New Roman" w:eastAsiaTheme="majorEastAsia"/>
          <w:sz w:val="21"/>
        </w:rPr>
      </w:pPr>
      <w:r>
        <w:rPr>
          <w:rFonts w:hint="eastAsia" w:cs="Times New Roman" w:eastAsiaTheme="majorEastAsia"/>
          <w:sz w:val="21"/>
        </w:rPr>
        <w:t>（1）从自动化、智能化、信息化、高效性、低能耗性等角度分析现有设备设施所处的水平，</w:t>
      </w:r>
      <w:r>
        <w:rPr>
          <w:rFonts w:hint="eastAsia" w:cs="Times New Roman" w:eastAsiaTheme="majorEastAsia"/>
          <w:sz w:val="21"/>
          <w:lang w:val="en-US" w:eastAsia="zh-CN"/>
        </w:rPr>
        <w:t>与清洁生产评价指标体系或行业先进水平或企业历史最佳水平对比分析，</w:t>
      </w:r>
      <w:r>
        <w:rPr>
          <w:rFonts w:hint="eastAsia" w:cs="Times New Roman" w:eastAsiaTheme="majorEastAsia"/>
          <w:sz w:val="21"/>
        </w:rPr>
        <w:t>考虑是否需要升级或改造以提升设备性能。</w:t>
      </w:r>
    </w:p>
    <w:p w14:paraId="1D246DCC">
      <w:pPr>
        <w:pStyle w:val="19"/>
        <w:ind w:firstLine="420" w:firstLineChars="0"/>
        <w:rPr>
          <w:rFonts w:cs="Times New Roman" w:eastAsiaTheme="majorEastAsia"/>
          <w:sz w:val="21"/>
        </w:rPr>
      </w:pPr>
      <w:r>
        <w:rPr>
          <w:rFonts w:cs="Times New Roman" w:eastAsiaTheme="majorEastAsia"/>
          <w:sz w:val="21"/>
        </w:rPr>
        <w:t>（2）</w:t>
      </w:r>
      <w:r>
        <w:rPr>
          <w:rFonts w:hint="eastAsia" w:cs="Times New Roman" w:eastAsiaTheme="majorEastAsia"/>
          <w:sz w:val="21"/>
        </w:rPr>
        <w:t>分析设备是否存在设计缺陷、磨损或操作不当等情况，并深入分析原因。</w:t>
      </w:r>
    </w:p>
    <w:p w14:paraId="65DC2C00">
      <w:pPr>
        <w:pStyle w:val="19"/>
        <w:ind w:firstLine="420" w:firstLineChars="0"/>
        <w:rPr>
          <w:rFonts w:cs="Times New Roman" w:eastAsiaTheme="majorEastAsia"/>
          <w:sz w:val="21"/>
        </w:rPr>
      </w:pPr>
      <w:r>
        <w:rPr>
          <w:rFonts w:cs="Times New Roman" w:eastAsiaTheme="majorEastAsia"/>
          <w:sz w:val="21"/>
        </w:rPr>
        <w:t>（3）</w:t>
      </w:r>
      <w:r>
        <w:rPr>
          <w:rFonts w:hint="eastAsia" w:cs="Times New Roman" w:eastAsiaTheme="majorEastAsia"/>
          <w:sz w:val="21"/>
        </w:rPr>
        <w:t>评估设备老化程度，识别因设备老化导致的效率降低或污染物产生增加的情况。</w:t>
      </w:r>
    </w:p>
    <w:p w14:paraId="71B9ED91">
      <w:pPr>
        <w:pStyle w:val="19"/>
        <w:ind w:firstLine="420" w:firstLineChars="0"/>
        <w:rPr>
          <w:rFonts w:cs="Times New Roman" w:eastAsiaTheme="majorEastAsia"/>
          <w:sz w:val="21"/>
        </w:rPr>
      </w:pPr>
      <w:r>
        <w:rPr>
          <w:rFonts w:cs="Times New Roman" w:eastAsiaTheme="majorEastAsia"/>
          <w:sz w:val="21"/>
        </w:rPr>
        <w:t>（4）</w:t>
      </w:r>
      <w:r>
        <w:rPr>
          <w:rFonts w:hint="eastAsia" w:cs="Times New Roman" w:eastAsiaTheme="majorEastAsia"/>
          <w:sz w:val="21"/>
        </w:rPr>
        <w:t>查阅设备的维护和保养记录，分析设备是否处于良好工作状态，识别设备工作状态不良导致的效率降低或污染物产生增加的情况。</w:t>
      </w:r>
    </w:p>
    <w:p w14:paraId="02EEC117">
      <w:pPr>
        <w:pStyle w:val="19"/>
        <w:ind w:firstLine="420" w:firstLineChars="0"/>
        <w:rPr>
          <w:rFonts w:cs="Times New Roman" w:eastAsiaTheme="majorEastAsia"/>
          <w:sz w:val="21"/>
        </w:rPr>
      </w:pPr>
      <w:r>
        <w:rPr>
          <w:rFonts w:cs="Times New Roman" w:eastAsiaTheme="majorEastAsia"/>
          <w:sz w:val="21"/>
        </w:rPr>
        <w:t>（5）</w:t>
      </w:r>
      <w:r>
        <w:rPr>
          <w:rFonts w:hint="eastAsia" w:cs="Times New Roman" w:eastAsiaTheme="majorEastAsia"/>
          <w:sz w:val="21"/>
        </w:rPr>
        <w:t>评估设备自动化、智能化控制水平，识别设备自动化水平不高导致的效率降低或污染物产生增加的情况。</w:t>
      </w:r>
    </w:p>
    <w:p w14:paraId="65E26481">
      <w:pPr>
        <w:pStyle w:val="19"/>
        <w:ind w:firstLine="420" w:firstLineChars="0"/>
        <w:rPr>
          <w:rFonts w:cs="Times New Roman" w:eastAsiaTheme="majorEastAsia"/>
          <w:sz w:val="21"/>
        </w:rPr>
      </w:pPr>
      <w:r>
        <w:rPr>
          <w:rFonts w:hint="eastAsia" w:cs="Times New Roman" w:eastAsiaTheme="majorEastAsia"/>
          <w:sz w:val="21"/>
        </w:rPr>
        <w:t>（6）评估生产设备之间的匹配性，分析设备布局是否遵循物流和信息流的自然顺序，能否减少物料搬运距离和时间，避免不必要的存储和等待，以及上下游设备的产能是否相匹配，是否存在瓶颈现象，识别设备之间匹配性不高导致的效率降低或污染物产生增加的情况。</w:t>
      </w:r>
    </w:p>
    <w:p w14:paraId="280902D0">
      <w:pPr>
        <w:pStyle w:val="19"/>
        <w:ind w:firstLine="420" w:firstLineChars="0"/>
        <w:rPr>
          <w:rFonts w:cs="Times New Roman" w:eastAsiaTheme="majorEastAsia"/>
          <w:sz w:val="21"/>
        </w:rPr>
      </w:pPr>
      <w:r>
        <w:rPr>
          <w:rFonts w:cs="Times New Roman" w:eastAsiaTheme="majorEastAsia"/>
          <w:sz w:val="21"/>
        </w:rPr>
        <w:t>（</w:t>
      </w:r>
      <w:r>
        <w:rPr>
          <w:rFonts w:hint="eastAsia" w:cs="Times New Roman" w:eastAsiaTheme="majorEastAsia"/>
          <w:sz w:val="21"/>
        </w:rPr>
        <w:t>7</w:t>
      </w:r>
      <w:r>
        <w:rPr>
          <w:rFonts w:cs="Times New Roman" w:eastAsiaTheme="majorEastAsia"/>
          <w:sz w:val="21"/>
        </w:rPr>
        <w:t>）</w:t>
      </w:r>
      <w:r>
        <w:rPr>
          <w:rFonts w:hint="eastAsia" w:cs="Times New Roman" w:eastAsiaTheme="majorEastAsia"/>
          <w:sz w:val="21"/>
        </w:rPr>
        <w:t>评估公</w:t>
      </w:r>
      <w:r>
        <w:rPr>
          <w:rFonts w:hint="eastAsia" w:cs="Times New Roman" w:eastAsiaTheme="majorEastAsia"/>
          <w:sz w:val="21"/>
          <w:lang w:val="en-US" w:eastAsia="zh-CN"/>
        </w:rPr>
        <w:t>用</w:t>
      </w:r>
      <w:r>
        <w:rPr>
          <w:rFonts w:hint="eastAsia" w:cs="Times New Roman" w:eastAsiaTheme="majorEastAsia"/>
          <w:sz w:val="21"/>
        </w:rPr>
        <w:t>设备（如供料系统、传送带、自动化仓库、供电、供热系统、纯水制备、压缩空气设备及冷却水系统等）与主体设备配置的合理性。评估公</w:t>
      </w:r>
      <w:r>
        <w:rPr>
          <w:rFonts w:hint="eastAsia" w:cs="Times New Roman" w:eastAsiaTheme="majorEastAsia"/>
          <w:sz w:val="21"/>
          <w:lang w:val="en-US" w:eastAsia="zh-CN"/>
        </w:rPr>
        <w:t>用</w:t>
      </w:r>
      <w:r>
        <w:rPr>
          <w:rFonts w:hint="eastAsia" w:cs="Times New Roman" w:eastAsiaTheme="majorEastAsia"/>
          <w:sz w:val="21"/>
        </w:rPr>
        <w:t>设备供应能力能否满足主体设备的最大和平均需求，识别因公</w:t>
      </w:r>
      <w:r>
        <w:rPr>
          <w:rFonts w:hint="eastAsia" w:cs="Times New Roman" w:eastAsiaTheme="majorEastAsia"/>
          <w:sz w:val="21"/>
          <w:lang w:val="en-US" w:eastAsia="zh-CN"/>
        </w:rPr>
        <w:t>用</w:t>
      </w:r>
      <w:r>
        <w:rPr>
          <w:rFonts w:hint="eastAsia" w:cs="Times New Roman" w:eastAsiaTheme="majorEastAsia"/>
          <w:sz w:val="21"/>
        </w:rPr>
        <w:t>设备与生产设备匹配性不高导致的效率降低或污染物产生增加的情况。</w:t>
      </w:r>
    </w:p>
    <w:p w14:paraId="752942E4">
      <w:pPr>
        <w:pStyle w:val="19"/>
        <w:ind w:firstLine="420" w:firstLineChars="0"/>
        <w:rPr>
          <w:rFonts w:cs="Times New Roman" w:eastAsiaTheme="majorEastAsia"/>
          <w:sz w:val="21"/>
        </w:rPr>
      </w:pPr>
      <w:r>
        <w:rPr>
          <w:rFonts w:cs="Times New Roman" w:eastAsiaTheme="majorEastAsia"/>
          <w:sz w:val="21"/>
        </w:rPr>
        <w:t>（</w:t>
      </w:r>
      <w:r>
        <w:rPr>
          <w:rFonts w:hint="eastAsia" w:cs="Times New Roman" w:eastAsiaTheme="majorEastAsia"/>
          <w:sz w:val="21"/>
        </w:rPr>
        <w:t>8</w:t>
      </w:r>
      <w:r>
        <w:rPr>
          <w:rFonts w:cs="Times New Roman" w:eastAsiaTheme="majorEastAsia"/>
          <w:sz w:val="21"/>
        </w:rPr>
        <w:t>）</w:t>
      </w:r>
      <w:r>
        <w:rPr>
          <w:rFonts w:hint="eastAsia" w:cs="Times New Roman" w:eastAsiaTheme="majorEastAsia"/>
          <w:sz w:val="21"/>
        </w:rPr>
        <w:t>评估设备功能与工艺要求匹配性。分析设备的技术性能，包括生产能力、精确度、稳定性、自动化水平等是否满足工艺要求，识别因设备与工艺要求匹配性不高导致的效率降低或污染物产生增加的情况。</w:t>
      </w:r>
    </w:p>
    <w:p w14:paraId="3F1BD1AE">
      <w:pPr>
        <w:pStyle w:val="19"/>
        <w:ind w:firstLine="420" w:firstLineChars="0"/>
        <w:rPr>
          <w:rFonts w:cs="Times New Roman" w:eastAsiaTheme="majorEastAsia"/>
          <w:sz w:val="21"/>
        </w:rPr>
      </w:pPr>
      <w:r>
        <w:rPr>
          <w:rFonts w:hint="eastAsia" w:cs="Times New Roman" w:eastAsiaTheme="majorEastAsia"/>
          <w:sz w:val="21"/>
        </w:rPr>
        <w:t>基于以上分析，评估淘汰落后设备、设备升级改造、</w:t>
      </w:r>
      <w:r>
        <w:rPr>
          <w:rFonts w:hint="eastAsia" w:cs="Times New Roman" w:eastAsiaTheme="majorEastAsia"/>
          <w:sz w:val="21"/>
          <w:lang w:val="en-US" w:eastAsia="zh-CN"/>
        </w:rPr>
        <w:t>引入</w:t>
      </w:r>
      <w:r>
        <w:rPr>
          <w:rFonts w:hint="eastAsia" w:cs="Times New Roman" w:eastAsiaTheme="majorEastAsia"/>
          <w:sz w:val="21"/>
        </w:rPr>
        <w:t>智能设备、提高主体设备和公</w:t>
      </w:r>
      <w:r>
        <w:rPr>
          <w:rFonts w:hint="eastAsia" w:cs="Times New Roman" w:eastAsiaTheme="majorEastAsia"/>
          <w:sz w:val="21"/>
          <w:lang w:val="en-US" w:eastAsia="zh-CN"/>
        </w:rPr>
        <w:t>用设施</w:t>
      </w:r>
      <w:r>
        <w:rPr>
          <w:rFonts w:hint="eastAsia" w:cs="Times New Roman" w:eastAsiaTheme="majorEastAsia"/>
          <w:sz w:val="21"/>
        </w:rPr>
        <w:t>匹配性、完善设备设施维护管理等方面的潜力，并提出改进建议。</w:t>
      </w:r>
    </w:p>
    <w:p w14:paraId="55D1D459">
      <w:pPr>
        <w:pStyle w:val="4"/>
        <w:ind w:firstLine="480"/>
        <w:rPr>
          <w:sz w:val="24"/>
          <w:szCs w:val="28"/>
        </w:rPr>
      </w:pPr>
      <w:r>
        <w:rPr>
          <w:rFonts w:hint="eastAsia"/>
          <w:sz w:val="24"/>
          <w:szCs w:val="28"/>
        </w:rPr>
        <w:t>3.2.4过程控制</w:t>
      </w:r>
    </w:p>
    <w:p w14:paraId="1F7E77EE">
      <w:pPr>
        <w:pStyle w:val="5"/>
        <w:ind w:firstLine="420"/>
      </w:pPr>
      <w:r>
        <w:rPr>
          <w:rFonts w:hint="eastAsia"/>
        </w:rPr>
        <w:t>3.2.4.1资料收集</w:t>
      </w:r>
    </w:p>
    <w:p w14:paraId="0F00BA7C">
      <w:pPr>
        <w:numPr>
          <w:ilvl w:val="255"/>
          <w:numId w:val="0"/>
        </w:numPr>
        <w:ind w:firstLine="420" w:firstLineChars="200"/>
        <w:rPr>
          <w:rFonts w:cs="Times New Roman" w:eastAsiaTheme="majorEastAsia"/>
        </w:rPr>
      </w:pPr>
      <w:r>
        <w:rPr>
          <w:rFonts w:hint="eastAsia" w:cs="Times New Roman" w:eastAsiaTheme="majorEastAsia"/>
        </w:rPr>
        <w:t>（1）收集计量器具基本情况，包括能源计量器具、流量计、压力表和压力变送器、浓度计和在线分析仪等计量器具的数量及布设位置，仪表与控制系统（ICS）配置图</w:t>
      </w:r>
      <w:r>
        <w:rPr>
          <w:rFonts w:hint="eastAsia" w:cs="Times New Roman" w:eastAsiaTheme="majorEastAsia"/>
          <w:lang w:eastAsia="zh-CN"/>
        </w:rPr>
        <w:t>、</w:t>
      </w:r>
      <w:r>
        <w:rPr>
          <w:rFonts w:hint="eastAsia" w:cs="Times New Roman" w:eastAsiaTheme="majorEastAsia"/>
        </w:rPr>
        <w:t>PID图等资料；</w:t>
      </w:r>
    </w:p>
    <w:p w14:paraId="02E82CC3">
      <w:pPr>
        <w:numPr>
          <w:ilvl w:val="255"/>
          <w:numId w:val="0"/>
        </w:numPr>
        <w:ind w:firstLine="420" w:firstLineChars="200"/>
        <w:rPr>
          <w:rFonts w:cs="Times New Roman" w:eastAsiaTheme="majorEastAsia"/>
        </w:rPr>
      </w:pPr>
      <w:r>
        <w:rPr>
          <w:rFonts w:hint="eastAsia" w:cs="Times New Roman" w:eastAsiaTheme="majorEastAsia"/>
        </w:rPr>
        <w:t>（2）收集工艺</w:t>
      </w:r>
      <w:r>
        <w:rPr>
          <w:rFonts w:hint="eastAsia" w:cs="Times New Roman" w:eastAsiaTheme="majorEastAsia"/>
          <w:lang w:val="en-US" w:eastAsia="zh-CN"/>
        </w:rPr>
        <w:t>操作</w:t>
      </w:r>
      <w:r>
        <w:rPr>
          <w:rFonts w:hint="eastAsia" w:cs="Times New Roman" w:eastAsiaTheme="majorEastAsia"/>
        </w:rPr>
        <w:t>相关文件，包括企业或行业标准操作规程(SOP)、工艺设计文件、设备使用说明书、生产相关程序文件及作业指导等。</w:t>
      </w:r>
    </w:p>
    <w:p w14:paraId="49D78A17">
      <w:pPr>
        <w:numPr>
          <w:ilvl w:val="255"/>
          <w:numId w:val="0"/>
        </w:numPr>
        <w:ind w:firstLine="420" w:firstLineChars="200"/>
        <w:rPr>
          <w:rFonts w:cs="Times New Roman" w:eastAsiaTheme="majorEastAsia"/>
        </w:rPr>
      </w:pPr>
      <w:r>
        <w:rPr>
          <w:rFonts w:hint="eastAsia" w:cs="Times New Roman" w:eastAsiaTheme="majorEastAsia"/>
        </w:rPr>
        <w:t>（3）收集历史生产控制数据，包括参数波动记录、异常报警日志等。</w:t>
      </w:r>
    </w:p>
    <w:p w14:paraId="72E31C29">
      <w:pPr>
        <w:ind w:firstLine="420"/>
      </w:pPr>
      <w:r>
        <w:rPr>
          <w:rFonts w:hint="eastAsia"/>
        </w:rPr>
        <w:t>收集</w:t>
      </w:r>
      <w:r>
        <w:rPr>
          <w:rFonts w:hint="eastAsia"/>
          <w:lang w:eastAsia="zh-CN"/>
        </w:rPr>
        <w:t>的</w:t>
      </w:r>
      <w:r>
        <w:rPr>
          <w:rFonts w:hint="eastAsia"/>
          <w:lang w:val="en-US" w:eastAsia="zh-CN"/>
        </w:rPr>
        <w:t>信息填入</w:t>
      </w:r>
      <w:r>
        <w:rPr>
          <w:rFonts w:hint="eastAsia"/>
        </w:rPr>
        <w:t>《简易流程报告表编制技术指南》“表2-4 过程控制信息表</w:t>
      </w:r>
      <w:r>
        <w:rPr>
          <w:rFonts w:hint="eastAsia" w:cs="Times New Roman" w:eastAsiaTheme="majorEastAsia"/>
          <w:lang w:val="en-US" w:eastAsia="zh-CN"/>
        </w:rPr>
        <w:t>"</w:t>
      </w:r>
      <w:r>
        <w:rPr>
          <w:rFonts w:hint="eastAsia"/>
        </w:rPr>
        <w:t>。</w:t>
      </w:r>
      <w:r>
        <w:rPr>
          <w:rFonts w:hint="eastAsia"/>
          <w:lang w:val="en-US" w:eastAsia="zh-CN"/>
        </w:rPr>
        <w:t>.</w:t>
      </w:r>
      <w:r>
        <w:rPr>
          <w:rFonts w:hint="eastAsia"/>
        </w:rPr>
        <w:t>企业可根据行业实际和企业管理现状，增减相关内容。</w:t>
      </w:r>
    </w:p>
    <w:p w14:paraId="441DEC00">
      <w:pPr>
        <w:pStyle w:val="5"/>
        <w:ind w:firstLine="420"/>
      </w:pPr>
      <w:r>
        <w:rPr>
          <w:rFonts w:hint="eastAsia"/>
        </w:rPr>
        <w:t>3.2.4.2现场考察</w:t>
      </w:r>
    </w:p>
    <w:p w14:paraId="40E15961">
      <w:pPr>
        <w:numPr>
          <w:ilvl w:val="255"/>
          <w:numId w:val="0"/>
        </w:numPr>
        <w:ind w:firstLine="420" w:firstLineChars="200"/>
        <w:rPr>
          <w:rFonts w:cs="Times New Roman" w:eastAsiaTheme="majorEastAsia"/>
        </w:rPr>
      </w:pPr>
      <w:r>
        <w:rPr>
          <w:rFonts w:hint="eastAsia" w:cs="Times New Roman" w:eastAsiaTheme="majorEastAsia"/>
        </w:rPr>
        <w:t>（1）考察计量监测与精度情况。查看仪表器具安装位置是否合理，是否便于维护和校准，检查仪表外壳、接线端子、管道接口等是否存在损坏或腐蚀；可随机选取关键仪表，检验</w:t>
      </w:r>
      <w:r>
        <w:rPr>
          <w:rFonts w:hint="eastAsia" w:cs="Times New Roman" w:eastAsiaTheme="majorEastAsia"/>
          <w:lang w:val="en-US" w:eastAsia="zh-CN"/>
        </w:rPr>
        <w:t>其</w:t>
      </w:r>
      <w:r>
        <w:rPr>
          <w:rFonts w:hint="eastAsia" w:cs="Times New Roman" w:eastAsiaTheme="majorEastAsia"/>
        </w:rPr>
        <w:t>测量精度和稳定性；查看仪表的日常维护记录，评估维护工作的及时性和有效性。</w:t>
      </w:r>
    </w:p>
    <w:p w14:paraId="54711402">
      <w:pPr>
        <w:numPr>
          <w:ilvl w:val="255"/>
          <w:numId w:val="0"/>
        </w:numPr>
        <w:ind w:firstLine="420" w:firstLineChars="200"/>
        <w:rPr>
          <w:rFonts w:cs="Times New Roman" w:eastAsiaTheme="majorEastAsia"/>
        </w:rPr>
      </w:pPr>
      <w:r>
        <w:rPr>
          <w:rFonts w:hint="eastAsia" w:cs="Times New Roman" w:eastAsiaTheme="majorEastAsia"/>
        </w:rPr>
        <w:t>（2）生产工艺参数监控。观察生产现场工艺参数显示面板、报警指示灯、手动调节情况等，评估现场监控水平；访谈一线工作人员，了解他们在日常监控中的经验、遇到的问题及应对措施。</w:t>
      </w:r>
    </w:p>
    <w:p w14:paraId="1FEA9CD7">
      <w:pPr>
        <w:numPr>
          <w:ilvl w:val="255"/>
          <w:numId w:val="0"/>
        </w:numPr>
        <w:ind w:firstLine="420" w:firstLineChars="200"/>
        <w:rPr>
          <w:rFonts w:cs="Times New Roman" w:eastAsiaTheme="majorEastAsia"/>
        </w:rPr>
      </w:pPr>
      <w:r>
        <w:rPr>
          <w:rFonts w:hint="eastAsia" w:cs="Times New Roman" w:eastAsiaTheme="majorEastAsia"/>
        </w:rPr>
        <w:t>（3）检查现场操作情况。对照企业或行业标准操作规程(SOP)，查看现场操作是否遵循了既定的标准流程，包括但不限于设备操作、物料处理、质量检验等环节，记录实际操作与既定标准之间的差异。</w:t>
      </w:r>
    </w:p>
    <w:p w14:paraId="09C31F54">
      <w:pPr>
        <w:numPr>
          <w:ilvl w:val="255"/>
          <w:numId w:val="0"/>
        </w:numPr>
        <w:ind w:firstLine="420" w:firstLineChars="200"/>
        <w:rPr>
          <w:rFonts w:cs="Times New Roman" w:eastAsiaTheme="majorEastAsia"/>
        </w:rPr>
      </w:pPr>
      <w:r>
        <w:rPr>
          <w:rFonts w:hint="eastAsia" w:cs="Times New Roman" w:eastAsiaTheme="majorEastAsia"/>
        </w:rPr>
        <w:t>（4）检查生产过程跑冒滴漏现象。现场检查各管道、设备及其连接处以及物料输送等环节是否存在跑冒滴漏现象。</w:t>
      </w:r>
    </w:p>
    <w:p w14:paraId="49395FCD">
      <w:pPr>
        <w:ind w:firstLine="420"/>
      </w:pPr>
      <w:r>
        <w:rPr>
          <w:rFonts w:hint="eastAsia"/>
        </w:rPr>
        <w:t>现场考察可参考工作表</w:t>
      </w:r>
      <w:r>
        <w:rPr>
          <w:rFonts w:hint="eastAsia"/>
          <w:lang w:val="en-US" w:eastAsia="zh-CN"/>
        </w:rPr>
        <w:t>A.4</w:t>
      </w:r>
      <w:r>
        <w:rPr>
          <w:rFonts w:hint="eastAsia"/>
        </w:rPr>
        <w:t>，企业可根据行业实际和企业管理现状，增减相关内容。</w:t>
      </w:r>
    </w:p>
    <w:p w14:paraId="3C6B570A">
      <w:pPr>
        <w:pStyle w:val="5"/>
        <w:ind w:firstLine="420"/>
        <w:rPr>
          <w:rFonts w:eastAsia="仿宋"/>
        </w:rPr>
      </w:pPr>
      <w:r>
        <w:rPr>
          <w:rFonts w:hint="eastAsia"/>
        </w:rPr>
        <w:t>3.2.4.3问题分析</w:t>
      </w:r>
    </w:p>
    <w:p w14:paraId="763FAE41">
      <w:pPr>
        <w:numPr>
          <w:ilvl w:val="0"/>
          <w:numId w:val="4"/>
        </w:numPr>
        <w:ind w:firstLine="420"/>
        <w:rPr>
          <w:rFonts w:cs="Times New Roman" w:eastAsiaTheme="majorEastAsia"/>
        </w:rPr>
      </w:pPr>
      <w:r>
        <w:rPr>
          <w:rFonts w:hint="eastAsia" w:cs="Times New Roman" w:eastAsiaTheme="majorEastAsia"/>
        </w:rPr>
        <w:t>分析计量</w:t>
      </w:r>
      <w:r>
        <w:rPr>
          <w:rFonts w:hint="eastAsia" w:cs="Times New Roman" w:eastAsiaTheme="majorEastAsia"/>
          <w:lang w:val="en-US" w:eastAsia="zh-CN"/>
        </w:rPr>
        <w:t>器具</w:t>
      </w:r>
      <w:r>
        <w:rPr>
          <w:rFonts w:hint="eastAsia" w:cs="Times New Roman" w:eastAsiaTheme="majorEastAsia"/>
        </w:rPr>
        <w:t>安装与监测</w:t>
      </w:r>
      <w:r>
        <w:rPr>
          <w:rStyle w:val="16"/>
          <w:rFonts w:hint="eastAsia"/>
        </w:rPr>
        <w:t>情况</w:t>
      </w:r>
      <w:r>
        <w:rPr>
          <w:rFonts w:hint="eastAsia" w:cs="Times New Roman" w:eastAsiaTheme="majorEastAsia"/>
        </w:rPr>
        <w:t>。评估各类计量器具安装数量及布设位置的科学合理性；分析各种仪表数据稳定性与准确性；分析参数波动、异常报警等问题及原因；根据计量器具检查、</w:t>
      </w:r>
      <w:r>
        <w:rPr>
          <w:rFonts w:cs="Times New Roman" w:eastAsiaTheme="majorEastAsia"/>
        </w:rPr>
        <w:t>仪表的校验与维护</w:t>
      </w:r>
      <w:r>
        <w:rPr>
          <w:rFonts w:hint="eastAsia" w:cs="Times New Roman" w:eastAsiaTheme="majorEastAsia"/>
        </w:rPr>
        <w:t>、计量的监测精度水平等，分析整个计量监测系统的性能，提出优化计量监测系统性能的建议。</w:t>
      </w:r>
    </w:p>
    <w:p w14:paraId="33EFFC43">
      <w:pPr>
        <w:numPr>
          <w:ilvl w:val="255"/>
          <w:numId w:val="0"/>
        </w:numPr>
        <w:ind w:firstLine="420" w:firstLineChars="200"/>
        <w:rPr>
          <w:rFonts w:cs="Times New Roman" w:eastAsiaTheme="majorEastAsia"/>
        </w:rPr>
      </w:pPr>
      <w:r>
        <w:rPr>
          <w:rFonts w:hint="eastAsia" w:cs="Times New Roman" w:eastAsiaTheme="majorEastAsia"/>
        </w:rPr>
        <w:t>（2）工艺参数设置与控制。分析工艺参数控制（如温度、压力、流速、浓度、停留时间等）等指标，分析工艺参数控制指标波动、</w:t>
      </w:r>
      <w:r>
        <w:rPr>
          <w:rFonts w:hint="eastAsia" w:cs="Times New Roman" w:eastAsiaTheme="majorEastAsia"/>
          <w:lang w:val="en-US" w:eastAsia="zh-CN"/>
        </w:rPr>
        <w:t>生产</w:t>
      </w:r>
      <w:r>
        <w:rPr>
          <w:rFonts w:hint="eastAsia" w:cs="Times New Roman" w:eastAsiaTheme="majorEastAsia"/>
        </w:rPr>
        <w:t>效率低下的原因，提出优化工艺参数设置、控制的的建议。</w:t>
      </w:r>
    </w:p>
    <w:p w14:paraId="6EDC8EFC">
      <w:pPr>
        <w:numPr>
          <w:ilvl w:val="255"/>
          <w:numId w:val="0"/>
        </w:numPr>
        <w:ind w:firstLine="420" w:firstLineChars="200"/>
        <w:rPr>
          <w:rFonts w:cs="Times New Roman" w:eastAsiaTheme="majorEastAsia"/>
        </w:rPr>
      </w:pPr>
      <w:r>
        <w:rPr>
          <w:rFonts w:hint="eastAsia" w:cs="Times New Roman" w:eastAsiaTheme="majorEastAsia"/>
        </w:rPr>
        <w:t>（3）分析现场操作情况。分析</w:t>
      </w:r>
      <w:r>
        <w:rPr>
          <w:rFonts w:hint="eastAsia" w:cs="Times New Roman" w:eastAsiaTheme="majorEastAsia"/>
          <w:lang w:val="en-US" w:eastAsia="zh-CN"/>
        </w:rPr>
        <w:t>员工</w:t>
      </w:r>
      <w:r>
        <w:rPr>
          <w:rFonts w:hint="eastAsia" w:cs="Times New Roman" w:eastAsiaTheme="majorEastAsia"/>
        </w:rPr>
        <w:t>否遵循了既定的标准流程</w:t>
      </w:r>
      <w:r>
        <w:rPr>
          <w:rFonts w:hint="eastAsia" w:cs="Times New Roman" w:eastAsiaTheme="majorEastAsia"/>
          <w:lang w:val="en-US" w:eastAsia="zh-CN"/>
        </w:rPr>
        <w:t>进行</w:t>
      </w:r>
      <w:r>
        <w:rPr>
          <w:rFonts w:hint="eastAsia" w:cs="Times New Roman" w:eastAsiaTheme="majorEastAsia"/>
        </w:rPr>
        <w:t>操作</w:t>
      </w:r>
      <w:r>
        <w:rPr>
          <w:rFonts w:hint="eastAsia" w:cs="Times New Roman" w:eastAsiaTheme="majorEastAsia"/>
          <w:lang w:eastAsia="zh-CN"/>
        </w:rPr>
        <w:t>、</w:t>
      </w:r>
      <w:r>
        <w:rPr>
          <w:rFonts w:hint="eastAsia" w:cs="Times New Roman" w:eastAsiaTheme="majorEastAsia"/>
        </w:rPr>
        <w:t>操作过程中常见问题等，重点分析出现问题的原因及造成不良影响；分析操作流程是否存在冗余、缺失或不合理之处，评估流程设计是否高效，能否有效控制成本、保证质量和安全；对比不同班组之间的操作水平与配合情况，分析影响班组工作效率的关键因素；分析是否建立了有效的数据收集、分析和反馈机制，用于持续监控和改进现场操作表现。</w:t>
      </w:r>
    </w:p>
    <w:p w14:paraId="7DCADE39">
      <w:pPr>
        <w:ind w:firstLine="420"/>
        <w:rPr>
          <w:rFonts w:hint="eastAsia" w:cs="Times New Roman" w:eastAsiaTheme="majorEastAsia"/>
        </w:rPr>
      </w:pPr>
      <w:r>
        <w:rPr>
          <w:rFonts w:hint="eastAsia" w:cs="Times New Roman" w:eastAsiaTheme="majorEastAsia"/>
        </w:rPr>
        <w:t>（4）生产过程跑冒滴漏。分析生产过程存在的跑冒滴漏现象及其原因，提出减少输送遗撒及生产过程跑冒滴漏等方面的建议。</w:t>
      </w:r>
    </w:p>
    <w:p w14:paraId="45AEF5E7">
      <w:pPr>
        <w:ind w:firstLine="420"/>
        <w:rPr>
          <w:rFonts w:hint="eastAsia" w:cs="Times New Roman" w:eastAsiaTheme="majorEastAsia"/>
        </w:rPr>
      </w:pPr>
      <w:r>
        <w:rPr>
          <w:rFonts w:hint="eastAsia"/>
          <w:color w:val="auto"/>
          <w:szCs w:val="24"/>
          <w:lang w:val="en-US" w:eastAsia="zh-CN"/>
        </w:rPr>
        <w:t>（5）对照清洁生产评价指标体系</w:t>
      </w:r>
      <w:r>
        <w:rPr>
          <w:rFonts w:hint="eastAsia" w:cs="Times New Roman" w:eastAsiaTheme="majorEastAsia"/>
          <w:sz w:val="21"/>
          <w:lang w:val="en-US" w:eastAsia="zh-CN"/>
        </w:rPr>
        <w:t>或行业先进水平或企业历史最佳水平</w:t>
      </w:r>
      <w:r>
        <w:rPr>
          <w:rFonts w:hint="eastAsia"/>
          <w:color w:val="auto"/>
          <w:szCs w:val="24"/>
          <w:lang w:val="en-US" w:eastAsia="zh-CN"/>
        </w:rPr>
        <w:t>，评价过程控制相关指标现状水平，分析存在的问题和需要改善的指标。</w:t>
      </w:r>
    </w:p>
    <w:p w14:paraId="0A73C350">
      <w:pPr>
        <w:pStyle w:val="4"/>
        <w:spacing w:line="240" w:lineRule="auto"/>
        <w:ind w:firstLine="420"/>
      </w:pPr>
      <w:r>
        <w:rPr>
          <w:rFonts w:hint="eastAsia"/>
        </w:rPr>
        <w:t>3.2.5产品</w:t>
      </w:r>
    </w:p>
    <w:p w14:paraId="6BD2E0B1">
      <w:pPr>
        <w:pStyle w:val="5"/>
        <w:ind w:firstLine="420"/>
      </w:pPr>
      <w:r>
        <w:rPr>
          <w:rFonts w:hint="eastAsia"/>
        </w:rPr>
        <w:t>3.2.5.1资料收集</w:t>
      </w:r>
    </w:p>
    <w:p w14:paraId="3EF15F0C">
      <w:pPr>
        <w:widowControl/>
        <w:numPr>
          <w:ilvl w:val="255"/>
          <w:numId w:val="0"/>
        </w:numPr>
        <w:ind w:firstLine="420"/>
        <w:rPr>
          <w:rFonts w:cs="Times New Roman" w:eastAsiaTheme="majorEastAsia"/>
        </w:rPr>
      </w:pPr>
      <w:r>
        <w:rPr>
          <w:rFonts w:hint="eastAsia" w:cs="Times New Roman" w:eastAsiaTheme="majorEastAsia"/>
        </w:rPr>
        <w:t>（1）收集产品基本信息，包括产品</w:t>
      </w:r>
      <w:r>
        <w:rPr>
          <w:rFonts w:hint="eastAsia" w:cs="Times New Roman" w:eastAsiaTheme="majorEastAsia"/>
          <w:lang w:val="en-US" w:eastAsia="zh-CN"/>
        </w:rPr>
        <w:t>说明书</w:t>
      </w:r>
      <w:r>
        <w:rPr>
          <w:rFonts w:hint="eastAsia" w:cs="Times New Roman" w:eastAsiaTheme="majorEastAsia"/>
        </w:rPr>
        <w:t>、一次性合格率、总合格率等，了解产品的特性、用途及绿色设计情况。</w:t>
      </w:r>
    </w:p>
    <w:p w14:paraId="5BEC9553">
      <w:pPr>
        <w:widowControl/>
        <w:numPr>
          <w:ilvl w:val="255"/>
          <w:numId w:val="0"/>
        </w:numPr>
        <w:ind w:firstLine="420"/>
        <w:rPr>
          <w:rFonts w:cs="Times New Roman" w:eastAsiaTheme="majorEastAsia"/>
        </w:rPr>
      </w:pPr>
      <w:r>
        <w:rPr>
          <w:rFonts w:hint="eastAsia" w:cs="Times New Roman" w:eastAsiaTheme="majorEastAsia"/>
        </w:rPr>
        <w:t>（2）收集包装材料使用</w:t>
      </w:r>
      <w:r>
        <w:rPr>
          <w:rFonts w:hint="eastAsia" w:cs="Times New Roman" w:eastAsiaTheme="majorEastAsia"/>
          <w:lang w:val="en-US" w:eastAsia="zh-CN"/>
        </w:rPr>
        <w:t>情况</w:t>
      </w:r>
      <w:r>
        <w:rPr>
          <w:rFonts w:hint="eastAsia" w:cs="Times New Roman" w:eastAsiaTheme="majorEastAsia"/>
        </w:rPr>
        <w:t>，包括产品包装材质、规格、回收利用信息及包装废物管理记录。</w:t>
      </w:r>
    </w:p>
    <w:p w14:paraId="628BFBB7">
      <w:pPr>
        <w:ind w:firstLine="420"/>
      </w:pPr>
      <w:r>
        <w:rPr>
          <w:rFonts w:hint="eastAsia"/>
        </w:rPr>
        <w:t>收集</w:t>
      </w:r>
      <w:r>
        <w:rPr>
          <w:rFonts w:hint="eastAsia"/>
          <w:lang w:eastAsia="zh-CN"/>
        </w:rPr>
        <w:t>的</w:t>
      </w:r>
      <w:r>
        <w:rPr>
          <w:rFonts w:hint="eastAsia"/>
          <w:lang w:val="en-US" w:eastAsia="zh-CN"/>
        </w:rPr>
        <w:t>信息填入</w:t>
      </w:r>
      <w:r>
        <w:rPr>
          <w:rFonts w:hint="eastAsia"/>
        </w:rPr>
        <w:t>《简易流程报告表编制技术指南》“</w:t>
      </w:r>
      <w:r>
        <w:rPr>
          <w:rFonts w:hint="eastAsia"/>
          <w:lang w:val="en-US" w:eastAsia="zh-CN"/>
        </w:rPr>
        <w:t>表2-5 产品信息</w:t>
      </w:r>
      <w:r>
        <w:rPr>
          <w:rFonts w:hint="eastAsia"/>
        </w:rPr>
        <w:t>表</w:t>
      </w:r>
      <w:r>
        <w:rPr>
          <w:rFonts w:hint="eastAsia" w:cs="Times New Roman" w:eastAsiaTheme="majorEastAsia"/>
          <w:lang w:val="en-US" w:eastAsia="zh-CN"/>
        </w:rPr>
        <w:t>"</w:t>
      </w:r>
      <w:r>
        <w:rPr>
          <w:rFonts w:hint="eastAsia"/>
        </w:rPr>
        <w:t>。数据收集可参考工作表</w:t>
      </w:r>
      <w:r>
        <w:rPr>
          <w:rFonts w:hint="eastAsia"/>
          <w:lang w:val="en-US" w:eastAsia="zh-CN"/>
        </w:rPr>
        <w:t>A.5</w:t>
      </w:r>
      <w:r>
        <w:rPr>
          <w:rFonts w:hint="eastAsia"/>
        </w:rPr>
        <w:t>，企业可根据行业实际和企业管理现状，增减相关内容。</w:t>
      </w:r>
    </w:p>
    <w:p w14:paraId="6ED51D62">
      <w:pPr>
        <w:pStyle w:val="5"/>
        <w:ind w:firstLine="420"/>
      </w:pPr>
      <w:r>
        <w:rPr>
          <w:rFonts w:hint="eastAsia"/>
        </w:rPr>
        <w:t>3.2.5.2现场考察</w:t>
      </w:r>
    </w:p>
    <w:p w14:paraId="5B308EE9">
      <w:pPr>
        <w:widowControl/>
        <w:numPr>
          <w:ilvl w:val="255"/>
          <w:numId w:val="0"/>
        </w:numPr>
        <w:ind w:firstLine="420"/>
        <w:rPr>
          <w:rFonts w:cs="Times New Roman" w:eastAsiaTheme="majorEastAsia"/>
        </w:rPr>
      </w:pPr>
      <w:r>
        <w:rPr>
          <w:rFonts w:hint="eastAsia" w:cs="Times New Roman" w:eastAsiaTheme="majorEastAsia"/>
        </w:rPr>
        <w:t>（1）考察产品储存、输运等方面的管理及污染物产生情况。包括半成品及成品储存区域管理、库存量、库存过程损耗、产品搬运与装车损耗</w:t>
      </w:r>
      <w:r>
        <w:rPr>
          <w:rFonts w:hint="eastAsia" w:cs="Times New Roman" w:eastAsiaTheme="majorEastAsia"/>
          <w:lang w:val="en-US" w:eastAsia="zh-CN"/>
        </w:rPr>
        <w:t>及</w:t>
      </w:r>
      <w:r>
        <w:rPr>
          <w:rFonts w:hint="eastAsia" w:cs="Times New Roman" w:eastAsiaTheme="majorEastAsia"/>
        </w:rPr>
        <w:t>输运包装损耗等。</w:t>
      </w:r>
    </w:p>
    <w:p w14:paraId="2BFE9F26">
      <w:pPr>
        <w:widowControl/>
        <w:numPr>
          <w:ilvl w:val="255"/>
          <w:numId w:val="0"/>
        </w:numPr>
        <w:ind w:firstLine="420"/>
        <w:rPr>
          <w:rFonts w:cs="Times New Roman" w:eastAsiaTheme="majorEastAsia"/>
        </w:rPr>
      </w:pPr>
      <w:r>
        <w:rPr>
          <w:rFonts w:hint="eastAsia" w:cs="Times New Roman" w:eastAsiaTheme="majorEastAsia"/>
        </w:rPr>
        <w:t>（2）考察易产生不合格品的环节或工序。了解不合格品的表现形式，造成返工及产生不合格品的原因，考察不合格品的处置方式及去向等。</w:t>
      </w:r>
    </w:p>
    <w:p w14:paraId="75ADCFA7">
      <w:pPr>
        <w:ind w:firstLine="420"/>
        <w:rPr>
          <w:rFonts w:cs="Times New Roman" w:eastAsiaTheme="majorEastAsia"/>
        </w:rPr>
      </w:pPr>
      <w:r>
        <w:rPr>
          <w:rFonts w:hint="eastAsia" w:cs="Times New Roman" w:eastAsiaTheme="majorEastAsia"/>
        </w:rPr>
        <w:t>（3）现场考察绿色设计情况。与产品设计</w:t>
      </w:r>
      <w:r>
        <w:rPr>
          <w:rFonts w:hint="eastAsia" w:cs="Times New Roman" w:eastAsiaTheme="majorEastAsia"/>
          <w:lang w:val="en-US" w:eastAsia="zh-CN"/>
        </w:rPr>
        <w:t>人</w:t>
      </w:r>
      <w:r>
        <w:rPr>
          <w:rFonts w:hint="eastAsia" w:cs="Times New Roman" w:eastAsiaTheme="majorEastAsia"/>
        </w:rPr>
        <w:t>员交流，了解产品绿色设计情况；与易产生不合格品环节或工序员工交流，了解不合格品的产生原因、预防与处置措施、返工工艺、返工消耗的资源与产生的污染等。</w:t>
      </w:r>
    </w:p>
    <w:p w14:paraId="29CFF92C">
      <w:pPr>
        <w:ind w:firstLine="420"/>
      </w:pPr>
      <w:r>
        <w:rPr>
          <w:rFonts w:hint="eastAsia"/>
        </w:rPr>
        <w:t>现场考察可参考工作表</w:t>
      </w:r>
      <w:r>
        <w:rPr>
          <w:rFonts w:hint="eastAsia"/>
          <w:lang w:val="en-US" w:eastAsia="zh-CN"/>
        </w:rPr>
        <w:t>A.5</w:t>
      </w:r>
      <w:r>
        <w:rPr>
          <w:rFonts w:hint="eastAsia"/>
        </w:rPr>
        <w:t>，企业可根据行业实际和企业管理现状，增减相关内容。</w:t>
      </w:r>
    </w:p>
    <w:p w14:paraId="47012B43">
      <w:pPr>
        <w:pStyle w:val="5"/>
        <w:ind w:firstLine="420"/>
        <w:rPr>
          <w:rFonts w:eastAsia="仿宋"/>
        </w:rPr>
      </w:pPr>
      <w:r>
        <w:rPr>
          <w:rFonts w:hint="eastAsia"/>
        </w:rPr>
        <w:t>3.2.5.3问题分析</w:t>
      </w:r>
    </w:p>
    <w:p w14:paraId="4767D15A">
      <w:pPr>
        <w:numPr>
          <w:ilvl w:val="255"/>
          <w:numId w:val="0"/>
        </w:numPr>
        <w:ind w:firstLine="420" w:firstLineChars="200"/>
        <w:rPr>
          <w:rFonts w:cs="Times New Roman" w:eastAsiaTheme="majorEastAsia"/>
        </w:rPr>
      </w:pPr>
      <w:r>
        <w:rPr>
          <w:rFonts w:hint="eastAsia" w:cs="Times New Roman" w:eastAsiaTheme="majorEastAsia"/>
        </w:rPr>
        <w:t>（1）分析产品绿色设计情况。系统分析原辅料选择、设计、生产、使用等全生命周期，从原辅料环保优选、减少原辅料</w:t>
      </w:r>
      <w:r>
        <w:rPr>
          <w:rFonts w:hint="eastAsia" w:cs="Times New Roman" w:eastAsiaTheme="majorEastAsia"/>
          <w:lang w:val="en-US" w:eastAsia="zh-CN"/>
        </w:rPr>
        <w:t>使用量</w:t>
      </w:r>
      <w:r>
        <w:rPr>
          <w:rFonts w:hint="eastAsia" w:cs="Times New Roman" w:eastAsiaTheme="majorEastAsia"/>
        </w:rPr>
        <w:t>、提高原辅料利用率、延长使用寿命、废弃</w:t>
      </w:r>
      <w:r>
        <w:rPr>
          <w:rFonts w:hint="eastAsia" w:cs="Times New Roman" w:eastAsiaTheme="majorEastAsia"/>
          <w:lang w:val="en-US" w:eastAsia="zh-CN"/>
        </w:rPr>
        <w:t>物</w:t>
      </w:r>
      <w:r>
        <w:rPr>
          <w:rFonts w:hint="eastAsia" w:cs="Times New Roman" w:eastAsiaTheme="majorEastAsia"/>
        </w:rPr>
        <w:t>回收利用等方面，进一步识别产品绿色设计的潜力，降低污染物产生排放，提高资源能源的利用效率。</w:t>
      </w:r>
    </w:p>
    <w:p w14:paraId="4008EE5C">
      <w:pPr>
        <w:numPr>
          <w:ilvl w:val="255"/>
          <w:numId w:val="0"/>
        </w:numPr>
        <w:ind w:firstLine="420" w:firstLineChars="200"/>
        <w:rPr>
          <w:rFonts w:cs="Times New Roman" w:eastAsiaTheme="majorEastAsia"/>
        </w:rPr>
      </w:pPr>
      <w:r>
        <w:rPr>
          <w:rFonts w:hint="eastAsia" w:cs="Times New Roman" w:eastAsiaTheme="majorEastAsia"/>
        </w:rPr>
        <w:t>（2）分析中间产品及产品在储存、运输、转移等方面的破损、漏失情况。评估储存区域管理、搬运方式等是否合理，提出减少产品破损、优化输运方式等建议。</w:t>
      </w:r>
    </w:p>
    <w:p w14:paraId="5B4F7578">
      <w:pPr>
        <w:numPr>
          <w:ilvl w:val="255"/>
          <w:numId w:val="0"/>
        </w:numPr>
        <w:ind w:firstLine="420" w:firstLineChars="200"/>
        <w:rPr>
          <w:rFonts w:cs="Times New Roman" w:eastAsiaTheme="majorEastAsia"/>
        </w:rPr>
      </w:pPr>
      <w:r>
        <w:rPr>
          <w:rFonts w:hint="eastAsia" w:cs="Times New Roman" w:eastAsiaTheme="majorEastAsia"/>
        </w:rPr>
        <w:t>（3）分析产品包装材料情况。从包装的材料是否绿色环保、包装层级是否过度、包装设计是否耗费材料、包装结构是否易于分离等方面入手，评估产品包装方面存在问题，识别减少包装废弃物的清洁生产潜力</w:t>
      </w:r>
      <w:r>
        <w:rPr>
          <w:rFonts w:hint="eastAsia" w:cs="Times New Roman" w:eastAsiaTheme="majorEastAsia"/>
          <w:lang w:eastAsia="zh-CN"/>
        </w:rPr>
        <w:t>，</w:t>
      </w:r>
      <w:r>
        <w:rPr>
          <w:rFonts w:hint="eastAsia" w:cs="Times New Roman" w:eastAsiaTheme="majorEastAsia"/>
        </w:rPr>
        <w:t>并提出建议。</w:t>
      </w:r>
    </w:p>
    <w:p w14:paraId="0A7B492D">
      <w:pPr>
        <w:numPr>
          <w:ilvl w:val="255"/>
          <w:numId w:val="0"/>
        </w:numPr>
        <w:ind w:firstLine="420" w:firstLineChars="200"/>
        <w:rPr>
          <w:rFonts w:hint="eastAsia" w:cs="Times New Roman" w:eastAsiaTheme="majorEastAsia"/>
        </w:rPr>
      </w:pPr>
      <w:r>
        <w:rPr>
          <w:rFonts w:hint="eastAsia" w:cs="Times New Roman" w:eastAsiaTheme="majorEastAsia"/>
        </w:rPr>
        <w:t>（4）分析不合格产品情况。收集、汇总并分析不合格产品的表现形式、产生原因及不合格产品处理处置情况，提出针对性的防治措施，提高产品一次合格率/总合格率。</w:t>
      </w:r>
    </w:p>
    <w:p w14:paraId="2E9FE938">
      <w:pPr>
        <w:numPr>
          <w:ilvl w:val="255"/>
          <w:numId w:val="0"/>
        </w:numPr>
        <w:ind w:firstLine="420" w:firstLineChars="200"/>
        <w:rPr>
          <w:rFonts w:cs="Times New Roman" w:eastAsiaTheme="majorEastAsia"/>
        </w:rPr>
      </w:pPr>
      <w:r>
        <w:rPr>
          <w:rFonts w:hint="eastAsia"/>
          <w:color w:val="auto"/>
          <w:szCs w:val="24"/>
          <w:lang w:val="en-US" w:eastAsia="zh-CN"/>
        </w:rPr>
        <w:t>（5）对照清洁生产评价指标体系</w:t>
      </w:r>
      <w:r>
        <w:rPr>
          <w:rFonts w:hint="eastAsia" w:cs="Times New Roman" w:eastAsiaTheme="majorEastAsia"/>
          <w:sz w:val="21"/>
          <w:lang w:val="en-US" w:eastAsia="zh-CN"/>
        </w:rPr>
        <w:t>或行业先进水平或企业历史最佳水平</w:t>
      </w:r>
      <w:r>
        <w:rPr>
          <w:rFonts w:hint="eastAsia"/>
          <w:color w:val="auto"/>
          <w:szCs w:val="24"/>
          <w:lang w:val="en-US" w:eastAsia="zh-CN"/>
        </w:rPr>
        <w:t>，评价产品相关指标现状水平，分析存在的问题和需要改善的指标。</w:t>
      </w:r>
    </w:p>
    <w:p w14:paraId="02B23C9A">
      <w:pPr>
        <w:pStyle w:val="4"/>
        <w:spacing w:line="240" w:lineRule="auto"/>
        <w:ind w:firstLine="480"/>
        <w:rPr>
          <w:sz w:val="24"/>
          <w:szCs w:val="28"/>
        </w:rPr>
      </w:pPr>
      <w:r>
        <w:rPr>
          <w:rFonts w:hint="eastAsia"/>
          <w:sz w:val="24"/>
          <w:szCs w:val="28"/>
        </w:rPr>
        <w:t>3.2.6废弃物</w:t>
      </w:r>
    </w:p>
    <w:p w14:paraId="5A379D00">
      <w:pPr>
        <w:pStyle w:val="5"/>
        <w:ind w:firstLine="420"/>
      </w:pPr>
      <w:r>
        <w:rPr>
          <w:rFonts w:hint="eastAsia"/>
        </w:rPr>
        <w:t>3.2.6.1资料收集</w:t>
      </w:r>
    </w:p>
    <w:p w14:paraId="4140443E">
      <w:pPr>
        <w:numPr>
          <w:ilvl w:val="255"/>
          <w:numId w:val="0"/>
        </w:numPr>
        <w:ind w:firstLine="420" w:firstLineChars="200"/>
        <w:rPr>
          <w:rFonts w:cs="Times New Roman" w:eastAsiaTheme="majorEastAsia"/>
        </w:rPr>
      </w:pPr>
      <w:r>
        <w:rPr>
          <w:rFonts w:hint="eastAsia" w:cs="Times New Roman" w:eastAsiaTheme="majorEastAsia"/>
        </w:rPr>
        <w:t>（1）收集废弃物基本信息，包括排污许可证副本、近三年排污许可执行报告、环境影响评价</w:t>
      </w:r>
      <w:r>
        <w:rPr>
          <w:rFonts w:hint="eastAsia" w:cs="Times New Roman" w:eastAsiaTheme="majorEastAsia"/>
          <w:lang w:val="en-US" w:eastAsia="zh-CN"/>
        </w:rPr>
        <w:t>文件</w:t>
      </w:r>
      <w:r>
        <w:rPr>
          <w:rFonts w:hint="eastAsia" w:cs="Times New Roman" w:eastAsiaTheme="majorEastAsia"/>
        </w:rPr>
        <w:t>及其批复文件、近</w:t>
      </w:r>
      <w:r>
        <w:rPr>
          <w:rFonts w:hint="eastAsia" w:cs="Times New Roman" w:eastAsiaTheme="majorEastAsia"/>
          <w:lang w:val="en-US" w:eastAsia="zh-CN"/>
        </w:rPr>
        <w:t>三</w:t>
      </w:r>
      <w:r>
        <w:rPr>
          <w:rFonts w:hint="eastAsia" w:cs="Times New Roman" w:eastAsiaTheme="majorEastAsia"/>
        </w:rPr>
        <w:t>年监测报告或相关在线监测数据（</w:t>
      </w:r>
      <w:r>
        <w:t>废水、废气、噪声</w:t>
      </w:r>
      <w:r>
        <w:rPr>
          <w:rFonts w:hint="eastAsia" w:cs="Times New Roman" w:eastAsiaTheme="majorEastAsia"/>
        </w:rPr>
        <w:t>）、环保竣工验收材料</w:t>
      </w:r>
      <w:r>
        <w:rPr>
          <w:rFonts w:hint="eastAsia"/>
        </w:rPr>
        <w:t>等，整理各类废弃物的名称、类别（如一般</w:t>
      </w:r>
      <w:r>
        <w:rPr>
          <w:rFonts w:hint="eastAsia"/>
          <w:lang w:eastAsia="zh-CN"/>
        </w:rPr>
        <w:t>工业固体废物</w:t>
      </w:r>
      <w:r>
        <w:rPr>
          <w:rFonts w:hint="eastAsia"/>
        </w:rPr>
        <w:t>、危险废物、废水、废气等）、来源、产排量、污染物治理措施及去向等；</w:t>
      </w:r>
      <w:r>
        <w:rPr>
          <w:rFonts w:hint="eastAsia" w:cs="Times New Roman" w:eastAsiaTheme="majorEastAsia"/>
        </w:rPr>
        <w:t>包括废弃物相关成分分析报告，废弃物的物理状态（固态、液态、气态）和危险特性（如易燃、腐蚀性、毒性等）。</w:t>
      </w:r>
    </w:p>
    <w:p w14:paraId="538A5B35">
      <w:pPr>
        <w:numPr>
          <w:ilvl w:val="255"/>
          <w:numId w:val="0"/>
        </w:numPr>
        <w:ind w:firstLine="420" w:firstLineChars="200"/>
        <w:rPr>
          <w:rFonts w:cs="Times New Roman"/>
        </w:rPr>
      </w:pPr>
      <w:r>
        <w:rPr>
          <w:rFonts w:hint="eastAsia" w:cs="Times New Roman" w:eastAsiaTheme="majorEastAsia"/>
        </w:rPr>
        <w:t>（2）收集</w:t>
      </w:r>
      <w:r>
        <w:t>环保设施</w:t>
      </w:r>
      <w:r>
        <w:rPr>
          <w:rFonts w:hint="eastAsia"/>
        </w:rPr>
        <w:t>资料</w:t>
      </w:r>
      <w:r>
        <w:rPr>
          <w:rFonts w:hint="eastAsia" w:cs="Times New Roman" w:eastAsiaTheme="majorEastAsia"/>
        </w:rPr>
        <w:t>，包括</w:t>
      </w:r>
      <w:r>
        <w:rPr>
          <w:rFonts w:hint="eastAsia"/>
        </w:rPr>
        <w:t>污染物处理工艺、设施运行效果（收集效率、处理效率等）、设施运维记录等。</w:t>
      </w:r>
    </w:p>
    <w:p w14:paraId="4C556FE6">
      <w:pPr>
        <w:numPr>
          <w:ilvl w:val="255"/>
          <w:numId w:val="0"/>
        </w:numPr>
        <w:ind w:firstLine="420" w:firstLineChars="200"/>
        <w:rPr>
          <w:rFonts w:cs="Times New Roman" w:eastAsiaTheme="majorEastAsia"/>
        </w:rPr>
      </w:pPr>
      <w:r>
        <w:rPr>
          <w:rFonts w:hint="eastAsia" w:cs="Times New Roman" w:eastAsiaTheme="majorEastAsia"/>
        </w:rPr>
        <w:t>（3）收集废弃物管理记录，包括</w:t>
      </w:r>
      <w:r>
        <w:rPr>
          <w:rFonts w:hint="eastAsia" w:cs="Times New Roman" w:eastAsiaTheme="majorEastAsia"/>
          <w:lang w:val="en-US" w:eastAsia="zh-CN"/>
        </w:rPr>
        <w:t>废水、废气、固体</w:t>
      </w:r>
      <w:r>
        <w:rPr>
          <w:rFonts w:hint="eastAsia" w:cs="Times New Roman" w:eastAsiaTheme="majorEastAsia"/>
        </w:rPr>
        <w:t>废弃物的收集、储存、运输和</w:t>
      </w:r>
      <w:r>
        <w:rPr>
          <w:rFonts w:hint="eastAsia" w:cs="Times New Roman" w:eastAsiaTheme="majorEastAsia"/>
          <w:lang w:val="en-US" w:eastAsia="zh-CN"/>
        </w:rPr>
        <w:t>处理</w:t>
      </w:r>
      <w:r>
        <w:rPr>
          <w:rFonts w:hint="eastAsia" w:cs="Times New Roman" w:eastAsiaTheme="majorEastAsia"/>
        </w:rPr>
        <w:t>处置的管理制度、操作规程、</w:t>
      </w:r>
      <w:r>
        <w:rPr>
          <w:rFonts w:hint="eastAsia"/>
        </w:rPr>
        <w:t>管理台账、</w:t>
      </w:r>
      <w:r>
        <w:rPr>
          <w:rFonts w:hint="eastAsia"/>
          <w:lang w:val="en-US" w:eastAsia="zh-CN"/>
        </w:rPr>
        <w:t>危废</w:t>
      </w:r>
      <w:r>
        <w:rPr>
          <w:rFonts w:hint="eastAsia"/>
        </w:rPr>
        <w:t>转移联单及处理</w:t>
      </w:r>
      <w:r>
        <w:rPr>
          <w:rFonts w:hint="eastAsia"/>
          <w:lang w:val="en-US" w:eastAsia="zh-CN"/>
        </w:rPr>
        <w:t>处置</w:t>
      </w:r>
      <w:r>
        <w:rPr>
          <w:rFonts w:hint="eastAsia"/>
        </w:rPr>
        <w:t>商资质证明等。</w:t>
      </w:r>
    </w:p>
    <w:p w14:paraId="0FBE4CAF">
      <w:pPr>
        <w:ind w:firstLine="420"/>
      </w:pPr>
      <w:r>
        <w:rPr>
          <w:rFonts w:hint="eastAsia"/>
        </w:rPr>
        <w:t>收集</w:t>
      </w:r>
      <w:r>
        <w:rPr>
          <w:rFonts w:hint="eastAsia"/>
          <w:lang w:eastAsia="zh-CN"/>
        </w:rPr>
        <w:t>的</w:t>
      </w:r>
      <w:r>
        <w:rPr>
          <w:rFonts w:hint="eastAsia"/>
          <w:lang w:val="en-US" w:eastAsia="zh-CN"/>
        </w:rPr>
        <w:t>信息填入</w:t>
      </w:r>
      <w:r>
        <w:rPr>
          <w:rFonts w:hint="eastAsia"/>
        </w:rPr>
        <w:t>《简易流程报告表编制技术指南》“</w:t>
      </w:r>
      <w:r>
        <w:rPr>
          <w:rFonts w:hint="eastAsia"/>
          <w:lang w:val="en-US" w:eastAsia="zh-CN"/>
        </w:rPr>
        <w:t>表2-6</w:t>
      </w:r>
      <w:r>
        <w:rPr>
          <w:rFonts w:hint="eastAsia" w:cs="Times New Roman" w:eastAsiaTheme="majorEastAsia"/>
          <w:lang w:val="en-US" w:eastAsia="zh-CN"/>
        </w:rPr>
        <w:t>"-“表2-10”</w:t>
      </w:r>
      <w:r>
        <w:rPr>
          <w:rFonts w:hint="eastAsia"/>
        </w:rPr>
        <w:t>。企业可根据行业实际和企业管理现状，增减相关内容。</w:t>
      </w:r>
    </w:p>
    <w:p w14:paraId="18D8B6EA">
      <w:pPr>
        <w:pStyle w:val="5"/>
        <w:ind w:firstLine="420"/>
      </w:pPr>
      <w:r>
        <w:rPr>
          <w:rFonts w:hint="eastAsia"/>
        </w:rPr>
        <w:t>3.2.6.2现场考察</w:t>
      </w:r>
    </w:p>
    <w:p w14:paraId="1F1BA9A2">
      <w:pPr>
        <w:numPr>
          <w:ilvl w:val="255"/>
          <w:numId w:val="0"/>
        </w:numPr>
        <w:ind w:firstLine="420" w:firstLineChars="200"/>
        <w:rPr>
          <w:rFonts w:cs="Times New Roman" w:eastAsiaTheme="majorEastAsia"/>
        </w:rPr>
      </w:pPr>
      <w:r>
        <w:rPr>
          <w:rFonts w:hint="eastAsia" w:cs="Times New Roman" w:eastAsiaTheme="majorEastAsia"/>
        </w:rPr>
        <w:t>（1）废气。考察</w:t>
      </w:r>
      <w:r>
        <w:rPr>
          <w:rFonts w:hint="eastAsia" w:cs="Times New Roman" w:eastAsiaTheme="majorEastAsia"/>
          <w:lang w:val="en-US" w:eastAsia="zh-CN"/>
        </w:rPr>
        <w:t>废气产排污情况</w:t>
      </w:r>
      <w:r>
        <w:rPr>
          <w:rFonts w:hint="eastAsia" w:cs="Times New Roman" w:eastAsiaTheme="majorEastAsia"/>
        </w:rPr>
        <w:t>是否存在异常；查看各排放口的位置、对应排放的</w:t>
      </w:r>
      <w:r>
        <w:rPr>
          <w:rFonts w:hint="eastAsia" w:cs="Times New Roman" w:eastAsiaTheme="majorEastAsia"/>
          <w:lang w:val="en-US" w:eastAsia="zh-CN"/>
        </w:rPr>
        <w:t>污染物</w:t>
      </w:r>
      <w:r>
        <w:rPr>
          <w:rFonts w:hint="eastAsia" w:cs="Times New Roman" w:eastAsiaTheme="majorEastAsia"/>
        </w:rPr>
        <w:t>种类，了解废气的初始浓度和温度，考察废气</w:t>
      </w:r>
      <w:r>
        <w:rPr>
          <w:rFonts w:hint="eastAsia" w:cs="Times New Roman" w:eastAsiaTheme="majorEastAsia"/>
          <w:lang w:val="en-US" w:eastAsia="zh-CN"/>
        </w:rPr>
        <w:t>污染防治设施</w:t>
      </w:r>
      <w:r>
        <w:rPr>
          <w:rFonts w:hint="eastAsia" w:cs="Times New Roman" w:eastAsiaTheme="majorEastAsia"/>
        </w:rPr>
        <w:t>运行状态、</w:t>
      </w:r>
      <w:r>
        <w:rPr>
          <w:rFonts w:hint="eastAsia" w:cs="Times New Roman" w:eastAsiaTheme="majorEastAsia"/>
          <w:lang w:val="en-US" w:eastAsia="zh-CN"/>
        </w:rPr>
        <w:t>处理</w:t>
      </w:r>
      <w:r>
        <w:rPr>
          <w:rFonts w:hint="eastAsia" w:cs="Times New Roman" w:eastAsiaTheme="majorEastAsia"/>
        </w:rPr>
        <w:t>效率及维护记录；检查废气监测点设置</w:t>
      </w:r>
      <w:r>
        <w:rPr>
          <w:rFonts w:hint="eastAsia" w:cs="Times New Roman" w:eastAsiaTheme="majorEastAsia"/>
          <w:lang w:val="en-US" w:eastAsia="zh-CN"/>
        </w:rPr>
        <w:t>是否合理，自行</w:t>
      </w:r>
      <w:r>
        <w:rPr>
          <w:rFonts w:hint="eastAsia" w:cs="Times New Roman" w:eastAsiaTheme="majorEastAsia"/>
        </w:rPr>
        <w:t>监测记录</w:t>
      </w:r>
      <w:r>
        <w:rPr>
          <w:rFonts w:hint="eastAsia" w:cs="Times New Roman" w:eastAsiaTheme="majorEastAsia"/>
          <w:lang w:val="en-US" w:eastAsia="zh-CN"/>
        </w:rPr>
        <w:t>信息是否完整</w:t>
      </w:r>
      <w:r>
        <w:rPr>
          <w:rFonts w:hint="eastAsia" w:cs="Times New Roman" w:eastAsiaTheme="majorEastAsia"/>
        </w:rPr>
        <w:t>。</w:t>
      </w:r>
    </w:p>
    <w:p w14:paraId="12F58D5F">
      <w:pPr>
        <w:ind w:firstLine="420"/>
        <w:rPr>
          <w:rFonts w:hint="eastAsia" w:cs="Times New Roman" w:eastAsiaTheme="majorEastAsia"/>
        </w:rPr>
      </w:pPr>
      <w:r>
        <w:rPr>
          <w:rFonts w:hint="eastAsia" w:cs="Times New Roman" w:eastAsiaTheme="majorEastAsia"/>
        </w:rPr>
        <w:t>（2）废水。考察</w:t>
      </w:r>
      <w:r>
        <w:rPr>
          <w:rFonts w:hint="eastAsia" w:cs="Times New Roman" w:eastAsiaTheme="majorEastAsia"/>
          <w:lang w:val="en-US" w:eastAsia="zh-CN"/>
        </w:rPr>
        <w:t>废水产排污情况</w:t>
      </w:r>
      <w:r>
        <w:rPr>
          <w:rFonts w:hint="eastAsia" w:cs="Times New Roman" w:eastAsiaTheme="majorEastAsia"/>
        </w:rPr>
        <w:t>是否存在异常</w:t>
      </w:r>
      <w:r>
        <w:rPr>
          <w:rFonts w:hint="eastAsia" w:cs="Times New Roman" w:eastAsiaTheme="majorEastAsia"/>
          <w:lang w:eastAsia="zh-CN"/>
        </w:rPr>
        <w:t>；</w:t>
      </w:r>
      <w:r>
        <w:rPr>
          <w:rFonts w:hint="eastAsia" w:cs="Times New Roman" w:eastAsiaTheme="majorEastAsia"/>
        </w:rPr>
        <w:t>查看各排放口的位置、对应排放的</w:t>
      </w:r>
      <w:r>
        <w:rPr>
          <w:rFonts w:hint="eastAsia" w:cs="Times New Roman" w:eastAsiaTheme="majorEastAsia"/>
          <w:lang w:val="en-US" w:eastAsia="zh-CN"/>
        </w:rPr>
        <w:t>污染物</w:t>
      </w:r>
      <w:r>
        <w:rPr>
          <w:rFonts w:hint="eastAsia" w:cs="Times New Roman" w:eastAsiaTheme="majorEastAsia"/>
        </w:rPr>
        <w:t>种类，了解废</w:t>
      </w:r>
      <w:r>
        <w:rPr>
          <w:rFonts w:hint="eastAsia" w:cs="Times New Roman" w:eastAsiaTheme="majorEastAsia"/>
          <w:lang w:val="en-US" w:eastAsia="zh-CN"/>
        </w:rPr>
        <w:t>水水质情况</w:t>
      </w:r>
      <w:r>
        <w:rPr>
          <w:rFonts w:hint="eastAsia" w:cs="Times New Roman" w:eastAsiaTheme="majorEastAsia"/>
        </w:rPr>
        <w:t>，考察废</w:t>
      </w:r>
      <w:r>
        <w:rPr>
          <w:rFonts w:hint="eastAsia" w:cs="Times New Roman" w:eastAsiaTheme="majorEastAsia"/>
          <w:lang w:val="en-US" w:eastAsia="zh-CN"/>
        </w:rPr>
        <w:t>水污染防治设施</w:t>
      </w:r>
      <w:r>
        <w:rPr>
          <w:rFonts w:hint="eastAsia" w:cs="Times New Roman" w:eastAsiaTheme="majorEastAsia"/>
        </w:rPr>
        <w:t>运行状态、</w:t>
      </w:r>
      <w:r>
        <w:rPr>
          <w:rFonts w:hint="eastAsia" w:cs="Times New Roman" w:eastAsiaTheme="majorEastAsia"/>
          <w:lang w:val="en-US" w:eastAsia="zh-CN"/>
        </w:rPr>
        <w:t>处理</w:t>
      </w:r>
      <w:r>
        <w:rPr>
          <w:rFonts w:hint="eastAsia" w:cs="Times New Roman" w:eastAsiaTheme="majorEastAsia"/>
        </w:rPr>
        <w:t>效率及维护记录；检查</w:t>
      </w:r>
      <w:r>
        <w:rPr>
          <w:rFonts w:hint="eastAsia" w:cs="Times New Roman" w:eastAsiaTheme="majorEastAsia"/>
          <w:lang w:val="en-US" w:eastAsia="zh-CN"/>
        </w:rPr>
        <w:t>废水</w:t>
      </w:r>
      <w:r>
        <w:rPr>
          <w:rFonts w:hint="eastAsia" w:cs="Times New Roman" w:eastAsiaTheme="majorEastAsia"/>
        </w:rPr>
        <w:t>监测点设置</w:t>
      </w:r>
      <w:r>
        <w:rPr>
          <w:rFonts w:hint="eastAsia" w:cs="Times New Roman" w:eastAsiaTheme="majorEastAsia"/>
          <w:lang w:val="en-US" w:eastAsia="zh-CN"/>
        </w:rPr>
        <w:t>是否合理，自行</w:t>
      </w:r>
      <w:r>
        <w:rPr>
          <w:rFonts w:hint="eastAsia" w:cs="Times New Roman" w:eastAsiaTheme="majorEastAsia"/>
        </w:rPr>
        <w:t>监测记录</w:t>
      </w:r>
      <w:r>
        <w:rPr>
          <w:rFonts w:hint="eastAsia" w:cs="Times New Roman" w:eastAsiaTheme="majorEastAsia"/>
          <w:lang w:val="en-US" w:eastAsia="zh-CN"/>
        </w:rPr>
        <w:t>信息是否完整</w:t>
      </w:r>
      <w:r>
        <w:rPr>
          <w:rFonts w:hint="eastAsia" w:cs="Times New Roman" w:eastAsiaTheme="majorEastAsia"/>
        </w:rPr>
        <w:t>。</w:t>
      </w:r>
      <w:r>
        <w:rPr>
          <w:rFonts w:hint="eastAsia" w:cs="Times New Roman" w:eastAsiaTheme="majorEastAsia"/>
          <w:lang w:val="en-US" w:eastAsia="zh-CN"/>
        </w:rPr>
        <w:t>重点关注</w:t>
      </w:r>
      <w:r>
        <w:rPr>
          <w:rFonts w:hint="eastAsia" w:cs="Times New Roman" w:eastAsiaTheme="majorEastAsia"/>
        </w:rPr>
        <w:t>分质分流情况</w:t>
      </w:r>
      <w:r>
        <w:rPr>
          <w:rFonts w:hint="eastAsia" w:cs="Times New Roman" w:eastAsiaTheme="majorEastAsia"/>
          <w:lang w:eastAsia="zh-CN"/>
        </w:rPr>
        <w:t>、</w:t>
      </w:r>
      <w:r>
        <w:rPr>
          <w:rFonts w:hint="eastAsia" w:cs="Times New Roman" w:eastAsiaTheme="majorEastAsia"/>
        </w:rPr>
        <w:t>废水回用或资源回收设备运行</w:t>
      </w:r>
      <w:r>
        <w:rPr>
          <w:rFonts w:hint="eastAsia" w:cs="Times New Roman" w:eastAsiaTheme="majorEastAsia"/>
          <w:lang w:val="en-US" w:eastAsia="zh-CN"/>
        </w:rPr>
        <w:t>状况</w:t>
      </w:r>
      <w:r>
        <w:rPr>
          <w:rFonts w:hint="eastAsia" w:cs="Times New Roman" w:eastAsiaTheme="majorEastAsia"/>
        </w:rPr>
        <w:t>，</w:t>
      </w:r>
      <w:r>
        <w:rPr>
          <w:rFonts w:hint="eastAsia" w:cs="Times New Roman" w:eastAsiaTheme="majorEastAsia"/>
          <w:lang w:val="en-US" w:eastAsia="zh-CN"/>
        </w:rPr>
        <w:t>排放</w:t>
      </w:r>
      <w:r>
        <w:rPr>
          <w:rFonts w:hint="eastAsia" w:cs="Times New Roman" w:eastAsiaTheme="majorEastAsia"/>
        </w:rPr>
        <w:t>达标情况</w:t>
      </w:r>
      <w:r>
        <w:rPr>
          <w:rFonts w:hint="eastAsia" w:cs="Times New Roman" w:eastAsiaTheme="majorEastAsia"/>
          <w:lang w:eastAsia="zh-CN"/>
        </w:rPr>
        <w:t>。</w:t>
      </w:r>
    </w:p>
    <w:p w14:paraId="3A618F5F">
      <w:pPr>
        <w:ind w:firstLine="420"/>
        <w:rPr>
          <w:rFonts w:cs="Times New Roman" w:eastAsiaTheme="majorEastAsia"/>
        </w:rPr>
      </w:pPr>
      <w:r>
        <w:rPr>
          <w:rFonts w:hint="eastAsia" w:cs="Times New Roman" w:eastAsiaTheme="majorEastAsia"/>
        </w:rPr>
        <w:t>（3）</w:t>
      </w:r>
      <w:r>
        <w:rPr>
          <w:rFonts w:hint="eastAsia" w:cs="Times New Roman" w:eastAsiaTheme="majorEastAsia"/>
          <w:lang w:val="en-US" w:eastAsia="zh-CN"/>
        </w:rPr>
        <w:t>固体废物</w:t>
      </w:r>
      <w:r>
        <w:rPr>
          <w:rFonts w:hint="eastAsia" w:cs="Times New Roman" w:eastAsiaTheme="majorEastAsia"/>
        </w:rPr>
        <w:t>。检查</w:t>
      </w:r>
      <w:r>
        <w:rPr>
          <w:rFonts w:hint="eastAsia" w:cs="Times New Roman" w:eastAsiaTheme="majorEastAsia"/>
          <w:lang w:val="en-US" w:eastAsia="zh-CN"/>
        </w:rPr>
        <w:t>固体废物是否分类贮存</w:t>
      </w:r>
      <w:r>
        <w:rPr>
          <w:rFonts w:hint="eastAsia" w:cs="Times New Roman" w:eastAsiaTheme="majorEastAsia"/>
        </w:rPr>
        <w:t>；检查暂存区域、处置方式是否</w:t>
      </w:r>
      <w:r>
        <w:rPr>
          <w:rFonts w:hint="eastAsia" w:cs="Times New Roman" w:eastAsiaTheme="majorEastAsia"/>
          <w:lang w:val="en-US" w:eastAsia="zh-CN"/>
        </w:rPr>
        <w:t>符合相关管理要求</w:t>
      </w:r>
      <w:r>
        <w:rPr>
          <w:rFonts w:hint="eastAsia" w:cs="Times New Roman" w:eastAsiaTheme="majorEastAsia"/>
        </w:rPr>
        <w:t>；了解</w:t>
      </w:r>
      <w:r>
        <w:rPr>
          <w:rFonts w:hint="eastAsia" w:cs="Times New Roman" w:eastAsiaTheme="majorEastAsia"/>
          <w:lang w:val="en-US" w:eastAsia="zh-CN"/>
        </w:rPr>
        <w:t>固体废物</w:t>
      </w:r>
      <w:r>
        <w:rPr>
          <w:rFonts w:hint="eastAsia" w:cs="Times New Roman" w:eastAsiaTheme="majorEastAsia"/>
        </w:rPr>
        <w:t>回收利用情况，包括内部回用</w:t>
      </w:r>
      <w:r>
        <w:rPr>
          <w:rFonts w:hint="eastAsia" w:cs="Times New Roman" w:eastAsiaTheme="majorEastAsia"/>
          <w:lang w:val="en-US" w:eastAsia="zh-CN"/>
        </w:rPr>
        <w:t>及委外处理</w:t>
      </w:r>
      <w:r>
        <w:rPr>
          <w:rFonts w:hint="eastAsia" w:cs="Times New Roman" w:eastAsiaTheme="majorEastAsia"/>
        </w:rPr>
        <w:t>；查看企业</w:t>
      </w:r>
      <w:r>
        <w:rPr>
          <w:rFonts w:hint="eastAsia" w:cs="Times New Roman" w:eastAsiaTheme="majorEastAsia"/>
          <w:lang w:val="en-US" w:eastAsia="zh-CN"/>
        </w:rPr>
        <w:t>固体废物</w:t>
      </w:r>
      <w:r>
        <w:rPr>
          <w:rFonts w:hint="eastAsia" w:cs="Times New Roman" w:eastAsiaTheme="majorEastAsia"/>
        </w:rPr>
        <w:t>管理制度及</w:t>
      </w:r>
      <w:r>
        <w:rPr>
          <w:rFonts w:hint="eastAsia" w:cs="Times New Roman" w:eastAsiaTheme="majorEastAsia"/>
          <w:lang w:val="en-US" w:eastAsia="zh-CN"/>
        </w:rPr>
        <w:t>固体废物</w:t>
      </w:r>
      <w:r>
        <w:rPr>
          <w:rFonts w:hint="eastAsia" w:cs="Times New Roman" w:eastAsiaTheme="majorEastAsia"/>
        </w:rPr>
        <w:t>台账等</w:t>
      </w:r>
      <w:r>
        <w:rPr>
          <w:rFonts w:hint="eastAsia" w:cs="Times New Roman" w:eastAsiaTheme="majorEastAsia"/>
          <w:lang w:eastAsia="zh-CN"/>
        </w:rPr>
        <w:t>。</w:t>
      </w:r>
    </w:p>
    <w:p w14:paraId="24EFFD33">
      <w:pPr>
        <w:ind w:firstLine="420"/>
      </w:pPr>
      <w:r>
        <w:rPr>
          <w:rFonts w:hint="eastAsia"/>
        </w:rPr>
        <w:t>现场考察可参考工作表</w:t>
      </w:r>
      <w:r>
        <w:rPr>
          <w:rFonts w:hint="eastAsia"/>
          <w:lang w:val="en-US" w:eastAsia="zh-CN"/>
        </w:rPr>
        <w:t>A.6</w:t>
      </w:r>
      <w:r>
        <w:rPr>
          <w:rFonts w:hint="eastAsia"/>
        </w:rPr>
        <w:t>，企业可根据行业实际和企业管理现状，增减相关内容。</w:t>
      </w:r>
    </w:p>
    <w:p w14:paraId="5A526B19">
      <w:pPr>
        <w:pStyle w:val="5"/>
        <w:ind w:firstLine="420"/>
        <w:rPr>
          <w:rFonts w:eastAsia="仿宋"/>
        </w:rPr>
      </w:pPr>
      <w:r>
        <w:rPr>
          <w:rFonts w:hint="eastAsia"/>
        </w:rPr>
        <w:t>3.2.6.3问题分析</w:t>
      </w:r>
    </w:p>
    <w:p w14:paraId="1898EF76">
      <w:pPr>
        <w:numPr>
          <w:ilvl w:val="0"/>
          <w:numId w:val="5"/>
        </w:numPr>
        <w:ind w:firstLine="420"/>
      </w:pPr>
      <w:r>
        <w:rPr>
          <w:rFonts w:hint="eastAsia"/>
        </w:rPr>
        <w:t>废气：</w:t>
      </w:r>
    </w:p>
    <w:p w14:paraId="08177D08">
      <w:pPr>
        <w:ind w:firstLine="420"/>
        <w:rPr>
          <w:rFonts w:hint="eastAsia" w:cs="Times New Roman" w:eastAsiaTheme="majorEastAsia"/>
        </w:rPr>
      </w:pPr>
      <w:r>
        <w:rPr>
          <w:rFonts w:hint="eastAsia" w:cs="Times New Roman" w:eastAsiaTheme="majorEastAsia"/>
        </w:rPr>
        <w:t>①对比分析不同班组、批次</w:t>
      </w:r>
      <w:r>
        <w:rPr>
          <w:rFonts w:hint="eastAsia" w:cs="Times New Roman" w:eastAsiaTheme="majorEastAsia"/>
          <w:lang w:eastAsia="zh-CN"/>
        </w:rPr>
        <w:t>、</w:t>
      </w:r>
      <w:r>
        <w:rPr>
          <w:rFonts w:hint="eastAsia" w:cs="Times New Roman" w:eastAsiaTheme="majorEastAsia"/>
        </w:rPr>
        <w:t>生产工况</w:t>
      </w:r>
      <w:r>
        <w:rPr>
          <w:rFonts w:hint="eastAsia" w:cs="Times New Roman" w:eastAsiaTheme="majorEastAsia"/>
          <w:lang w:val="en-US" w:eastAsia="zh-CN"/>
        </w:rPr>
        <w:t>下，</w:t>
      </w:r>
      <w:r>
        <w:rPr>
          <w:rFonts w:hint="eastAsia" w:cs="Times New Roman" w:eastAsiaTheme="majorEastAsia"/>
        </w:rPr>
        <w:t>废气污染物种类、浓度</w:t>
      </w:r>
      <w:r>
        <w:rPr>
          <w:rFonts w:hint="eastAsia" w:cs="Times New Roman" w:eastAsiaTheme="majorEastAsia"/>
          <w:lang w:val="en-US" w:eastAsia="zh-CN"/>
        </w:rPr>
        <w:t>及其</w:t>
      </w:r>
      <w:r>
        <w:rPr>
          <w:rFonts w:hint="eastAsia" w:cs="Times New Roman" w:eastAsiaTheme="majorEastAsia"/>
        </w:rPr>
        <w:t>变化趋势</w:t>
      </w:r>
      <w:r>
        <w:rPr>
          <w:rFonts w:hint="eastAsia" w:cs="Times New Roman" w:eastAsiaTheme="majorEastAsia"/>
          <w:lang w:val="en-US" w:eastAsia="zh-CN"/>
        </w:rPr>
        <w:t>和</w:t>
      </w:r>
      <w:r>
        <w:rPr>
          <w:rFonts w:hint="eastAsia" w:cs="Times New Roman" w:eastAsiaTheme="majorEastAsia"/>
        </w:rPr>
        <w:t>异常点，重点关注废气产生量大、污染物种类多、浓度高的工序/环节，</w:t>
      </w:r>
      <w:r>
        <w:rPr>
          <w:rFonts w:hint="eastAsia" w:cs="Times New Roman" w:eastAsiaTheme="majorEastAsia"/>
          <w:lang w:val="en-US" w:eastAsia="zh-CN"/>
        </w:rPr>
        <w:t>并分析</w:t>
      </w:r>
      <w:r>
        <w:rPr>
          <w:rFonts w:hint="eastAsia" w:cs="Times New Roman" w:eastAsiaTheme="majorEastAsia"/>
        </w:rPr>
        <w:t>原因，评估通过工艺调整</w:t>
      </w:r>
      <w:r>
        <w:rPr>
          <w:rFonts w:hint="eastAsia" w:cs="Times New Roman" w:eastAsiaTheme="majorEastAsia"/>
          <w:lang w:eastAsia="zh-CN"/>
        </w:rPr>
        <w:t>、</w:t>
      </w:r>
      <w:r>
        <w:rPr>
          <w:rFonts w:hint="eastAsia" w:cs="Times New Roman" w:eastAsiaTheme="majorEastAsia"/>
        </w:rPr>
        <w:t>设备升级或</w:t>
      </w:r>
      <w:r>
        <w:rPr>
          <w:rFonts w:hint="eastAsia" w:cs="Times New Roman" w:eastAsiaTheme="majorEastAsia"/>
          <w:lang w:val="en-US" w:eastAsia="zh-CN"/>
        </w:rPr>
        <w:t>过程控制等</w:t>
      </w:r>
      <w:r>
        <w:rPr>
          <w:rFonts w:hint="eastAsia" w:cs="Times New Roman" w:eastAsiaTheme="majorEastAsia"/>
        </w:rPr>
        <w:t>减少废气</w:t>
      </w:r>
      <w:r>
        <w:rPr>
          <w:rFonts w:hint="eastAsia" w:cs="Times New Roman" w:eastAsiaTheme="majorEastAsia"/>
          <w:lang w:val="en-US" w:eastAsia="zh-CN"/>
        </w:rPr>
        <w:t>产排量</w:t>
      </w:r>
      <w:r>
        <w:rPr>
          <w:rFonts w:hint="eastAsia" w:cs="Times New Roman" w:eastAsiaTheme="majorEastAsia"/>
        </w:rPr>
        <w:t>的可能性</w:t>
      </w:r>
      <w:r>
        <w:rPr>
          <w:rFonts w:hint="eastAsia" w:cs="Times New Roman" w:eastAsiaTheme="majorEastAsia"/>
          <w:lang w:eastAsia="zh-CN"/>
        </w:rPr>
        <w:t>，</w:t>
      </w:r>
      <w:r>
        <w:rPr>
          <w:rFonts w:hint="eastAsia" w:cs="Times New Roman" w:eastAsiaTheme="majorEastAsia"/>
          <w:lang w:val="en-US" w:eastAsia="zh-CN"/>
        </w:rPr>
        <w:t>提出相应建议</w:t>
      </w:r>
      <w:r>
        <w:rPr>
          <w:rFonts w:hint="eastAsia" w:cs="Times New Roman" w:eastAsiaTheme="majorEastAsia"/>
        </w:rPr>
        <w:t>。</w:t>
      </w:r>
    </w:p>
    <w:p w14:paraId="5A60A6A1">
      <w:pPr>
        <w:ind w:firstLine="420"/>
        <w:rPr>
          <w:rFonts w:hint="eastAsia" w:cs="Times New Roman" w:eastAsiaTheme="majorEastAsia"/>
        </w:rPr>
      </w:pPr>
      <w:r>
        <w:rPr>
          <w:rFonts w:hint="eastAsia" w:cs="Times New Roman" w:eastAsiaTheme="majorEastAsia"/>
        </w:rPr>
        <w:t>②</w:t>
      </w:r>
      <w:r>
        <w:rPr>
          <w:rFonts w:hint="eastAsia"/>
          <w:lang w:val="en-US" w:eastAsia="zh-CN"/>
        </w:rPr>
        <w:t>计算单位产品废气主要污染物的产排量，</w:t>
      </w:r>
      <w:r>
        <w:rPr>
          <w:rFonts w:hint="eastAsia" w:cs="Times New Roman" w:eastAsiaTheme="majorEastAsia"/>
        </w:rPr>
        <w:t>评估废气</w:t>
      </w:r>
      <w:r>
        <w:rPr>
          <w:rFonts w:hint="eastAsia" w:cs="Times New Roman" w:eastAsiaTheme="majorEastAsia"/>
          <w:lang w:val="en-US" w:eastAsia="zh-CN"/>
        </w:rPr>
        <w:t>污染防治设施</w:t>
      </w:r>
      <w:r>
        <w:rPr>
          <w:rFonts w:hint="eastAsia" w:cs="Times New Roman" w:eastAsiaTheme="majorEastAsia"/>
        </w:rPr>
        <w:t>的运行状态和达标排放情况，提出</w:t>
      </w:r>
      <w:r>
        <w:rPr>
          <w:rFonts w:hint="eastAsia" w:cs="Times New Roman" w:eastAsiaTheme="majorEastAsia"/>
          <w:lang w:val="en-US" w:eastAsia="zh-CN"/>
        </w:rPr>
        <w:t>加强废气收集、优化处理工艺等</w:t>
      </w:r>
      <w:r>
        <w:rPr>
          <w:rFonts w:hint="eastAsia" w:cs="Times New Roman" w:eastAsiaTheme="majorEastAsia"/>
        </w:rPr>
        <w:t>建议。</w:t>
      </w:r>
    </w:p>
    <w:p w14:paraId="34365088">
      <w:pPr>
        <w:numPr>
          <w:ilvl w:val="0"/>
          <w:numId w:val="5"/>
        </w:numPr>
        <w:ind w:firstLine="420"/>
      </w:pPr>
      <w:r>
        <w:rPr>
          <w:rFonts w:hint="eastAsia"/>
        </w:rPr>
        <w:t>废水：</w:t>
      </w:r>
    </w:p>
    <w:p w14:paraId="7ACBA06D">
      <w:pPr>
        <w:ind w:firstLine="420"/>
        <w:rPr>
          <w:rFonts w:hint="eastAsia" w:cs="Times New Roman" w:eastAsiaTheme="majorEastAsia"/>
        </w:rPr>
      </w:pPr>
      <w:r>
        <w:rPr>
          <w:rFonts w:hint="eastAsia"/>
        </w:rPr>
        <w:t>①对比分析</w:t>
      </w:r>
      <w:r>
        <w:rPr>
          <w:rFonts w:hint="eastAsia" w:cs="Times New Roman" w:eastAsiaTheme="majorEastAsia"/>
        </w:rPr>
        <w:t>不同班组、批次</w:t>
      </w:r>
      <w:r>
        <w:rPr>
          <w:rFonts w:hint="eastAsia" w:cs="Times New Roman" w:eastAsiaTheme="majorEastAsia"/>
          <w:lang w:eastAsia="zh-CN"/>
        </w:rPr>
        <w:t>、</w:t>
      </w:r>
      <w:r>
        <w:rPr>
          <w:rFonts w:hint="eastAsia" w:cs="Times New Roman" w:eastAsiaTheme="majorEastAsia"/>
        </w:rPr>
        <w:t>生产工况</w:t>
      </w:r>
      <w:r>
        <w:rPr>
          <w:rFonts w:hint="eastAsia" w:cs="Times New Roman" w:eastAsiaTheme="majorEastAsia"/>
          <w:lang w:val="en-US" w:eastAsia="zh-CN"/>
        </w:rPr>
        <w:t>下</w:t>
      </w:r>
      <w:r>
        <w:rPr>
          <w:rFonts w:hint="eastAsia"/>
          <w:lang w:eastAsia="zh-CN"/>
        </w:rPr>
        <w:t>，</w:t>
      </w:r>
      <w:r>
        <w:rPr>
          <w:rFonts w:hint="eastAsia"/>
        </w:rPr>
        <w:t>废水污染物种类、浓度</w:t>
      </w:r>
      <w:r>
        <w:rPr>
          <w:rFonts w:hint="eastAsia" w:cs="Times New Roman" w:eastAsiaTheme="majorEastAsia"/>
          <w:lang w:val="en-US" w:eastAsia="zh-CN"/>
        </w:rPr>
        <w:t>及其</w:t>
      </w:r>
      <w:r>
        <w:rPr>
          <w:rFonts w:hint="eastAsia"/>
        </w:rPr>
        <w:t>变化趋势</w:t>
      </w:r>
      <w:r>
        <w:rPr>
          <w:rFonts w:hint="eastAsia"/>
          <w:lang w:val="en-US" w:eastAsia="zh-CN"/>
        </w:rPr>
        <w:t>和</w:t>
      </w:r>
      <w:r>
        <w:rPr>
          <w:rFonts w:hint="eastAsia"/>
        </w:rPr>
        <w:t>异常点，重点关注废水产生量大、污染物种类多、浓度高的工序/环节</w:t>
      </w:r>
      <w:r>
        <w:rPr>
          <w:rFonts w:hint="eastAsia"/>
          <w:lang w:eastAsia="zh-CN"/>
        </w:rPr>
        <w:t>，</w:t>
      </w:r>
      <w:r>
        <w:rPr>
          <w:rFonts w:hint="eastAsia"/>
          <w:lang w:val="en-US" w:eastAsia="zh-CN"/>
        </w:rPr>
        <w:t>并</w:t>
      </w:r>
      <w:r>
        <w:rPr>
          <w:rFonts w:hint="eastAsia"/>
        </w:rPr>
        <w:t>分析</w:t>
      </w:r>
      <w:r>
        <w:rPr>
          <w:rFonts w:hint="eastAsia"/>
          <w:lang w:val="en-US" w:eastAsia="zh-CN"/>
        </w:rPr>
        <w:t>原因</w:t>
      </w:r>
      <w:r>
        <w:rPr>
          <w:rFonts w:hint="eastAsia"/>
        </w:rPr>
        <w:t>，</w:t>
      </w:r>
      <w:r>
        <w:rPr>
          <w:rFonts w:hint="eastAsia" w:cs="Times New Roman" w:eastAsiaTheme="majorEastAsia"/>
        </w:rPr>
        <w:t>评估通过工艺调整</w:t>
      </w:r>
      <w:r>
        <w:rPr>
          <w:rFonts w:hint="eastAsia" w:cs="Times New Roman" w:eastAsiaTheme="majorEastAsia"/>
          <w:lang w:eastAsia="zh-CN"/>
        </w:rPr>
        <w:t>、</w:t>
      </w:r>
      <w:r>
        <w:rPr>
          <w:rFonts w:hint="eastAsia" w:cs="Times New Roman" w:eastAsiaTheme="majorEastAsia"/>
        </w:rPr>
        <w:t>设备升级或</w:t>
      </w:r>
      <w:r>
        <w:rPr>
          <w:rFonts w:hint="eastAsia" w:cs="Times New Roman" w:eastAsiaTheme="majorEastAsia"/>
          <w:lang w:val="en-US" w:eastAsia="zh-CN"/>
        </w:rPr>
        <w:t>过程控制等</w:t>
      </w:r>
      <w:r>
        <w:rPr>
          <w:rFonts w:hint="eastAsia" w:cs="Times New Roman" w:eastAsiaTheme="majorEastAsia"/>
        </w:rPr>
        <w:t>减少废</w:t>
      </w:r>
      <w:r>
        <w:rPr>
          <w:rFonts w:hint="eastAsia" w:cs="Times New Roman" w:eastAsiaTheme="majorEastAsia"/>
          <w:lang w:val="en-US" w:eastAsia="zh-CN"/>
        </w:rPr>
        <w:t>水产排量</w:t>
      </w:r>
      <w:r>
        <w:rPr>
          <w:rFonts w:hint="eastAsia" w:cs="Times New Roman" w:eastAsiaTheme="majorEastAsia"/>
        </w:rPr>
        <w:t>的可能性</w:t>
      </w:r>
      <w:r>
        <w:rPr>
          <w:rFonts w:hint="eastAsia" w:cs="Times New Roman" w:eastAsiaTheme="majorEastAsia"/>
          <w:lang w:eastAsia="zh-CN"/>
        </w:rPr>
        <w:t>，</w:t>
      </w:r>
      <w:r>
        <w:rPr>
          <w:rFonts w:hint="eastAsia" w:cs="Times New Roman" w:eastAsiaTheme="majorEastAsia"/>
          <w:lang w:val="en-US" w:eastAsia="zh-CN"/>
        </w:rPr>
        <w:t>提出相应建议</w:t>
      </w:r>
      <w:r>
        <w:rPr>
          <w:rFonts w:hint="eastAsia" w:cs="Times New Roman" w:eastAsiaTheme="majorEastAsia"/>
        </w:rPr>
        <w:t>。</w:t>
      </w:r>
    </w:p>
    <w:p w14:paraId="181DF63F">
      <w:pPr>
        <w:ind w:firstLine="420"/>
        <w:rPr>
          <w:rFonts w:hint="eastAsia" w:cs="Times New Roman" w:eastAsiaTheme="majorEastAsia"/>
        </w:rPr>
      </w:pPr>
      <w:r>
        <w:rPr>
          <w:rFonts w:hint="eastAsia"/>
        </w:rPr>
        <w:t>②</w:t>
      </w:r>
      <w:r>
        <w:rPr>
          <w:rFonts w:hint="eastAsia"/>
          <w:lang w:val="en-US" w:eastAsia="zh-CN"/>
        </w:rPr>
        <w:t>计算单位产品废水主要污染物的产排量，</w:t>
      </w:r>
      <w:r>
        <w:rPr>
          <w:rFonts w:hint="eastAsia" w:cs="Times New Roman" w:eastAsiaTheme="majorEastAsia"/>
        </w:rPr>
        <w:t>评估废</w:t>
      </w:r>
      <w:r>
        <w:rPr>
          <w:rFonts w:hint="eastAsia" w:cs="Times New Roman" w:eastAsiaTheme="majorEastAsia"/>
          <w:lang w:val="en-US" w:eastAsia="zh-CN"/>
        </w:rPr>
        <w:t>水污染防治设施</w:t>
      </w:r>
      <w:r>
        <w:rPr>
          <w:rFonts w:hint="eastAsia" w:cs="Times New Roman" w:eastAsiaTheme="majorEastAsia"/>
        </w:rPr>
        <w:t>的运行状态和达标排放情况，提出</w:t>
      </w:r>
      <w:r>
        <w:rPr>
          <w:rFonts w:hint="eastAsia" w:cs="Times New Roman" w:eastAsiaTheme="majorEastAsia"/>
          <w:lang w:val="en-US" w:eastAsia="zh-CN"/>
        </w:rPr>
        <w:t>加强废水收集、优化处理工艺等</w:t>
      </w:r>
      <w:r>
        <w:rPr>
          <w:rFonts w:hint="eastAsia" w:cs="Times New Roman" w:eastAsiaTheme="majorEastAsia"/>
        </w:rPr>
        <w:t>建议。</w:t>
      </w:r>
    </w:p>
    <w:p w14:paraId="5F42A7BD">
      <w:pPr>
        <w:ind w:firstLine="420"/>
      </w:pPr>
      <w:r>
        <w:rPr>
          <w:rFonts w:hint="eastAsia"/>
          <w:lang w:val="en-US" w:eastAsia="zh-CN"/>
        </w:rPr>
        <w:t>③</w:t>
      </w:r>
      <w:r>
        <w:rPr>
          <w:rFonts w:hint="eastAsia"/>
        </w:rPr>
        <w:t>分析</w:t>
      </w:r>
      <w:r>
        <w:rPr>
          <w:rFonts w:hint="eastAsia"/>
          <w:lang w:val="en-US" w:eastAsia="zh-CN"/>
        </w:rPr>
        <w:t>已有</w:t>
      </w:r>
      <w:r>
        <w:rPr>
          <w:rFonts w:hint="eastAsia"/>
        </w:rPr>
        <w:t>回用水质要求及回用率</w:t>
      </w:r>
      <w:r>
        <w:rPr>
          <w:rFonts w:hint="eastAsia"/>
          <w:lang w:eastAsia="zh-CN"/>
        </w:rPr>
        <w:t>，</w:t>
      </w:r>
      <w:r>
        <w:rPr>
          <w:rFonts w:hint="eastAsia"/>
          <w:lang w:val="en-US" w:eastAsia="zh-CN"/>
        </w:rPr>
        <w:t>分析存在问题，进一步挖掘</w:t>
      </w:r>
      <w:r>
        <w:rPr>
          <w:rFonts w:hint="eastAsia"/>
        </w:rPr>
        <w:t>废水回用</w:t>
      </w:r>
      <w:r>
        <w:rPr>
          <w:rFonts w:hint="eastAsia"/>
          <w:lang w:val="en-US" w:eastAsia="zh-CN"/>
        </w:rPr>
        <w:t>潜力</w:t>
      </w:r>
      <w:r>
        <w:rPr>
          <w:rFonts w:hint="eastAsia"/>
        </w:rPr>
        <w:t>。</w:t>
      </w:r>
    </w:p>
    <w:p w14:paraId="47B4828B">
      <w:pPr>
        <w:numPr>
          <w:ilvl w:val="-1"/>
          <w:numId w:val="0"/>
        </w:numPr>
        <w:ind w:firstLine="420"/>
      </w:pPr>
      <w:r>
        <w:rPr>
          <w:rFonts w:hint="eastAsia"/>
          <w:lang w:eastAsia="zh-CN"/>
        </w:rPr>
        <w:t>（</w:t>
      </w:r>
      <w:r>
        <w:rPr>
          <w:rFonts w:hint="eastAsia"/>
          <w:lang w:val="en-US" w:eastAsia="zh-CN"/>
        </w:rPr>
        <w:t>3</w:t>
      </w:r>
      <w:r>
        <w:rPr>
          <w:rFonts w:hint="eastAsia"/>
          <w:lang w:eastAsia="zh-CN"/>
        </w:rPr>
        <w:t>）</w:t>
      </w:r>
      <w:r>
        <w:rPr>
          <w:rFonts w:hint="eastAsia"/>
          <w:lang w:val="en-US" w:eastAsia="zh-CN"/>
        </w:rPr>
        <w:t>固体废物</w:t>
      </w:r>
      <w:r>
        <w:rPr>
          <w:rFonts w:hint="eastAsia"/>
        </w:rPr>
        <w:t>：</w:t>
      </w:r>
    </w:p>
    <w:p w14:paraId="61A98606">
      <w:pPr>
        <w:ind w:firstLine="420"/>
        <w:rPr>
          <w:rFonts w:hint="eastAsia"/>
          <w:lang w:val="en-US" w:eastAsia="zh-CN"/>
        </w:rPr>
      </w:pPr>
      <w:r>
        <w:rPr>
          <w:rFonts w:hint="eastAsia"/>
        </w:rPr>
        <w:t>①分析</w:t>
      </w:r>
      <w:r>
        <w:rPr>
          <w:rFonts w:hint="eastAsia"/>
          <w:lang w:val="en-US" w:eastAsia="zh-CN"/>
        </w:rPr>
        <w:t>固体废物产生、综合利用情况及固体废物管理情况。重点关注固体废物分类、贮存、转运及处置情况，分析台账规范性和完整性。</w:t>
      </w:r>
    </w:p>
    <w:p w14:paraId="2FCBF1C9">
      <w:pPr>
        <w:ind w:firstLine="420"/>
      </w:pPr>
      <w:r>
        <w:rPr>
          <w:rFonts w:hint="eastAsia"/>
        </w:rPr>
        <w:t>②</w:t>
      </w:r>
      <w:r>
        <w:rPr>
          <w:rFonts w:hint="eastAsia"/>
          <w:lang w:val="en-US" w:eastAsia="zh-CN"/>
        </w:rPr>
        <w:t>计算单位产品固体废物产生量，</w:t>
      </w:r>
      <w:r>
        <w:rPr>
          <w:rFonts w:hint="eastAsia"/>
        </w:rPr>
        <w:t>分析一般工业固体废物、危险废物产生的原因；进行减量化、资源化及无害化潜力分析，提出改进生产工艺、优化原</w:t>
      </w:r>
      <w:r>
        <w:rPr>
          <w:rFonts w:hint="eastAsia"/>
          <w:lang w:val="en-US" w:eastAsia="zh-CN"/>
        </w:rPr>
        <w:t>辅</w:t>
      </w:r>
      <w:r>
        <w:rPr>
          <w:rFonts w:hint="eastAsia"/>
        </w:rPr>
        <w:t>料使用</w:t>
      </w:r>
      <w:r>
        <w:rPr>
          <w:rFonts w:hint="eastAsia" w:cs="Times New Roman" w:eastAsiaTheme="majorEastAsia"/>
          <w:lang w:val="en-US" w:eastAsia="zh-CN"/>
        </w:rPr>
        <w:t>和过程控制</w:t>
      </w:r>
      <w:r>
        <w:rPr>
          <w:rFonts w:hint="eastAsia" w:cs="Times New Roman" w:eastAsiaTheme="majorEastAsia"/>
        </w:rPr>
        <w:t>、</w:t>
      </w:r>
      <w:r>
        <w:rPr>
          <w:rFonts w:hint="eastAsia"/>
        </w:rPr>
        <w:t>提升</w:t>
      </w:r>
      <w:r>
        <w:rPr>
          <w:rFonts w:hint="eastAsia" w:cs="Times New Roman" w:eastAsiaTheme="majorEastAsia"/>
          <w:lang w:val="en-US" w:eastAsia="zh-CN"/>
        </w:rPr>
        <w:t>固体废物综合利用</w:t>
      </w:r>
      <w:r>
        <w:rPr>
          <w:rFonts w:hint="eastAsia"/>
          <w:lang w:val="en-US" w:eastAsia="zh-CN"/>
        </w:rPr>
        <w:t>率</w:t>
      </w:r>
      <w:r>
        <w:rPr>
          <w:rFonts w:hint="eastAsia"/>
        </w:rPr>
        <w:t>等建议。</w:t>
      </w:r>
    </w:p>
    <w:p w14:paraId="1EFBE3E0">
      <w:pPr>
        <w:tabs>
          <w:tab w:val="left" w:pos="7140"/>
        </w:tabs>
        <w:ind w:firstLine="420"/>
        <w:rPr>
          <w:rFonts w:hint="eastAsia"/>
        </w:rPr>
      </w:pPr>
      <w:r>
        <w:rPr>
          <w:rFonts w:hint="eastAsia"/>
          <w:color w:val="auto"/>
          <w:szCs w:val="24"/>
          <w:lang w:val="en-US" w:eastAsia="zh-CN"/>
        </w:rPr>
        <w:t>（4）对照清洁生产评价指标体系</w:t>
      </w:r>
      <w:r>
        <w:rPr>
          <w:rFonts w:hint="eastAsia" w:cs="Times New Roman" w:eastAsiaTheme="majorEastAsia"/>
          <w:sz w:val="21"/>
          <w:lang w:val="en-US" w:eastAsia="zh-CN"/>
        </w:rPr>
        <w:t>或行业先进水平或企业历史最佳水平</w:t>
      </w:r>
      <w:r>
        <w:rPr>
          <w:rFonts w:hint="eastAsia"/>
          <w:color w:val="auto"/>
          <w:szCs w:val="24"/>
          <w:lang w:val="en-US" w:eastAsia="zh-CN"/>
        </w:rPr>
        <w:t>，评价污染物排放相关指标现状水平，分析存在的问题和需要改善的指标，并提出改善建议。</w:t>
      </w:r>
    </w:p>
    <w:p w14:paraId="4EA0EDE0">
      <w:pPr>
        <w:pStyle w:val="4"/>
        <w:spacing w:line="240" w:lineRule="auto"/>
        <w:ind w:firstLine="420"/>
      </w:pPr>
      <w:r>
        <w:rPr>
          <w:rFonts w:hint="eastAsia"/>
        </w:rPr>
        <w:t>3.2.7管理</w:t>
      </w:r>
    </w:p>
    <w:p w14:paraId="76F5046E">
      <w:pPr>
        <w:pStyle w:val="5"/>
        <w:ind w:firstLine="420"/>
      </w:pPr>
      <w:r>
        <w:rPr>
          <w:rFonts w:hint="eastAsia"/>
        </w:rPr>
        <w:t>3.2.7.1资料收集</w:t>
      </w:r>
    </w:p>
    <w:p w14:paraId="787D8790">
      <w:pPr>
        <w:ind w:firstLine="420" w:firstLineChars="0"/>
        <w:rPr>
          <w:rFonts w:cs="Times New Roman" w:eastAsiaTheme="majorEastAsia"/>
        </w:rPr>
      </w:pPr>
      <w:r>
        <w:rPr>
          <w:rFonts w:cs="Times New Roman" w:eastAsiaTheme="majorEastAsia"/>
        </w:rPr>
        <w:t>（1）</w:t>
      </w:r>
      <w:r>
        <w:rPr>
          <w:rFonts w:hint="eastAsia" w:cs="Times New Roman" w:eastAsiaTheme="majorEastAsia"/>
        </w:rPr>
        <w:t>收集企业管理制度文件。包括</w:t>
      </w:r>
      <w:r>
        <w:rPr>
          <w:rFonts w:cs="Times New Roman" w:eastAsiaTheme="majorEastAsia"/>
        </w:rPr>
        <w:t>现场管理、</w:t>
      </w:r>
      <w:r>
        <w:rPr>
          <w:rFonts w:hint="eastAsia" w:cs="Times New Roman" w:eastAsiaTheme="majorEastAsia"/>
        </w:rPr>
        <w:t>岗位操作规程、原辅料质量控制、生产质量管理、环境管理、物质计量统计管理（包括原辅料、水、能源、产品和废弃物等计量统计与记录）及</w:t>
      </w:r>
      <w:r>
        <w:rPr>
          <w:rFonts w:cs="Times New Roman" w:eastAsiaTheme="majorEastAsia"/>
        </w:rPr>
        <w:t>信息流管理</w:t>
      </w:r>
      <w:r>
        <w:rPr>
          <w:rFonts w:hint="eastAsia" w:cs="Times New Roman" w:eastAsiaTheme="majorEastAsia"/>
        </w:rPr>
        <w:t>等</w:t>
      </w:r>
      <w:r>
        <w:rPr>
          <w:rFonts w:cs="Times New Roman" w:eastAsiaTheme="majorEastAsia"/>
        </w:rPr>
        <w:t>各项制度</w:t>
      </w:r>
      <w:r>
        <w:rPr>
          <w:rFonts w:hint="eastAsia" w:cs="Times New Roman" w:eastAsiaTheme="majorEastAsia"/>
        </w:rPr>
        <w:t>文件。</w:t>
      </w:r>
    </w:p>
    <w:p w14:paraId="2AEDDB1D">
      <w:pPr>
        <w:ind w:firstLine="420" w:firstLineChars="0"/>
        <w:rPr>
          <w:rFonts w:cs="Times New Roman" w:eastAsiaTheme="majorEastAsia"/>
        </w:rPr>
      </w:pPr>
      <w:r>
        <w:rPr>
          <w:rFonts w:cs="Times New Roman" w:eastAsiaTheme="majorEastAsia"/>
        </w:rPr>
        <w:t>（2）</w:t>
      </w:r>
      <w:r>
        <w:rPr>
          <w:rFonts w:hint="eastAsia" w:cs="Times New Roman" w:eastAsiaTheme="majorEastAsia"/>
        </w:rPr>
        <w:t>收集企业管理制度执行相关记录，包括内部审计报告、员工反馈、客户评价、财务报表等</w:t>
      </w:r>
      <w:r>
        <w:rPr>
          <w:rFonts w:hint="eastAsia" w:cs="Times New Roman" w:eastAsiaTheme="majorEastAsia"/>
          <w:lang w:eastAsia="zh-CN"/>
        </w:rPr>
        <w:t>。</w:t>
      </w:r>
    </w:p>
    <w:p w14:paraId="6212E8C3">
      <w:pPr>
        <w:ind w:firstLine="420" w:firstLineChars="0"/>
      </w:pPr>
      <w:r>
        <w:rPr>
          <w:rFonts w:hint="eastAsia" w:cs="Times New Roman" w:eastAsiaTheme="majorEastAsia"/>
        </w:rPr>
        <w:t>（3）收集企业</w:t>
      </w:r>
      <w:r>
        <w:rPr>
          <w:rFonts w:hint="eastAsia"/>
        </w:rPr>
        <w:t>管理体系的认证文件，包括质量管理体系、环境管理体系、能源管理体系、职业健康管理体系及社会责任管理等。</w:t>
      </w:r>
    </w:p>
    <w:p w14:paraId="068797A2">
      <w:pPr>
        <w:ind w:firstLine="420"/>
      </w:pPr>
      <w:r>
        <w:rPr>
          <w:rFonts w:hint="eastAsia"/>
        </w:rPr>
        <w:t>收集</w:t>
      </w:r>
      <w:r>
        <w:rPr>
          <w:rFonts w:hint="eastAsia"/>
          <w:lang w:eastAsia="zh-CN"/>
        </w:rPr>
        <w:t>的</w:t>
      </w:r>
      <w:r>
        <w:rPr>
          <w:rFonts w:hint="eastAsia"/>
          <w:lang w:val="en-US" w:eastAsia="zh-CN"/>
        </w:rPr>
        <w:t>信息填入</w:t>
      </w:r>
      <w:r>
        <w:rPr>
          <w:rFonts w:hint="eastAsia"/>
        </w:rPr>
        <w:t>《简易流程报告表编制技术指南》“</w:t>
      </w:r>
      <w:r>
        <w:rPr>
          <w:rFonts w:hint="eastAsia"/>
          <w:lang w:val="en-US" w:eastAsia="zh-CN"/>
        </w:rPr>
        <w:t>表2-11 管理制度信息</w:t>
      </w:r>
      <w:r>
        <w:rPr>
          <w:rFonts w:hint="eastAsia"/>
        </w:rPr>
        <w:t>表</w:t>
      </w:r>
      <w:r>
        <w:rPr>
          <w:rFonts w:hint="eastAsia" w:cs="Times New Roman" w:eastAsiaTheme="majorEastAsia"/>
          <w:lang w:val="en-US" w:eastAsia="zh-CN"/>
        </w:rPr>
        <w:t>"</w:t>
      </w:r>
      <w:r>
        <w:rPr>
          <w:rFonts w:hint="eastAsia"/>
        </w:rPr>
        <w:t>。企业可根据行业实际和企业管理现状，增减相关内容。</w:t>
      </w:r>
    </w:p>
    <w:p w14:paraId="1674F5C3">
      <w:pPr>
        <w:pStyle w:val="5"/>
        <w:ind w:firstLine="420"/>
        <w:rPr>
          <w:rFonts w:cs="Times New Roman" w:eastAsiaTheme="majorEastAsia"/>
        </w:rPr>
      </w:pPr>
      <w:r>
        <w:rPr>
          <w:rFonts w:hint="eastAsia"/>
        </w:rPr>
        <w:t>3.2.7.2现场考察</w:t>
      </w:r>
    </w:p>
    <w:p w14:paraId="1C55605E">
      <w:pPr>
        <w:ind w:firstLine="420"/>
        <w:rPr>
          <w:rFonts w:cs="Times New Roman" w:eastAsiaTheme="majorEastAsia"/>
          <w:highlight w:val="yellow"/>
        </w:rPr>
      </w:pPr>
      <w:r>
        <w:rPr>
          <w:rFonts w:hint="eastAsia" w:cs="Times New Roman" w:eastAsiaTheme="majorEastAsia"/>
        </w:rPr>
        <w:t>（1）考察</w:t>
      </w:r>
      <w:r>
        <w:rPr>
          <w:rFonts w:cs="Times New Roman" w:eastAsiaTheme="majorEastAsia"/>
        </w:rPr>
        <w:t>现场管理、</w:t>
      </w:r>
      <w:r>
        <w:rPr>
          <w:rFonts w:hint="eastAsia" w:cs="Times New Roman" w:eastAsiaTheme="majorEastAsia"/>
        </w:rPr>
        <w:t>岗位操作规程、原辅料质量控制、生产质量管理、环境管理、物质计量统计管理及</w:t>
      </w:r>
      <w:r>
        <w:rPr>
          <w:rFonts w:cs="Times New Roman" w:eastAsiaTheme="majorEastAsia"/>
        </w:rPr>
        <w:t>信息流管理</w:t>
      </w:r>
      <w:r>
        <w:rPr>
          <w:rFonts w:hint="eastAsia" w:cs="Times New Roman" w:eastAsiaTheme="majorEastAsia"/>
        </w:rPr>
        <w:t>等</w:t>
      </w:r>
      <w:r>
        <w:rPr>
          <w:rFonts w:cs="Times New Roman" w:eastAsiaTheme="majorEastAsia"/>
        </w:rPr>
        <w:t>各项</w:t>
      </w:r>
      <w:r>
        <w:rPr>
          <w:rFonts w:hint="eastAsia" w:cs="Times New Roman" w:eastAsiaTheme="majorEastAsia"/>
        </w:rPr>
        <w:t>管理</w:t>
      </w:r>
      <w:r>
        <w:rPr>
          <w:rFonts w:cs="Times New Roman" w:eastAsiaTheme="majorEastAsia"/>
        </w:rPr>
        <w:t>制度建立与执行情况</w:t>
      </w:r>
      <w:r>
        <w:rPr>
          <w:rFonts w:hint="eastAsia" w:cs="Times New Roman" w:eastAsiaTheme="majorEastAsia"/>
        </w:rPr>
        <w:t>。</w:t>
      </w:r>
    </w:p>
    <w:p w14:paraId="7FA05FAF">
      <w:pPr>
        <w:ind w:firstLine="420" w:firstLineChars="0"/>
      </w:pPr>
      <w:r>
        <w:rPr>
          <w:rFonts w:hint="eastAsia" w:cs="Times New Roman" w:eastAsiaTheme="majorEastAsia"/>
        </w:rPr>
        <w:t>（2）考察企业</w:t>
      </w:r>
      <w:r>
        <w:rPr>
          <w:rFonts w:hint="eastAsia"/>
        </w:rPr>
        <w:t>管理体系的建立、实施和认证的情况，包括质量管理体系、环境管理体系、能源管理体系、职业健康管理体系及社会责任管理等。</w:t>
      </w:r>
    </w:p>
    <w:p w14:paraId="20954C4B">
      <w:pPr>
        <w:ind w:firstLine="420"/>
      </w:pPr>
      <w:r>
        <w:rPr>
          <w:rFonts w:hint="eastAsia"/>
        </w:rPr>
        <w:t>现场考察可参考工作表</w:t>
      </w:r>
      <w:r>
        <w:rPr>
          <w:rFonts w:hint="eastAsia"/>
          <w:lang w:val="en-US" w:eastAsia="zh-CN"/>
        </w:rPr>
        <w:t>A.7</w:t>
      </w:r>
      <w:r>
        <w:rPr>
          <w:rFonts w:hint="eastAsia"/>
        </w:rPr>
        <w:t>，企业可根据行业实际和企业管理现状，增减相关内容。</w:t>
      </w:r>
    </w:p>
    <w:p w14:paraId="79E93B8A">
      <w:pPr>
        <w:pStyle w:val="5"/>
        <w:ind w:firstLine="420"/>
      </w:pPr>
      <w:r>
        <w:rPr>
          <w:rFonts w:hint="eastAsia"/>
        </w:rPr>
        <w:t>3.2.7.3问题分析</w:t>
      </w:r>
    </w:p>
    <w:p w14:paraId="1A1A0341">
      <w:pPr>
        <w:ind w:firstLine="420"/>
        <w:rPr>
          <w:rFonts w:hint="eastAsia" w:eastAsia="宋体"/>
          <w:lang w:eastAsia="zh-CN"/>
        </w:rPr>
      </w:pPr>
      <w:r>
        <w:t>（1）</w:t>
      </w:r>
      <w:r>
        <w:rPr>
          <w:rFonts w:hint="eastAsia"/>
        </w:rPr>
        <w:t>分析</w:t>
      </w:r>
      <w:r>
        <w:t>现场管理、</w:t>
      </w:r>
      <w:r>
        <w:rPr>
          <w:rFonts w:hint="eastAsia"/>
        </w:rPr>
        <w:t>岗位操作规程、原辅料质量控制、生产质量管理、环境管理、物质计量统计管理及</w:t>
      </w:r>
      <w:r>
        <w:t>信息流管理</w:t>
      </w:r>
      <w:r>
        <w:rPr>
          <w:rFonts w:hint="eastAsia"/>
        </w:rPr>
        <w:t>等制度科学合理性，识别因管理不善导致的物料能源消耗、污染物产生增加的问题及原因。</w:t>
      </w:r>
      <w:r>
        <w:rPr>
          <w:rFonts w:hint="eastAsia"/>
          <w:color w:val="auto"/>
          <w:szCs w:val="24"/>
          <w:lang w:val="en-US" w:eastAsia="zh-CN"/>
        </w:rPr>
        <w:t>对照清洁生产评价指标体系</w:t>
      </w:r>
      <w:r>
        <w:rPr>
          <w:rFonts w:hint="eastAsia" w:cs="Times New Roman" w:eastAsiaTheme="majorEastAsia"/>
          <w:sz w:val="21"/>
          <w:lang w:val="en-US" w:eastAsia="zh-CN"/>
        </w:rPr>
        <w:t>或行业先进水平或企业历史最佳水平</w:t>
      </w:r>
      <w:r>
        <w:rPr>
          <w:rFonts w:hint="eastAsia"/>
          <w:color w:val="auto"/>
          <w:szCs w:val="24"/>
          <w:lang w:val="en-US" w:eastAsia="zh-CN"/>
        </w:rPr>
        <w:t>，评价环境管理相关指标现状水平，分析存在的问题和需要改善的指标。</w:t>
      </w:r>
    </w:p>
    <w:p w14:paraId="307354C5">
      <w:pPr>
        <w:ind w:firstLine="420"/>
        <w:rPr>
          <w:rFonts w:cs="Times New Roman" w:eastAsiaTheme="majorEastAsia"/>
        </w:rPr>
      </w:pPr>
      <w:r>
        <w:rPr>
          <w:rFonts w:cs="Times New Roman" w:eastAsiaTheme="majorEastAsia"/>
        </w:rPr>
        <w:t>（2）</w:t>
      </w:r>
      <w:r>
        <w:rPr>
          <w:rFonts w:hint="eastAsia" w:cs="Times New Roman" w:eastAsiaTheme="majorEastAsia"/>
        </w:rPr>
        <w:t>评估改进现场管理及操作规程、严格原辅料质量控制、优化生产质量管理、完善环境及能源管理、优化物质计量统计、引入高效信息化管理手段、完善各项管理体系建设（如</w:t>
      </w:r>
      <w:r>
        <w:rPr>
          <w:rFonts w:hint="eastAsia"/>
        </w:rPr>
        <w:t>质量、环境、能源、职业健康及社会责任等</w:t>
      </w:r>
      <w:r>
        <w:rPr>
          <w:rFonts w:hint="eastAsia" w:cs="Times New Roman" w:eastAsiaTheme="majorEastAsia"/>
        </w:rPr>
        <w:t>）等方面的潜力，提出相应的改进建议。</w:t>
      </w:r>
    </w:p>
    <w:p w14:paraId="74801AD4">
      <w:pPr>
        <w:pStyle w:val="4"/>
        <w:ind w:firstLine="420"/>
      </w:pPr>
      <w:r>
        <w:rPr>
          <w:rFonts w:hint="eastAsia"/>
        </w:rPr>
        <w:t>3.2.8人员</w:t>
      </w:r>
    </w:p>
    <w:p w14:paraId="04373127">
      <w:pPr>
        <w:pStyle w:val="5"/>
        <w:ind w:firstLine="420"/>
      </w:pPr>
      <w:r>
        <w:rPr>
          <w:rFonts w:hint="eastAsia"/>
        </w:rPr>
        <w:t>3.2.8.1资料收集</w:t>
      </w:r>
    </w:p>
    <w:p w14:paraId="1AA92D98">
      <w:pPr>
        <w:numPr>
          <w:ilvl w:val="0"/>
          <w:numId w:val="0"/>
        </w:numPr>
        <w:ind w:firstLine="420"/>
      </w:pPr>
      <w:r>
        <w:rPr>
          <w:rFonts w:ascii="Times New Roman" w:hAnsi="Times New Roman" w:eastAsia="宋体" w:cs="黑体"/>
          <w:kern w:val="2"/>
          <w:sz w:val="21"/>
          <w:szCs w:val="22"/>
          <w:lang w:val="en-US" w:eastAsia="zh-CN" w:bidi="ar-SA"/>
        </w:rPr>
        <w:t>（1）</w:t>
      </w:r>
      <w:r>
        <w:rPr>
          <w:rFonts w:hint="eastAsia"/>
        </w:rPr>
        <w:t>加强员工技术与环保意识相关培训记录，包括培训频次、培训内容、参与人员数、覆盖范围等；</w:t>
      </w:r>
    </w:p>
    <w:p w14:paraId="54AD719A">
      <w:pPr>
        <w:numPr>
          <w:ilvl w:val="0"/>
          <w:numId w:val="0"/>
        </w:numPr>
        <w:ind w:firstLine="420"/>
      </w:pPr>
      <w:r>
        <w:rPr>
          <w:rFonts w:ascii="Times New Roman" w:hAnsi="Times New Roman" w:eastAsia="宋体" w:cs="黑体"/>
          <w:kern w:val="2"/>
          <w:sz w:val="21"/>
          <w:szCs w:val="22"/>
          <w:lang w:val="en-US" w:eastAsia="zh-CN" w:bidi="ar-SA"/>
        </w:rPr>
        <w:t>（2）</w:t>
      </w:r>
      <w:r>
        <w:rPr>
          <w:rFonts w:hint="eastAsia"/>
        </w:rPr>
        <w:t>员工激励机制文件或相关记录</w:t>
      </w:r>
      <w:r>
        <w:rPr>
          <w:rFonts w:hint="eastAsia"/>
          <w:lang w:eastAsia="zh-CN"/>
        </w:rPr>
        <w:t>，</w:t>
      </w:r>
      <w:r>
        <w:rPr>
          <w:rFonts w:hint="eastAsia"/>
        </w:rPr>
        <w:t>如激励方式、奖励记录、奖励金额、奖励人数等。</w:t>
      </w:r>
    </w:p>
    <w:p w14:paraId="0AD4D498">
      <w:pPr>
        <w:numPr>
          <w:ilvl w:val="0"/>
          <w:numId w:val="0"/>
        </w:numPr>
        <w:ind w:firstLine="420"/>
      </w:pPr>
      <w:r>
        <w:rPr>
          <w:rFonts w:hint="eastAsia"/>
        </w:rPr>
        <w:t>收集</w:t>
      </w:r>
      <w:r>
        <w:rPr>
          <w:rFonts w:hint="eastAsia"/>
          <w:lang w:eastAsia="zh-CN"/>
        </w:rPr>
        <w:t>的</w:t>
      </w:r>
      <w:r>
        <w:rPr>
          <w:rFonts w:hint="eastAsia"/>
          <w:lang w:val="en-US" w:eastAsia="zh-CN"/>
        </w:rPr>
        <w:t>信息填入</w:t>
      </w:r>
      <w:r>
        <w:rPr>
          <w:rFonts w:hint="eastAsia"/>
        </w:rPr>
        <w:t>《简易流程报告表编制技术指南》“</w:t>
      </w:r>
      <w:r>
        <w:rPr>
          <w:rFonts w:hint="eastAsia"/>
          <w:lang w:val="en-US" w:eastAsia="zh-CN"/>
        </w:rPr>
        <w:t>表2-12员工信息</w:t>
      </w:r>
      <w:r>
        <w:rPr>
          <w:rFonts w:hint="eastAsia"/>
        </w:rPr>
        <w:t>表</w:t>
      </w:r>
      <w:r>
        <w:rPr>
          <w:rFonts w:hint="eastAsia" w:cs="Times New Roman" w:eastAsiaTheme="majorEastAsia"/>
          <w:lang w:val="en-US" w:eastAsia="zh-CN"/>
        </w:rPr>
        <w:t>"</w:t>
      </w:r>
      <w:r>
        <w:rPr>
          <w:rFonts w:hint="eastAsia"/>
        </w:rPr>
        <w:t>。</w:t>
      </w:r>
    </w:p>
    <w:p w14:paraId="60ED383C">
      <w:pPr>
        <w:pStyle w:val="5"/>
        <w:ind w:firstLine="420"/>
        <w:rPr>
          <w:rFonts w:cs="Times New Roman" w:eastAsiaTheme="majorEastAsia"/>
        </w:rPr>
      </w:pPr>
      <w:r>
        <w:rPr>
          <w:rFonts w:hint="eastAsia"/>
        </w:rPr>
        <w:t>3.2.8.2现场考察</w:t>
      </w:r>
    </w:p>
    <w:p w14:paraId="4D5AB629">
      <w:pPr>
        <w:ind w:firstLine="420" w:firstLineChars="0"/>
        <w:rPr>
          <w:rFonts w:cs="Times New Roman" w:eastAsiaTheme="majorEastAsia"/>
        </w:rPr>
      </w:pPr>
      <w:r>
        <w:rPr>
          <w:rFonts w:hint="eastAsia" w:cs="Times New Roman" w:eastAsiaTheme="majorEastAsia"/>
        </w:rPr>
        <w:t>（1）考察技术人员技术水平：考察技术人员对生产工艺技术、清洁生产相关法规和实践的了解程度，评估</w:t>
      </w:r>
      <w:r>
        <w:rPr>
          <w:rFonts w:hint="eastAsia" w:cs="Times New Roman" w:eastAsiaTheme="majorEastAsia"/>
          <w:lang w:val="en-US" w:eastAsia="zh-CN"/>
        </w:rPr>
        <w:t>其</w:t>
      </w:r>
      <w:r>
        <w:rPr>
          <w:rFonts w:hint="eastAsia" w:cs="Times New Roman" w:eastAsiaTheme="majorEastAsia"/>
        </w:rPr>
        <w:t>在生产技术、节能降耗、废物管理、环保设备操作等实践能力。</w:t>
      </w:r>
    </w:p>
    <w:p w14:paraId="004780EE">
      <w:pPr>
        <w:ind w:firstLine="420"/>
        <w:rPr>
          <w:rFonts w:cs="Times New Roman" w:eastAsiaTheme="majorEastAsia"/>
        </w:rPr>
      </w:pPr>
      <w:r>
        <w:rPr>
          <w:rFonts w:hint="eastAsia" w:cs="Times New Roman" w:eastAsiaTheme="majorEastAsia"/>
        </w:rPr>
        <w:t>（2）考察</w:t>
      </w:r>
      <w:r>
        <w:rPr>
          <w:rFonts w:hint="eastAsia" w:cs="Times New Roman" w:eastAsiaTheme="majorEastAsia"/>
          <w:lang w:val="en-US" w:eastAsia="zh-CN"/>
        </w:rPr>
        <w:t>一线</w:t>
      </w:r>
      <w:r>
        <w:rPr>
          <w:rFonts w:hint="eastAsia" w:cs="Times New Roman" w:eastAsiaTheme="majorEastAsia"/>
        </w:rPr>
        <w:t>员工操作水平：考察一线员工对生产工艺对应环节操作的熟悉度和日常技能水平。</w:t>
      </w:r>
    </w:p>
    <w:p w14:paraId="44099ECC">
      <w:pPr>
        <w:ind w:firstLine="420"/>
        <w:rPr>
          <w:rFonts w:cs="Times New Roman" w:eastAsiaTheme="majorEastAsia"/>
        </w:rPr>
      </w:pPr>
      <w:r>
        <w:rPr>
          <w:rFonts w:hint="eastAsia" w:cs="Times New Roman" w:eastAsiaTheme="majorEastAsia"/>
        </w:rPr>
        <w:t>（3）人员培训：核查企业是否建立生产技术及清洁生产培训体系，考察培训内容的实用性和培训效果。</w:t>
      </w:r>
    </w:p>
    <w:p w14:paraId="50949426">
      <w:pPr>
        <w:ind w:firstLine="420"/>
        <w:rPr>
          <w:rFonts w:hint="eastAsia" w:cs="Times New Roman" w:eastAsiaTheme="majorEastAsia"/>
        </w:rPr>
      </w:pPr>
      <w:r>
        <w:rPr>
          <w:rFonts w:hint="eastAsia" w:cs="Times New Roman" w:eastAsiaTheme="majorEastAsia"/>
        </w:rPr>
        <w:t>（4）激励机制：核查企业是否建立激励机制，考察激励机制的落实情况及对员工积极性的影响效果。</w:t>
      </w:r>
    </w:p>
    <w:p w14:paraId="6F33FA61">
      <w:pPr>
        <w:ind w:firstLine="420"/>
        <w:rPr>
          <w:rFonts w:hint="eastAsia" w:cs="Times New Roman" w:eastAsiaTheme="majorEastAsia"/>
        </w:rPr>
      </w:pPr>
      <w:r>
        <w:rPr>
          <w:rFonts w:hint="eastAsia"/>
        </w:rPr>
        <w:t>现场考察可参考工作表</w:t>
      </w:r>
      <w:r>
        <w:rPr>
          <w:rFonts w:hint="eastAsia"/>
          <w:lang w:val="en-US" w:eastAsia="zh-CN"/>
        </w:rPr>
        <w:t>A.8</w:t>
      </w:r>
      <w:r>
        <w:rPr>
          <w:rFonts w:hint="eastAsia"/>
        </w:rPr>
        <w:t>，企业可根据行业实际和企业管理现状，增减相关内容。</w:t>
      </w:r>
    </w:p>
    <w:p w14:paraId="26D02867">
      <w:pPr>
        <w:pStyle w:val="5"/>
        <w:ind w:firstLine="420"/>
      </w:pPr>
      <w:r>
        <w:rPr>
          <w:rFonts w:hint="eastAsia"/>
        </w:rPr>
        <w:t>3.2.8.3问题分析</w:t>
      </w:r>
    </w:p>
    <w:p w14:paraId="2E5A8025">
      <w:pPr>
        <w:ind w:firstLine="420" w:firstLineChars="0"/>
      </w:pPr>
      <w:r>
        <w:t>（</w:t>
      </w:r>
      <w:r>
        <w:rPr>
          <w:rFonts w:hint="eastAsia"/>
        </w:rPr>
        <w:t>1</w:t>
      </w:r>
      <w:r>
        <w:t>）</w:t>
      </w:r>
      <w:r>
        <w:rPr>
          <w:rFonts w:hint="eastAsia"/>
        </w:rPr>
        <w:t>评估技术人员技术水平，包括对所在领域的基本原理和概念的掌握程度，是否能够满足生产需要，是否具有面对复杂问题时的分析、诊断和解决能力，是否及时跟进最新技术动态和最佳实践。</w:t>
      </w:r>
    </w:p>
    <w:p w14:paraId="31EF4402">
      <w:pPr>
        <w:ind w:firstLine="420"/>
      </w:pPr>
      <w:r>
        <w:rPr>
          <w:rFonts w:hint="eastAsia"/>
        </w:rPr>
        <w:t>（2）评估一线操作人员操作水平，是否熟练操作流程，是否存在由于操作不熟练、不规范或者技术水平较低而引起物耗、水耗、能耗增加、物料散落、破损、不合格品增加等问题。</w:t>
      </w:r>
    </w:p>
    <w:p w14:paraId="33BAE7F3">
      <w:pPr>
        <w:ind w:firstLine="420"/>
      </w:pPr>
      <w:r>
        <w:rPr>
          <w:rFonts w:hint="eastAsia"/>
        </w:rPr>
        <w:t>（3）评估人员培训及激励机制执行情况，是否具有提升员工技术水平，激发员工积极性的效果。</w:t>
      </w:r>
    </w:p>
    <w:p w14:paraId="21A0F471">
      <w:pPr>
        <w:ind w:firstLine="420"/>
      </w:pPr>
      <w:r>
        <w:rPr>
          <w:rFonts w:hint="eastAsia"/>
        </w:rPr>
        <w:t>根据以上分析，挖掘进一步提高管理</w:t>
      </w:r>
      <w:r>
        <w:rPr>
          <w:rFonts w:hint="eastAsia"/>
          <w:lang w:val="en-US" w:eastAsia="zh-CN"/>
        </w:rPr>
        <w:t>人员</w:t>
      </w:r>
      <w:r>
        <w:rPr>
          <w:rFonts w:hint="eastAsia"/>
        </w:rPr>
        <w:t>及技术人员素质、提升一线员工操作熟练程度、加强培训、优化激励</w:t>
      </w:r>
      <w:r>
        <w:rPr>
          <w:rFonts w:hint="eastAsia"/>
          <w:lang w:val="en-US" w:eastAsia="zh-CN"/>
        </w:rPr>
        <w:t>机制</w:t>
      </w:r>
      <w:r>
        <w:rPr>
          <w:rFonts w:hint="eastAsia"/>
        </w:rPr>
        <w:t>提升员工主动参与积极性等方面的潜力，</w:t>
      </w:r>
      <w:r>
        <w:t>提出相应的改善建议。</w:t>
      </w:r>
    </w:p>
    <w:p w14:paraId="563DF2FC">
      <w:pPr>
        <w:pStyle w:val="4"/>
        <w:ind w:firstLine="420"/>
      </w:pPr>
      <w:r>
        <w:rPr>
          <w:rFonts w:hint="eastAsia"/>
        </w:rPr>
        <w:t>3.2.9目标设定</w:t>
      </w:r>
    </w:p>
    <w:p w14:paraId="66A56F63">
      <w:pPr>
        <w:ind w:firstLine="420"/>
        <w:rPr>
          <w:bCs/>
        </w:rPr>
      </w:pPr>
      <w:r>
        <w:rPr>
          <w:rFonts w:hint="eastAsia"/>
          <w:szCs w:val="24"/>
        </w:rPr>
        <w:t>依据企业所在行业特性及纳入</w:t>
      </w:r>
      <w:r>
        <w:rPr>
          <w:rFonts w:hint="eastAsia"/>
          <w:szCs w:val="24"/>
          <w:lang w:val="en-US" w:eastAsia="zh-CN"/>
        </w:rPr>
        <w:t>强制性</w:t>
      </w:r>
      <w:r>
        <w:rPr>
          <w:rFonts w:hint="eastAsia"/>
          <w:szCs w:val="24"/>
        </w:rPr>
        <w:t>清洁生产审核</w:t>
      </w:r>
      <w:r>
        <w:rPr>
          <w:rFonts w:hint="eastAsia"/>
          <w:szCs w:val="24"/>
          <w:lang w:val="en-US" w:eastAsia="zh-CN"/>
        </w:rPr>
        <w:t>企业</w:t>
      </w:r>
      <w:r>
        <w:rPr>
          <w:rFonts w:hint="eastAsia"/>
          <w:szCs w:val="24"/>
        </w:rPr>
        <w:t>名单的原因，综合考虑企业存在的主要问题和清洁生产潜力，确定清洁生产审核目标。清洁生产目标应</w:t>
      </w:r>
      <w:r>
        <w:rPr>
          <w:szCs w:val="24"/>
        </w:rPr>
        <w:t>针对审核重点有减污、降耗的定量化、可操作、并有激励作用的指标。清洁生产目标指标设置应以减污、</w:t>
      </w:r>
      <w:r>
        <w:rPr>
          <w:rFonts w:hint="eastAsia"/>
          <w:szCs w:val="24"/>
          <w:lang w:val="en-US" w:eastAsia="zh-CN"/>
        </w:rPr>
        <w:t>降碳、</w:t>
      </w:r>
      <w:r>
        <w:rPr>
          <w:szCs w:val="24"/>
        </w:rPr>
        <w:t>节能、降耗、增效为主。</w:t>
      </w:r>
      <w:r>
        <w:rPr>
          <w:rFonts w:hint="eastAsia"/>
          <w:bCs/>
        </w:rPr>
        <w:t>清洁生产审核目标可参照以下方式设置。</w:t>
      </w:r>
    </w:p>
    <w:p w14:paraId="43B7336D">
      <w:pPr>
        <w:ind w:firstLine="420"/>
        <w:rPr>
          <w:szCs w:val="24"/>
        </w:rPr>
      </w:pPr>
      <w:r>
        <w:rPr>
          <w:szCs w:val="24"/>
        </w:rPr>
        <w:t>（1）根据外部的环境管理要求，如达标排放，限期治理；</w:t>
      </w:r>
    </w:p>
    <w:p w14:paraId="1BC0A3C5">
      <w:pPr>
        <w:ind w:firstLine="420"/>
        <w:rPr>
          <w:szCs w:val="24"/>
        </w:rPr>
      </w:pPr>
      <w:r>
        <w:rPr>
          <w:szCs w:val="24"/>
        </w:rPr>
        <w:t>（2）根据现行有效的行业清洁生产评价指标体系或标准的要求；</w:t>
      </w:r>
    </w:p>
    <w:p w14:paraId="7A1A3416">
      <w:pPr>
        <w:ind w:firstLine="420"/>
        <w:rPr>
          <w:szCs w:val="24"/>
        </w:rPr>
      </w:pPr>
      <w:r>
        <w:rPr>
          <w:szCs w:val="24"/>
        </w:rPr>
        <w:t>（3）参照国内外同行业、类似规模、工艺或技术装备的厂家的水平；</w:t>
      </w:r>
    </w:p>
    <w:p w14:paraId="79B4152E">
      <w:pPr>
        <w:ind w:firstLine="420"/>
        <w:rPr>
          <w:szCs w:val="24"/>
        </w:rPr>
      </w:pPr>
      <w:r>
        <w:rPr>
          <w:szCs w:val="24"/>
        </w:rPr>
        <w:t>（4）</w:t>
      </w:r>
      <w:r>
        <w:rPr>
          <w:rFonts w:hint="eastAsia"/>
          <w:szCs w:val="24"/>
        </w:rPr>
        <w:t>根据本企业历史最佳水平</w:t>
      </w:r>
      <w:r>
        <w:rPr>
          <w:rFonts w:hint="eastAsia"/>
          <w:szCs w:val="24"/>
          <w:lang w:eastAsia="zh-CN"/>
        </w:rPr>
        <w:t>；</w:t>
      </w:r>
    </w:p>
    <w:p w14:paraId="43177EEE">
      <w:pPr>
        <w:ind w:firstLine="420"/>
        <w:rPr>
          <w:szCs w:val="24"/>
        </w:rPr>
      </w:pPr>
      <w:r>
        <w:rPr>
          <w:szCs w:val="24"/>
        </w:rPr>
        <w:t>（5）</w:t>
      </w:r>
      <w:r>
        <w:rPr>
          <w:rFonts w:hint="eastAsia" w:cs="仿宋_GB2312"/>
        </w:rPr>
        <w:t>纳入国家、省或市</w:t>
      </w:r>
      <w:r>
        <w:rPr>
          <w:rFonts w:hint="eastAsia" w:cs="仿宋_GB2312"/>
          <w:lang w:val="en-US" w:eastAsia="zh-CN"/>
        </w:rPr>
        <w:t>生态环境相关</w:t>
      </w:r>
      <w:r>
        <w:rPr>
          <w:rFonts w:hint="eastAsia" w:cs="仿宋_GB2312"/>
        </w:rPr>
        <w:t>规划、行动方案的企业，应设置</w:t>
      </w:r>
      <w:r>
        <w:rPr>
          <w:rFonts w:hint="eastAsia" w:cs="仿宋_GB2312"/>
          <w:lang w:val="en-US" w:eastAsia="zh-CN"/>
        </w:rPr>
        <w:t>与生态环境相关</w:t>
      </w:r>
      <w:r>
        <w:rPr>
          <w:rFonts w:hint="eastAsia" w:cs="仿宋_GB2312"/>
        </w:rPr>
        <w:t>规划、行动方案要求</w:t>
      </w:r>
      <w:r>
        <w:rPr>
          <w:rFonts w:hint="eastAsia" w:cs="仿宋_GB2312"/>
          <w:lang w:val="en-US" w:eastAsia="zh-CN"/>
        </w:rPr>
        <w:t>相关</w:t>
      </w:r>
      <w:r>
        <w:rPr>
          <w:rFonts w:hint="eastAsia" w:cs="仿宋_GB2312"/>
        </w:rPr>
        <w:t>的指标。</w:t>
      </w:r>
    </w:p>
    <w:p w14:paraId="0F382AE6">
      <w:pPr>
        <w:pStyle w:val="3"/>
        <w:ind w:firstLine="480"/>
      </w:pPr>
      <w:bookmarkStart w:id="8" w:name="_Toc452643994"/>
      <w:bookmarkStart w:id="9" w:name="_Toc452975015"/>
      <w:bookmarkStart w:id="10" w:name="_Toc452972040"/>
      <w:r>
        <w:rPr>
          <w:rFonts w:hint="eastAsia"/>
        </w:rPr>
        <w:t>3.3</w:t>
      </w:r>
      <w:r>
        <w:t>方案确定与实施</w:t>
      </w:r>
      <w:bookmarkEnd w:id="8"/>
      <w:bookmarkEnd w:id="9"/>
      <w:bookmarkEnd w:id="10"/>
    </w:p>
    <w:p w14:paraId="6DE883D5">
      <w:pPr>
        <w:numPr>
          <w:ilvl w:val="255"/>
          <w:numId w:val="0"/>
        </w:numPr>
        <w:ind w:firstLine="420" w:firstLineChars="200"/>
        <w:rPr>
          <w:szCs w:val="24"/>
        </w:rPr>
      </w:pPr>
      <w:bookmarkStart w:id="11" w:name="_Toc450900964"/>
      <w:r>
        <w:rPr>
          <w:rFonts w:hint="eastAsia" w:cs="Times New Roman" w:eastAsiaTheme="majorEastAsia"/>
        </w:rPr>
        <w:t>根据现状调查及问题分析的结果，结合纳入名单原因和审核目标，从原辅料和能源替代、技术工艺改造、设备更新和维护、过程优化</w:t>
      </w:r>
      <w:r>
        <w:rPr>
          <w:rFonts w:hint="eastAsia" w:cs="Times New Roman" w:eastAsiaTheme="majorEastAsia"/>
          <w:lang w:val="en-US" w:eastAsia="zh-CN"/>
        </w:rPr>
        <w:t>控制</w:t>
      </w:r>
      <w:r>
        <w:rPr>
          <w:rFonts w:hint="eastAsia" w:cs="Times New Roman" w:eastAsiaTheme="majorEastAsia"/>
        </w:rPr>
        <w:t>、产品更新或改进、固体废物回收利用和循环使用、加强管理</w:t>
      </w:r>
      <w:r>
        <w:rPr>
          <w:rFonts w:hint="eastAsia" w:cs="Times New Roman" w:eastAsiaTheme="majorEastAsia"/>
          <w:lang w:val="en-US" w:eastAsia="zh-CN"/>
        </w:rPr>
        <w:t>及</w:t>
      </w:r>
      <w:r>
        <w:rPr>
          <w:rFonts w:hint="eastAsia" w:cs="Times New Roman" w:eastAsiaTheme="majorEastAsia"/>
        </w:rPr>
        <w:t>提高员工素质和积极性等八个方面提出清洁生产方案（清洁生产方案可参照工作表</w:t>
      </w:r>
      <w:r>
        <w:rPr>
          <w:rFonts w:hint="eastAsia" w:cs="Times New Roman" w:eastAsiaTheme="majorEastAsia"/>
          <w:lang w:val="en-US" w:eastAsia="zh-CN"/>
        </w:rPr>
        <w:t>C</w:t>
      </w:r>
      <w:r>
        <w:rPr>
          <w:rFonts w:hint="eastAsia" w:cs="Times New Roman" w:eastAsiaTheme="majorEastAsia"/>
        </w:rPr>
        <w:t>）。</w:t>
      </w:r>
      <w:r>
        <w:rPr>
          <w:rFonts w:hint="eastAsia"/>
          <w:szCs w:val="24"/>
        </w:rPr>
        <w:t>清洁生产方案分为重点方案和一般方案。重点方案是解决清洁生产审核关键问题，且在清洁生产目标完成中发挥主要作用的方案；一般方案是除重点方案之外的方案。就纳入名单原因或审核重点，应有一个或以上有针对性的重点方案。</w:t>
      </w:r>
    </w:p>
    <w:p w14:paraId="6CC54243">
      <w:pPr>
        <w:pStyle w:val="4"/>
        <w:ind w:firstLine="420"/>
      </w:pPr>
      <w:r>
        <w:rPr>
          <w:rFonts w:hint="eastAsia"/>
        </w:rPr>
        <w:t>3.3.1方案的产生</w:t>
      </w:r>
    </w:p>
    <w:p w14:paraId="3440F6C4">
      <w:pPr>
        <w:numPr>
          <w:ilvl w:val="255"/>
          <w:numId w:val="0"/>
        </w:numPr>
        <w:ind w:firstLine="420" w:firstLineChars="200"/>
      </w:pPr>
      <w:r>
        <w:rPr>
          <w:rFonts w:hint="eastAsia"/>
        </w:rPr>
        <w:t>清洁生产方案产生途径包括：</w:t>
      </w:r>
    </w:p>
    <w:p w14:paraId="773A2068">
      <w:pPr>
        <w:numPr>
          <w:ilvl w:val="0"/>
          <w:numId w:val="6"/>
        </w:numPr>
        <w:ind w:firstLine="420"/>
        <w:rPr>
          <w:rFonts w:cs="Times New Roman" w:eastAsiaTheme="majorEastAsia"/>
        </w:rPr>
      </w:pPr>
      <w:r>
        <w:rPr>
          <w:rFonts w:hint="eastAsia" w:cs="Times New Roman" w:eastAsiaTheme="majorEastAsia"/>
        </w:rPr>
        <w:t>广泛采集，创新思路。在全厂范围内利用线上线下、发放调查问卷、召开座谈会、方案征集活动等各种渠道和方式，进行宣传动员，鼓励全体员工积极提出清洁生产方案或合理化建议。</w:t>
      </w:r>
    </w:p>
    <w:p w14:paraId="26B2B1DF">
      <w:pPr>
        <w:ind w:firstLine="420"/>
        <w:rPr>
          <w:rFonts w:cs="Times New Roman" w:eastAsiaTheme="majorEastAsia"/>
        </w:rPr>
      </w:pPr>
      <w:r>
        <w:rPr>
          <w:rFonts w:hint="eastAsia" w:cs="Times New Roman" w:eastAsiaTheme="majorEastAsia"/>
        </w:rPr>
        <w:t>（2）根据物料平衡和物质流分析，针对产生问题产生方案。必要时，可进行物料平衡和物质流分析，分析产生的问题及原因，并针对问题及原因提出对应解决方案。</w:t>
      </w:r>
    </w:p>
    <w:p w14:paraId="2E6FE237">
      <w:pPr>
        <w:ind w:firstLine="420"/>
        <w:rPr>
          <w:rFonts w:cs="Times New Roman" w:eastAsiaTheme="majorEastAsia"/>
        </w:rPr>
      </w:pPr>
      <w:r>
        <w:rPr>
          <w:rFonts w:hint="eastAsia" w:cs="Times New Roman" w:eastAsiaTheme="majorEastAsia"/>
        </w:rPr>
        <w:t>（3）广泛收集国内外同行业先进技术。组织技术人员广泛收集国内外同行业清洁生产先进技术，结合本企业的实际情况，制定清洁方案。</w:t>
      </w:r>
    </w:p>
    <w:p w14:paraId="089FA5ED">
      <w:pPr>
        <w:ind w:firstLine="420"/>
        <w:rPr>
          <w:rFonts w:cs="Times New Roman" w:eastAsiaTheme="majorEastAsia"/>
        </w:rPr>
      </w:pPr>
      <w:r>
        <w:rPr>
          <w:rFonts w:hint="eastAsia" w:cs="Times New Roman" w:eastAsiaTheme="majorEastAsia"/>
        </w:rPr>
        <w:t>（4）组织行业专家进行技术咨询。可以借助外部力量，组织行业专家进行咨询，针对企业存在问题提出清洁生产方案。</w:t>
      </w:r>
    </w:p>
    <w:p w14:paraId="1B62B3F4">
      <w:pPr>
        <w:pStyle w:val="4"/>
        <w:ind w:firstLine="420"/>
      </w:pPr>
      <w:r>
        <w:rPr>
          <w:rFonts w:hint="eastAsia"/>
        </w:rPr>
        <w:t>3.3.2重点方案可行性分析</w:t>
      </w:r>
    </w:p>
    <w:p w14:paraId="1E31D593">
      <w:pPr>
        <w:numPr>
          <w:ilvl w:val="255"/>
          <w:numId w:val="0"/>
        </w:numPr>
        <w:ind w:firstLine="420" w:firstLineChars="200"/>
      </w:pPr>
      <w:r>
        <w:rPr>
          <w:rFonts w:hint="eastAsia"/>
        </w:rPr>
        <w:t>对于投资额较大、技术路线复杂的重点方案，应从技术、环境、经济等方案进行评估。</w:t>
      </w:r>
      <w:r>
        <w:rPr>
          <w:rFonts w:hint="eastAsia"/>
          <w:szCs w:val="24"/>
        </w:rPr>
        <w:t>填报《简易流程审核报告表技术指南》“表3-1 清洁生产方案实施情况表”。</w:t>
      </w:r>
    </w:p>
    <w:p w14:paraId="401E36D0">
      <w:pPr>
        <w:ind w:firstLine="420"/>
        <w:rPr>
          <w:szCs w:val="24"/>
        </w:rPr>
      </w:pPr>
      <w:r>
        <w:rPr>
          <w:szCs w:val="24"/>
        </w:rPr>
        <w:t>技术评估包括</w:t>
      </w:r>
      <w:r>
        <w:rPr>
          <w:rFonts w:hint="eastAsia"/>
          <w:szCs w:val="24"/>
        </w:rPr>
        <w:t>但不限于</w:t>
      </w:r>
      <w:r>
        <w:rPr>
          <w:szCs w:val="24"/>
        </w:rPr>
        <w:t>以下内容： ①</w:t>
      </w:r>
      <w:r>
        <w:rPr>
          <w:color w:val="auto"/>
          <w:szCs w:val="24"/>
        </w:rPr>
        <w:t>所采用的工艺技术路线和设备在经济合理</w:t>
      </w:r>
      <w:r>
        <w:rPr>
          <w:rFonts w:hint="eastAsia"/>
          <w:color w:val="auto"/>
          <w:szCs w:val="24"/>
          <w:lang w:val="en-US" w:eastAsia="zh-CN"/>
        </w:rPr>
        <w:t>条件下的</w:t>
      </w:r>
      <w:r>
        <w:rPr>
          <w:color w:val="auto"/>
          <w:szCs w:val="24"/>
        </w:rPr>
        <w:t>先进</w:t>
      </w:r>
      <w:r>
        <w:rPr>
          <w:rFonts w:hint="eastAsia"/>
          <w:color w:val="auto"/>
          <w:szCs w:val="24"/>
          <w:lang w:val="en-US" w:eastAsia="zh-CN"/>
        </w:rPr>
        <w:t>性和</w:t>
      </w:r>
      <w:r>
        <w:rPr>
          <w:color w:val="auto"/>
          <w:szCs w:val="24"/>
        </w:rPr>
        <w:t>适用</w:t>
      </w:r>
      <w:r>
        <w:rPr>
          <w:rFonts w:hint="eastAsia"/>
          <w:color w:val="auto"/>
          <w:szCs w:val="24"/>
          <w:lang w:val="en-US" w:eastAsia="zh-CN"/>
        </w:rPr>
        <w:t>性</w:t>
      </w:r>
      <w:r>
        <w:rPr>
          <w:szCs w:val="24"/>
        </w:rPr>
        <w:t>；②技术引进或设备进口要符合我国国情，引进技术后要有消化吸收能力；③资源和能源利用率是否合理；④生产过程是否安全可靠；⑤工艺技术或设备是否成熟（有无实施先例）。</w:t>
      </w:r>
    </w:p>
    <w:p w14:paraId="578A5D9F">
      <w:pPr>
        <w:ind w:firstLine="420"/>
        <w:rPr>
          <w:szCs w:val="24"/>
        </w:rPr>
      </w:pPr>
      <w:r>
        <w:rPr>
          <w:szCs w:val="24"/>
        </w:rPr>
        <w:t>环境评估主要包括</w:t>
      </w:r>
      <w:r>
        <w:rPr>
          <w:rFonts w:hint="eastAsia"/>
          <w:szCs w:val="24"/>
        </w:rPr>
        <w:t>但不限于</w:t>
      </w:r>
      <w:r>
        <w:rPr>
          <w:szCs w:val="24"/>
        </w:rPr>
        <w:t>以下内容：①资源和能源消耗是否减少；是否可利用再生资源；②废弃物排放量的变化；特别强调对污染物排放总量的变化；③是否使用毒性大、危害严重的原</w:t>
      </w:r>
      <w:r>
        <w:rPr>
          <w:rFonts w:hint="eastAsia"/>
          <w:color w:val="auto"/>
          <w:szCs w:val="24"/>
          <w:lang w:val="en-US" w:eastAsia="zh-CN"/>
        </w:rPr>
        <w:t>辅材</w:t>
      </w:r>
      <w:r>
        <w:rPr>
          <w:szCs w:val="24"/>
        </w:rPr>
        <w:t>料；④污染物组分的毒性及其降解情况；⑤污染物是否会产生二次污染；⑥操作环境对人员健康的影响；⑦废弃物的复用、循环利用和再生回收；⑧减污降碳协同增效的</w:t>
      </w:r>
      <w:r>
        <w:rPr>
          <w:rFonts w:hint="eastAsia"/>
          <w:szCs w:val="24"/>
        </w:rPr>
        <w:t>变化</w:t>
      </w:r>
      <w:r>
        <w:rPr>
          <w:szCs w:val="24"/>
        </w:rPr>
        <w:t>情况。</w:t>
      </w:r>
    </w:p>
    <w:p w14:paraId="22A4432E">
      <w:pPr>
        <w:ind w:firstLine="420"/>
        <w:rPr>
          <w:szCs w:val="24"/>
        </w:rPr>
      </w:pPr>
      <w:r>
        <w:rPr>
          <w:szCs w:val="24"/>
        </w:rPr>
        <w:t>经济评估是以项目投资所能产生的效益为评价内容，通过分析比较，选择效益最佳的方案，为投资决策提供依据。经济评估的方法主要采用现金流量分析和财务动态获利性分析方法。主要经济评估指标为：①总投资费用=建设投资+建设期利息+流动资金-补贴</w:t>
      </w:r>
      <w:r>
        <w:rPr>
          <w:rFonts w:hint="eastAsia"/>
          <w:szCs w:val="24"/>
        </w:rPr>
        <w:t>；</w:t>
      </w:r>
      <w:r>
        <w:rPr>
          <w:szCs w:val="24"/>
        </w:rPr>
        <w:t>②净现金流量=现金流入-现金流出（利润+折旧）</w:t>
      </w:r>
      <w:r>
        <w:rPr>
          <w:rFonts w:hint="eastAsia"/>
          <w:szCs w:val="24"/>
        </w:rPr>
        <w:t>；</w:t>
      </w:r>
      <w:r>
        <w:rPr>
          <w:szCs w:val="24"/>
        </w:rPr>
        <w:t>③投资偿还期=总投资费用/净现金流量</w:t>
      </w:r>
      <w:r>
        <w:rPr>
          <w:rFonts w:hint="eastAsia"/>
          <w:szCs w:val="24"/>
        </w:rPr>
        <w:t>；</w:t>
      </w:r>
      <w:r>
        <w:rPr>
          <w:szCs w:val="24"/>
        </w:rPr>
        <w:t>④净现值=项目经济寿命期内（或设备折旧年限内）将每年的净现金流量按规定的贴现率折算到同一时间（一般为投资期初）的现值总和</w:t>
      </w:r>
      <w:r>
        <w:rPr>
          <w:rFonts w:hint="eastAsia"/>
          <w:szCs w:val="24"/>
        </w:rPr>
        <w:t>；</w:t>
      </w:r>
      <w:r>
        <w:rPr>
          <w:szCs w:val="24"/>
        </w:rPr>
        <w:t>⑤内部收益率=项目在经济寿命期内（或设备折旧年限内），各年净现金流量现值累积为零时贴现率。对于可行的方案，上述各项指标具体应为：投资偿还期&lt;基准年限（由项目具体情况决定），净现值&gt;0；内部效益率&gt;基准收益率（或行业收益率，或银行贷款利率）；当有多个方案比较时，应选择内部收益率最大值者。</w:t>
      </w:r>
    </w:p>
    <w:p w14:paraId="1F3C2F35">
      <w:pPr>
        <w:pStyle w:val="4"/>
        <w:ind w:firstLine="420"/>
      </w:pPr>
      <w:r>
        <w:rPr>
          <w:rFonts w:hint="eastAsia"/>
        </w:rPr>
        <w:t>3.3.3方案的实施</w:t>
      </w:r>
    </w:p>
    <w:p w14:paraId="7A71349C">
      <w:pPr>
        <w:ind w:firstLine="420"/>
        <w:rPr>
          <w:szCs w:val="24"/>
        </w:rPr>
      </w:pPr>
      <w:r>
        <w:rPr>
          <w:rFonts w:hint="eastAsia"/>
          <w:szCs w:val="24"/>
        </w:rPr>
        <w:t>汇总已实施的清洁生产方案投资、运行费用、实施时间、实际取得的环境效益和经济效益，形成方案汇总表，填报《简易流程审核报告表技术指南》“表3-1 清洁生产方案实施情况表”，</w:t>
      </w:r>
      <w:r>
        <w:rPr>
          <w:szCs w:val="24"/>
        </w:rPr>
        <w:t>对于未实施完成的重点方案应说明原因及下一步计划。</w:t>
      </w:r>
    </w:p>
    <w:bookmarkEnd w:id="11"/>
    <w:p w14:paraId="0EBBA61A">
      <w:pPr>
        <w:pStyle w:val="3"/>
        <w:ind w:firstLine="480"/>
      </w:pPr>
      <w:bookmarkStart w:id="12" w:name="_Toc452975016"/>
      <w:bookmarkStart w:id="13" w:name="_Toc452972041"/>
      <w:bookmarkStart w:id="14" w:name="_Toc452643995"/>
      <w:r>
        <w:rPr>
          <w:rFonts w:hint="eastAsia"/>
        </w:rPr>
        <w:t>3.4</w:t>
      </w:r>
      <w:r>
        <w:t>绩效分析与汇总</w:t>
      </w:r>
      <w:bookmarkEnd w:id="12"/>
      <w:bookmarkEnd w:id="13"/>
      <w:bookmarkEnd w:id="14"/>
    </w:p>
    <w:p w14:paraId="388BC404">
      <w:pPr>
        <w:ind w:firstLine="420"/>
      </w:pPr>
      <w:r>
        <w:t>对清洁生产方案</w:t>
      </w:r>
      <w:r>
        <w:rPr>
          <w:rFonts w:hint="eastAsia"/>
        </w:rPr>
        <w:t>实施</w:t>
      </w:r>
      <w:r>
        <w:t>效果进行分析，统计生产效率提高</w:t>
      </w:r>
      <w:r>
        <w:rPr>
          <w:rFonts w:hint="eastAsia"/>
        </w:rPr>
        <w:t>，污染物产排浓度、产排量及产排强度降低，有毒有害物质</w:t>
      </w:r>
      <w:r>
        <w:rPr>
          <w:rFonts w:hint="eastAsia"/>
          <w:lang w:val="en-US" w:eastAsia="zh-CN"/>
        </w:rPr>
        <w:t>使用/排放量</w:t>
      </w:r>
      <w:r>
        <w:rPr>
          <w:rFonts w:hint="eastAsia"/>
        </w:rPr>
        <w:t>减少、碳排放减少、</w:t>
      </w:r>
      <w:r>
        <w:t>资源能源节约等方面的效益</w:t>
      </w:r>
      <w:r>
        <w:rPr>
          <w:rFonts w:hint="eastAsia"/>
        </w:rPr>
        <w:t>，统计时间至少为1个月，最终折算为年度数据进行评价，填报</w:t>
      </w:r>
      <w:r>
        <w:rPr>
          <w:rFonts w:hint="eastAsia" w:cs="Times New Roman" w:eastAsiaTheme="majorEastAsia"/>
        </w:rPr>
        <w:t>《简易流程审核报告表技术指南》“表4-1 清洁生产方案实施成效汇总表”</w:t>
      </w:r>
      <w:r>
        <w:rPr>
          <w:rFonts w:hint="eastAsia"/>
        </w:rPr>
        <w:t>。</w:t>
      </w:r>
    </w:p>
    <w:p w14:paraId="5FE15535">
      <w:pPr>
        <w:ind w:firstLine="420"/>
        <w:rPr>
          <w:rFonts w:eastAsiaTheme="majorEastAsia"/>
        </w:rPr>
      </w:pPr>
      <w:r>
        <w:t>参照国家或地方发布的行业清洁生产评价指标体系或标准，</w:t>
      </w:r>
      <w:r>
        <w:rPr>
          <w:rFonts w:hint="eastAsia"/>
        </w:rPr>
        <w:t>对清洁生产方案完成后，企业清洁生产水平进行评价；若无行业清洁生产评价指标体系，则简要说明企业清洁生产水平改进情况。填报</w:t>
      </w:r>
      <w:r>
        <w:rPr>
          <w:rFonts w:hint="eastAsia" w:cs="Times New Roman" w:eastAsiaTheme="majorEastAsia"/>
        </w:rPr>
        <w:t>《简易流程审核报告表技术指南》“表4-2（a） 清洁生产水平评价表”或表4-2（b）清洁生产水平自评表</w:t>
      </w:r>
      <w:r>
        <w:rPr>
          <w:rFonts w:hint="eastAsia" w:eastAsiaTheme="majorEastAsia"/>
        </w:rPr>
        <w:t>。</w:t>
      </w:r>
    </w:p>
    <w:p w14:paraId="29E5AEF0">
      <w:pPr>
        <w:ind w:firstLine="420"/>
      </w:pPr>
      <w:r>
        <w:t>对比评价审核前后各项指标的</w:t>
      </w:r>
      <w:r>
        <w:rPr>
          <w:rFonts w:hint="eastAsia"/>
        </w:rPr>
        <w:t>变化</w:t>
      </w:r>
      <w:bookmarkStart w:id="15" w:name="_Toc452643996"/>
      <w:bookmarkStart w:id="16" w:name="_Toc451434300"/>
      <w:bookmarkStart w:id="17" w:name="_Toc452975017"/>
      <w:bookmarkStart w:id="18" w:name="_Toc452972042"/>
      <w:r>
        <w:rPr>
          <w:rFonts w:hint="eastAsia"/>
        </w:rPr>
        <w:t>，</w:t>
      </w:r>
      <w:r>
        <w:t>分析企业方案实施后清洁生产目标完成情况</w:t>
      </w:r>
      <w:r>
        <w:rPr>
          <w:rFonts w:hint="eastAsia"/>
        </w:rPr>
        <w:t>，填报</w:t>
      </w:r>
      <w:r>
        <w:rPr>
          <w:rFonts w:hint="eastAsia" w:cs="Times New Roman" w:eastAsiaTheme="majorEastAsia"/>
        </w:rPr>
        <w:t>《简易流程审核报告表技术指南》“表4-3 本轮清洁生产目标完成情况表”</w:t>
      </w:r>
      <w:r>
        <w:t>。</w:t>
      </w:r>
    </w:p>
    <w:p w14:paraId="1B5EEE6E">
      <w:pPr>
        <w:spacing w:before="0" w:beforeLines="-2147483648"/>
        <w:ind w:firstLine="420"/>
        <w:rPr>
          <w:b/>
          <w:color w:val="auto"/>
          <w:sz w:val="32"/>
          <w:szCs w:val="20"/>
        </w:rPr>
      </w:pPr>
      <w:r>
        <w:rPr>
          <w:rFonts w:hint="eastAsia"/>
          <w:lang w:val="en-US" w:eastAsia="zh-CN"/>
        </w:rPr>
        <w:t>提出持续性清洁</w:t>
      </w:r>
      <w:r>
        <w:rPr>
          <w:rFonts w:hint="eastAsia" w:cs="Times New Roman" w:eastAsiaTheme="majorEastAsia"/>
          <w:lang w:val="en-US" w:eastAsia="zh-CN"/>
        </w:rPr>
        <w:t>生产</w:t>
      </w:r>
      <w:r>
        <w:rPr>
          <w:rFonts w:hint="eastAsia"/>
          <w:lang w:val="en-US" w:eastAsia="zh-CN"/>
        </w:rPr>
        <w:t>计划，并作为报告附件</w:t>
      </w:r>
      <w:r>
        <w:rPr>
          <w:rFonts w:hint="eastAsia"/>
          <w:color w:val="auto"/>
          <w:szCs w:val="24"/>
        </w:rPr>
        <w:t>。</w:t>
      </w:r>
    </w:p>
    <w:p w14:paraId="5F639A71">
      <w:pPr>
        <w:ind w:firstLine="420"/>
        <w:rPr>
          <w:rFonts w:hint="default" w:eastAsia="宋体"/>
          <w:lang w:val="en-US" w:eastAsia="zh-CN"/>
        </w:rPr>
      </w:pPr>
    </w:p>
    <w:p w14:paraId="3AEF43B3">
      <w:pPr>
        <w:ind w:firstLine="0" w:firstLineChars="0"/>
      </w:pPr>
    </w:p>
    <w:p w14:paraId="2DF152E3">
      <w:pPr>
        <w:ind w:firstLine="0" w:firstLineChars="0"/>
      </w:pPr>
    </w:p>
    <w:p w14:paraId="6038F936">
      <w:pPr>
        <w:ind w:firstLine="0" w:firstLineChars="0"/>
        <w:sectPr>
          <w:headerReference r:id="rId7" w:type="first"/>
          <w:footerReference r:id="rId10" w:type="first"/>
          <w:headerReference r:id="rId5" w:type="default"/>
          <w:footerReference r:id="rId8" w:type="default"/>
          <w:headerReference r:id="rId6" w:type="even"/>
          <w:footerReference r:id="rId9" w:type="even"/>
          <w:pgSz w:w="11906" w:h="16838"/>
          <w:pgMar w:top="1474" w:right="1701" w:bottom="1474" w:left="1701" w:header="851" w:footer="992" w:gutter="0"/>
          <w:pgNumType w:fmt="numberInDash"/>
          <w:cols w:space="720" w:num="1"/>
          <w:docGrid w:type="lines" w:linePitch="312" w:charSpace="0"/>
        </w:sectPr>
      </w:pPr>
    </w:p>
    <w:bookmarkEnd w:id="15"/>
    <w:bookmarkEnd w:id="16"/>
    <w:bookmarkEnd w:id="17"/>
    <w:bookmarkEnd w:id="18"/>
    <w:p w14:paraId="022A03B6">
      <w:pPr>
        <w:pStyle w:val="2"/>
        <w:keepNext w:val="0"/>
        <w:keepLines w:val="0"/>
        <w:pageBreakBefore w:val="0"/>
        <w:widowControl/>
        <w:kinsoku/>
        <w:wordWrap/>
        <w:overflowPunct/>
        <w:topLinePunct w:val="0"/>
        <w:autoSpaceDE/>
        <w:autoSpaceDN/>
        <w:bidi w:val="0"/>
        <w:adjustRightInd/>
        <w:snapToGrid/>
        <w:jc w:val="center"/>
        <w:textAlignment w:val="auto"/>
        <w:rPr>
          <w:rFonts w:hint="eastAsia"/>
          <w:b w:val="0"/>
          <w:bCs w:val="0"/>
        </w:rPr>
      </w:pPr>
      <w:r>
        <w:rPr>
          <w:rFonts w:hint="eastAsia"/>
          <w:b w:val="0"/>
          <w:bCs w:val="0"/>
        </w:rPr>
        <w:t>附录</w:t>
      </w:r>
      <w:r>
        <w:rPr>
          <w:rFonts w:hint="eastAsia"/>
          <w:b w:val="0"/>
          <w:bCs w:val="0"/>
          <w:lang w:val="en-US" w:eastAsia="zh-CN"/>
        </w:rPr>
        <w:t>A</w:t>
      </w:r>
    </w:p>
    <w:p w14:paraId="106DCF27">
      <w:pPr>
        <w:pStyle w:val="2"/>
        <w:keepNext w:val="0"/>
        <w:keepLines w:val="0"/>
        <w:pageBreakBefore w:val="0"/>
        <w:widowControl/>
        <w:kinsoku/>
        <w:wordWrap/>
        <w:overflowPunct/>
        <w:topLinePunct w:val="0"/>
        <w:autoSpaceDE/>
        <w:autoSpaceDN/>
        <w:bidi w:val="0"/>
        <w:adjustRightInd/>
        <w:snapToGrid/>
        <w:jc w:val="center"/>
        <w:textAlignment w:val="auto"/>
        <w:rPr>
          <w:rFonts w:hint="eastAsia"/>
          <w:b w:val="0"/>
          <w:bCs w:val="0"/>
        </w:rPr>
      </w:pPr>
      <w:r>
        <w:rPr>
          <w:rFonts w:hint="eastAsia"/>
          <w:b w:val="0"/>
          <w:bCs w:val="0"/>
        </w:rPr>
        <w:t>（资料性</w:t>
      </w:r>
      <w:r>
        <w:rPr>
          <w:rFonts w:hint="eastAsia"/>
          <w:b w:val="0"/>
          <w:bCs w:val="0"/>
          <w:lang w:val="en-US" w:eastAsia="zh-CN"/>
        </w:rPr>
        <w:t>附录</w:t>
      </w:r>
      <w:r>
        <w:rPr>
          <w:rFonts w:hint="eastAsia"/>
          <w:b w:val="0"/>
          <w:bCs w:val="0"/>
        </w:rPr>
        <w:t>）</w:t>
      </w:r>
    </w:p>
    <w:p w14:paraId="0ED6C4BC">
      <w:pPr>
        <w:pStyle w:val="2"/>
        <w:keepNext w:val="0"/>
        <w:keepLines w:val="0"/>
        <w:pageBreakBefore w:val="0"/>
        <w:widowControl/>
        <w:kinsoku/>
        <w:wordWrap/>
        <w:overflowPunct/>
        <w:topLinePunct w:val="0"/>
        <w:autoSpaceDE/>
        <w:autoSpaceDN/>
        <w:bidi w:val="0"/>
        <w:adjustRightInd/>
        <w:snapToGrid/>
        <w:jc w:val="center"/>
        <w:textAlignment w:val="auto"/>
        <w:rPr>
          <w:rFonts w:hint="eastAsia"/>
          <w:b w:val="0"/>
          <w:bCs w:val="0"/>
        </w:rPr>
      </w:pPr>
      <w:r>
        <w:rPr>
          <w:rFonts w:hint="eastAsia"/>
          <w:b w:val="0"/>
          <w:bCs w:val="0"/>
        </w:rPr>
        <w:t>现场考察工作表</w:t>
      </w:r>
    </w:p>
    <w:p w14:paraId="24A3381D">
      <w:pPr>
        <w:bidi w:val="0"/>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资料性附录</w:t>
      </w:r>
      <w:r>
        <w:rPr>
          <w:rFonts w:hint="eastAsia" w:cs="Times New Roman" w:eastAsiaTheme="minorEastAsia"/>
          <w:sz w:val="21"/>
          <w:szCs w:val="21"/>
          <w:lang w:val="en-US" w:eastAsia="zh-CN"/>
        </w:rPr>
        <w:t>A</w:t>
      </w:r>
      <w:r>
        <w:rPr>
          <w:rFonts w:hint="default" w:ascii="Times New Roman" w:hAnsi="Times New Roman" w:cs="Times New Roman" w:eastAsiaTheme="minorEastAsia"/>
          <w:sz w:val="21"/>
          <w:szCs w:val="21"/>
          <w:lang w:val="en-US" w:eastAsia="zh-CN"/>
        </w:rPr>
        <w:t>有</w:t>
      </w:r>
      <w:r>
        <w:rPr>
          <w:rFonts w:hint="eastAsia" w:cs="Times New Roman" w:eastAsiaTheme="minorEastAsia"/>
          <w:sz w:val="21"/>
          <w:szCs w:val="21"/>
          <w:lang w:val="en-US" w:eastAsia="zh-CN"/>
        </w:rPr>
        <w:t>A</w:t>
      </w:r>
      <w:r>
        <w:rPr>
          <w:rFonts w:hint="default" w:ascii="Times New Roman" w:hAnsi="Times New Roman" w:cs="Times New Roman" w:eastAsiaTheme="minorEastAsia"/>
          <w:sz w:val="21"/>
          <w:szCs w:val="21"/>
          <w:lang w:val="en-US" w:eastAsia="zh-CN"/>
        </w:rPr>
        <w:t>.1~</w:t>
      </w:r>
      <w:r>
        <w:rPr>
          <w:rFonts w:hint="eastAsia" w:cs="Times New Roman" w:eastAsiaTheme="minorEastAsia"/>
          <w:sz w:val="21"/>
          <w:szCs w:val="21"/>
          <w:lang w:val="en-US" w:eastAsia="zh-CN"/>
        </w:rPr>
        <w:t>A</w:t>
      </w:r>
      <w:r>
        <w:rPr>
          <w:rFonts w:hint="default" w:ascii="Times New Roman" w:hAnsi="Times New Roman" w:cs="Times New Roman" w:eastAsiaTheme="minorEastAsia"/>
          <w:sz w:val="21"/>
          <w:szCs w:val="21"/>
          <w:lang w:val="en-US" w:eastAsia="zh-CN"/>
        </w:rPr>
        <w:t>.8共8个表组成，仅供参考。</w:t>
      </w:r>
    </w:p>
    <w:p w14:paraId="6E25FED9">
      <w:pPr>
        <w:bidi w:val="0"/>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表</w:t>
      </w:r>
      <w:r>
        <w:rPr>
          <w:rFonts w:hint="eastAsia" w:cs="Times New Roman" w:eastAsiaTheme="minorEastAsia"/>
          <w:sz w:val="21"/>
          <w:szCs w:val="21"/>
          <w:lang w:val="en-US" w:eastAsia="zh-CN"/>
        </w:rPr>
        <w:t>A</w:t>
      </w:r>
      <w:r>
        <w:rPr>
          <w:rFonts w:hint="default" w:ascii="Times New Roman" w:hAnsi="Times New Roman" w:cs="Times New Roman" w:eastAsiaTheme="minorEastAsia"/>
          <w:sz w:val="21"/>
          <w:szCs w:val="21"/>
          <w:lang w:val="en-US" w:eastAsia="zh-CN"/>
        </w:rPr>
        <w:t>.1 原辅材料和能源现场考察表</w:t>
      </w:r>
    </w:p>
    <w:p w14:paraId="347596D0">
      <w:pPr>
        <w:bidi w:val="0"/>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表</w:t>
      </w:r>
      <w:r>
        <w:rPr>
          <w:rFonts w:hint="eastAsia" w:cs="Times New Roman" w:eastAsiaTheme="minorEastAsia"/>
          <w:sz w:val="21"/>
          <w:szCs w:val="21"/>
          <w:lang w:val="en-US" w:eastAsia="zh-CN"/>
        </w:rPr>
        <w:t>A</w:t>
      </w:r>
      <w:r>
        <w:rPr>
          <w:rFonts w:hint="default" w:ascii="Times New Roman" w:hAnsi="Times New Roman" w:cs="Times New Roman" w:eastAsiaTheme="minorEastAsia"/>
          <w:sz w:val="21"/>
          <w:szCs w:val="21"/>
          <w:lang w:val="en-US" w:eastAsia="zh-CN"/>
        </w:rPr>
        <w:t>.2 技术工艺现场考察表</w:t>
      </w:r>
    </w:p>
    <w:p w14:paraId="182221F6">
      <w:pPr>
        <w:bidi w:val="0"/>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表</w:t>
      </w:r>
      <w:r>
        <w:rPr>
          <w:rFonts w:hint="eastAsia" w:cs="Times New Roman" w:eastAsiaTheme="minorEastAsia"/>
          <w:sz w:val="21"/>
          <w:szCs w:val="21"/>
          <w:lang w:val="en-US" w:eastAsia="zh-CN"/>
        </w:rPr>
        <w:t>A</w:t>
      </w:r>
      <w:r>
        <w:rPr>
          <w:rFonts w:hint="default" w:ascii="Times New Roman" w:hAnsi="Times New Roman" w:cs="Times New Roman" w:eastAsiaTheme="minorEastAsia"/>
          <w:sz w:val="21"/>
          <w:szCs w:val="21"/>
          <w:lang w:val="en-US" w:eastAsia="zh-CN"/>
        </w:rPr>
        <w:t>.3 设备工艺考察表</w:t>
      </w:r>
    </w:p>
    <w:p w14:paraId="3AD8574A">
      <w:pPr>
        <w:bidi w:val="0"/>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表</w:t>
      </w:r>
      <w:r>
        <w:rPr>
          <w:rFonts w:hint="eastAsia" w:cs="Times New Roman" w:eastAsiaTheme="minorEastAsia"/>
          <w:sz w:val="21"/>
          <w:szCs w:val="21"/>
          <w:lang w:val="en-US" w:eastAsia="zh-CN"/>
        </w:rPr>
        <w:t>A</w:t>
      </w:r>
      <w:r>
        <w:rPr>
          <w:rFonts w:hint="default" w:ascii="Times New Roman" w:hAnsi="Times New Roman" w:cs="Times New Roman" w:eastAsiaTheme="minorEastAsia"/>
          <w:sz w:val="21"/>
          <w:szCs w:val="21"/>
          <w:lang w:val="en-US" w:eastAsia="zh-CN"/>
        </w:rPr>
        <w:t>.4 过程控制现场考察</w:t>
      </w:r>
    </w:p>
    <w:p w14:paraId="4D362B85">
      <w:pPr>
        <w:bidi w:val="0"/>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表</w:t>
      </w:r>
      <w:r>
        <w:rPr>
          <w:rFonts w:hint="eastAsia" w:cs="Times New Roman" w:eastAsiaTheme="minorEastAsia"/>
          <w:sz w:val="21"/>
          <w:szCs w:val="21"/>
          <w:lang w:val="en-US" w:eastAsia="zh-CN"/>
        </w:rPr>
        <w:t>A</w:t>
      </w:r>
      <w:r>
        <w:rPr>
          <w:rFonts w:hint="default" w:ascii="Times New Roman" w:hAnsi="Times New Roman" w:cs="Times New Roman" w:eastAsiaTheme="minorEastAsia"/>
          <w:sz w:val="21"/>
          <w:szCs w:val="21"/>
          <w:lang w:val="en-US" w:eastAsia="zh-CN"/>
        </w:rPr>
        <w:t>.5 产品现场考察表</w:t>
      </w:r>
    </w:p>
    <w:p w14:paraId="719BC854">
      <w:pPr>
        <w:bidi w:val="0"/>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表</w:t>
      </w:r>
      <w:r>
        <w:rPr>
          <w:rFonts w:hint="eastAsia" w:cs="Times New Roman" w:eastAsiaTheme="minorEastAsia"/>
          <w:sz w:val="21"/>
          <w:szCs w:val="21"/>
          <w:lang w:val="en-US" w:eastAsia="zh-CN"/>
        </w:rPr>
        <w:t>A</w:t>
      </w:r>
      <w:r>
        <w:rPr>
          <w:rFonts w:hint="default" w:ascii="Times New Roman" w:hAnsi="Times New Roman" w:cs="Times New Roman" w:eastAsiaTheme="minorEastAsia"/>
          <w:sz w:val="21"/>
          <w:szCs w:val="21"/>
          <w:lang w:val="en-US" w:eastAsia="zh-CN"/>
        </w:rPr>
        <w:t>.6 废弃物现场考察表</w:t>
      </w:r>
    </w:p>
    <w:p w14:paraId="5AC0FB2D">
      <w:pPr>
        <w:bidi w:val="0"/>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表</w:t>
      </w:r>
      <w:r>
        <w:rPr>
          <w:rFonts w:hint="eastAsia" w:cs="Times New Roman" w:eastAsiaTheme="minorEastAsia"/>
          <w:sz w:val="21"/>
          <w:szCs w:val="21"/>
          <w:lang w:val="en-US" w:eastAsia="zh-CN"/>
        </w:rPr>
        <w:t>A</w:t>
      </w:r>
      <w:r>
        <w:rPr>
          <w:rFonts w:hint="default" w:ascii="Times New Roman" w:hAnsi="Times New Roman" w:cs="Times New Roman" w:eastAsiaTheme="minorEastAsia"/>
          <w:sz w:val="21"/>
          <w:szCs w:val="21"/>
          <w:lang w:val="en-US" w:eastAsia="zh-CN"/>
        </w:rPr>
        <w:t>.7 管理现场考察表</w:t>
      </w:r>
    </w:p>
    <w:p w14:paraId="750E3177">
      <w:pPr>
        <w:bidi w:val="0"/>
        <w:jc w:val="left"/>
        <w:rPr>
          <w:rFonts w:hint="default" w:ascii="Times New Roman" w:hAnsi="Times New Roman" w:cs="Times New Roman" w:eastAsiaTheme="minorEastAsia"/>
          <w:lang w:val="en-US" w:eastAsia="zh-CN"/>
        </w:rPr>
      </w:pPr>
      <w:r>
        <w:rPr>
          <w:rFonts w:hint="default" w:ascii="Times New Roman" w:hAnsi="Times New Roman" w:cs="Times New Roman" w:eastAsiaTheme="minorEastAsia"/>
          <w:sz w:val="21"/>
          <w:szCs w:val="21"/>
          <w:lang w:val="en-US" w:eastAsia="zh-CN"/>
        </w:rPr>
        <w:t>表</w:t>
      </w:r>
      <w:r>
        <w:rPr>
          <w:rFonts w:hint="eastAsia" w:cs="Times New Roman" w:eastAsiaTheme="minorEastAsia"/>
          <w:sz w:val="21"/>
          <w:szCs w:val="21"/>
          <w:lang w:val="en-US" w:eastAsia="zh-CN"/>
        </w:rPr>
        <w:t>A</w:t>
      </w:r>
      <w:r>
        <w:rPr>
          <w:rFonts w:hint="default" w:ascii="Times New Roman" w:hAnsi="Times New Roman" w:cs="Times New Roman" w:eastAsiaTheme="minorEastAsia"/>
          <w:sz w:val="21"/>
          <w:szCs w:val="21"/>
          <w:lang w:val="en-US" w:eastAsia="zh-CN"/>
        </w:rPr>
        <w:t>.8 人员现场考察表</w:t>
      </w:r>
    </w:p>
    <w:p w14:paraId="161ABF37">
      <w:pPr>
        <w:pStyle w:val="18"/>
        <w:spacing w:before="0" w:beforeLines="0"/>
        <w:ind w:firstLine="420"/>
        <w:rPr>
          <w:rFonts w:hint="default" w:ascii="Times New Roman" w:hAnsi="Times New Roman" w:cs="Times New Roman" w:eastAsiaTheme="minorEastAsia"/>
          <w:sz w:val="21"/>
          <w:szCs w:val="21"/>
        </w:rPr>
        <w:sectPr>
          <w:footerReference r:id="rId11" w:type="default"/>
          <w:pgSz w:w="11906" w:h="16838"/>
          <w:pgMar w:top="1440" w:right="1800" w:bottom="1440" w:left="1800" w:header="851" w:footer="992" w:gutter="0"/>
          <w:cols w:space="425" w:num="1"/>
          <w:docGrid w:type="lines" w:linePitch="312" w:charSpace="0"/>
        </w:sectPr>
      </w:pPr>
      <w:r>
        <w:rPr>
          <w:rFonts w:hint="default" w:ascii="Times New Roman" w:hAnsi="Times New Roman" w:cs="Times New Roman" w:eastAsiaTheme="minorEastAsia"/>
          <w:sz w:val="21"/>
          <w:szCs w:val="21"/>
        </w:rPr>
        <w:t>企业开展现场调查可参考以下现场考核表，根据考察情况在相应的空格打“√”（如对原材料的有毒有害性进行了分析，则在“有/是”列打√）。</w:t>
      </w:r>
    </w:p>
    <w:p w14:paraId="62C5634B">
      <w:pPr>
        <w:pStyle w:val="4"/>
        <w:adjustRightInd w:val="0"/>
        <w:snapToGrid w:val="0"/>
        <w:spacing w:before="156" w:beforeLines="50" w:after="0" w:line="240" w:lineRule="auto"/>
        <w:ind w:firstLine="0" w:firstLineChars="0"/>
        <w:jc w:val="center"/>
      </w:pPr>
      <w:r>
        <w:rPr>
          <w:rFonts w:hint="eastAsia"/>
        </w:rPr>
        <w:t>工作表</w:t>
      </w:r>
      <w:r>
        <w:rPr>
          <w:rFonts w:hint="eastAsia"/>
          <w:lang w:val="en-US" w:eastAsia="zh-CN"/>
        </w:rPr>
        <w:t>A.1</w:t>
      </w:r>
      <w:r>
        <w:rPr>
          <w:rFonts w:hint="eastAsia"/>
        </w:rPr>
        <w:t xml:space="preserve"> 原辅材料和能源现场考察表</w:t>
      </w:r>
    </w:p>
    <w:tbl>
      <w:tblPr>
        <w:tblStyle w:val="11"/>
        <w:tblW w:w="8519" w:type="dxa"/>
        <w:tblInd w:w="0" w:type="dxa"/>
        <w:tblLayout w:type="fixed"/>
        <w:tblCellMar>
          <w:top w:w="0" w:type="dxa"/>
          <w:left w:w="108" w:type="dxa"/>
          <w:bottom w:w="0" w:type="dxa"/>
          <w:right w:w="108" w:type="dxa"/>
        </w:tblCellMar>
      </w:tblPr>
      <w:tblGrid>
        <w:gridCol w:w="791"/>
        <w:gridCol w:w="4189"/>
        <w:gridCol w:w="1179"/>
        <w:gridCol w:w="1179"/>
        <w:gridCol w:w="1181"/>
      </w:tblGrid>
      <w:tr w14:paraId="3DE3B6F1">
        <w:tblPrEx>
          <w:tblCellMar>
            <w:top w:w="0" w:type="dxa"/>
            <w:left w:w="108" w:type="dxa"/>
            <w:bottom w:w="0" w:type="dxa"/>
            <w:right w:w="108" w:type="dxa"/>
          </w:tblCellMar>
        </w:tblPrEx>
        <w:trPr>
          <w:trHeight w:val="283" w:hRule="atLeast"/>
          <w:tblHeader/>
        </w:trPr>
        <w:tc>
          <w:tcPr>
            <w:tcW w:w="791" w:type="dxa"/>
            <w:vMerge w:val="restart"/>
            <w:tcBorders>
              <w:top w:val="single" w:color="auto" w:sz="8" w:space="0"/>
              <w:left w:val="single" w:color="auto" w:sz="8" w:space="0"/>
              <w:right w:val="single" w:color="auto" w:sz="8" w:space="0"/>
            </w:tcBorders>
            <w:vAlign w:val="center"/>
          </w:tcPr>
          <w:p w14:paraId="5E35B873">
            <w:pPr>
              <w:pStyle w:val="24"/>
              <w:spacing w:line="240" w:lineRule="auto"/>
              <w:ind w:firstLine="0" w:firstLineChars="0"/>
              <w:rPr>
                <w:b/>
                <w:color w:val="000000"/>
                <w:kern w:val="0"/>
              </w:rPr>
            </w:pPr>
            <w:r>
              <w:rPr>
                <w:b/>
                <w:color w:val="000000"/>
                <w:kern w:val="0"/>
              </w:rPr>
              <w:t>序号</w:t>
            </w:r>
          </w:p>
        </w:tc>
        <w:tc>
          <w:tcPr>
            <w:tcW w:w="4189" w:type="dxa"/>
            <w:vMerge w:val="restart"/>
            <w:tcBorders>
              <w:top w:val="single" w:color="auto" w:sz="8" w:space="0"/>
              <w:left w:val="nil"/>
              <w:right w:val="single" w:color="auto" w:sz="8" w:space="0"/>
            </w:tcBorders>
            <w:vAlign w:val="center"/>
          </w:tcPr>
          <w:p w14:paraId="30C4DDEA">
            <w:pPr>
              <w:pStyle w:val="24"/>
              <w:spacing w:line="240" w:lineRule="auto"/>
              <w:ind w:firstLine="0" w:firstLineChars="0"/>
              <w:rPr>
                <w:b/>
                <w:color w:val="000000"/>
                <w:kern w:val="0"/>
              </w:rPr>
            </w:pPr>
            <w:r>
              <w:rPr>
                <w:b/>
                <w:color w:val="000000"/>
                <w:kern w:val="0"/>
              </w:rPr>
              <w:t>调查项目</w:t>
            </w:r>
          </w:p>
        </w:tc>
        <w:tc>
          <w:tcPr>
            <w:tcW w:w="3539" w:type="dxa"/>
            <w:gridSpan w:val="3"/>
            <w:tcBorders>
              <w:top w:val="single" w:color="auto" w:sz="8" w:space="0"/>
              <w:left w:val="nil"/>
              <w:bottom w:val="single" w:color="auto" w:sz="8" w:space="0"/>
              <w:right w:val="single" w:color="auto" w:sz="8" w:space="0"/>
            </w:tcBorders>
            <w:vAlign w:val="center"/>
          </w:tcPr>
          <w:p w14:paraId="7FD66597">
            <w:pPr>
              <w:pStyle w:val="24"/>
              <w:spacing w:line="240" w:lineRule="auto"/>
              <w:ind w:firstLine="0" w:firstLineChars="0"/>
              <w:rPr>
                <w:b/>
                <w:color w:val="000000"/>
                <w:kern w:val="0"/>
              </w:rPr>
            </w:pPr>
            <w:r>
              <w:rPr>
                <w:b/>
                <w:color w:val="000000"/>
                <w:kern w:val="0"/>
              </w:rPr>
              <w:t>企业现状</w:t>
            </w:r>
          </w:p>
        </w:tc>
      </w:tr>
      <w:tr w14:paraId="39FA6EDA">
        <w:tblPrEx>
          <w:tblCellMar>
            <w:top w:w="0" w:type="dxa"/>
            <w:left w:w="108" w:type="dxa"/>
            <w:bottom w:w="0" w:type="dxa"/>
            <w:right w:w="108" w:type="dxa"/>
          </w:tblCellMar>
        </w:tblPrEx>
        <w:trPr>
          <w:trHeight w:val="283" w:hRule="atLeast"/>
          <w:tblHeader/>
        </w:trPr>
        <w:tc>
          <w:tcPr>
            <w:tcW w:w="791" w:type="dxa"/>
            <w:vMerge w:val="continue"/>
            <w:tcBorders>
              <w:left w:val="single" w:color="auto" w:sz="8" w:space="0"/>
              <w:bottom w:val="single" w:color="auto" w:sz="8" w:space="0"/>
              <w:right w:val="single" w:color="auto" w:sz="8" w:space="0"/>
            </w:tcBorders>
            <w:vAlign w:val="center"/>
          </w:tcPr>
          <w:p w14:paraId="622341D6">
            <w:pPr>
              <w:pStyle w:val="24"/>
              <w:spacing w:line="240" w:lineRule="auto"/>
              <w:ind w:firstLine="0" w:firstLineChars="0"/>
              <w:rPr>
                <w:b/>
                <w:color w:val="000000"/>
                <w:kern w:val="0"/>
              </w:rPr>
            </w:pPr>
          </w:p>
        </w:tc>
        <w:tc>
          <w:tcPr>
            <w:tcW w:w="4189" w:type="dxa"/>
            <w:vMerge w:val="continue"/>
            <w:tcBorders>
              <w:left w:val="nil"/>
              <w:bottom w:val="single" w:color="auto" w:sz="8" w:space="0"/>
              <w:right w:val="single" w:color="auto" w:sz="8" w:space="0"/>
            </w:tcBorders>
            <w:vAlign w:val="center"/>
          </w:tcPr>
          <w:p w14:paraId="002DD24B">
            <w:pPr>
              <w:pStyle w:val="24"/>
              <w:spacing w:line="240" w:lineRule="auto"/>
              <w:ind w:firstLine="0" w:firstLineChars="0"/>
              <w:rPr>
                <w:b/>
                <w:color w:val="000000"/>
                <w:kern w:val="0"/>
              </w:rPr>
            </w:pPr>
          </w:p>
        </w:tc>
        <w:tc>
          <w:tcPr>
            <w:tcW w:w="1179" w:type="dxa"/>
            <w:tcBorders>
              <w:top w:val="single" w:color="auto" w:sz="8" w:space="0"/>
              <w:left w:val="nil"/>
              <w:bottom w:val="single" w:color="auto" w:sz="8" w:space="0"/>
              <w:right w:val="single" w:color="auto" w:sz="8" w:space="0"/>
            </w:tcBorders>
            <w:vAlign w:val="center"/>
          </w:tcPr>
          <w:p w14:paraId="16A1299F">
            <w:pPr>
              <w:pStyle w:val="24"/>
              <w:spacing w:line="240" w:lineRule="auto"/>
              <w:ind w:firstLine="0" w:firstLineChars="0"/>
              <w:rPr>
                <w:b/>
                <w:color w:val="000000"/>
                <w:kern w:val="0"/>
              </w:rPr>
            </w:pPr>
            <w:r>
              <w:rPr>
                <w:b/>
                <w:color w:val="000000"/>
                <w:kern w:val="0"/>
              </w:rPr>
              <w:t>有/是</w:t>
            </w:r>
          </w:p>
        </w:tc>
        <w:tc>
          <w:tcPr>
            <w:tcW w:w="1179" w:type="dxa"/>
            <w:tcBorders>
              <w:top w:val="single" w:color="auto" w:sz="8" w:space="0"/>
              <w:left w:val="nil"/>
              <w:bottom w:val="single" w:color="auto" w:sz="8" w:space="0"/>
              <w:right w:val="single" w:color="auto" w:sz="8" w:space="0"/>
            </w:tcBorders>
            <w:vAlign w:val="center"/>
          </w:tcPr>
          <w:p w14:paraId="0FCD7715">
            <w:pPr>
              <w:pStyle w:val="24"/>
              <w:spacing w:line="240" w:lineRule="auto"/>
              <w:ind w:firstLine="0" w:firstLineChars="0"/>
              <w:rPr>
                <w:b/>
                <w:color w:val="000000"/>
                <w:kern w:val="0"/>
              </w:rPr>
            </w:pPr>
            <w:r>
              <w:rPr>
                <w:b/>
                <w:color w:val="000000"/>
                <w:kern w:val="0"/>
              </w:rPr>
              <w:t>无/不是</w:t>
            </w:r>
          </w:p>
        </w:tc>
        <w:tc>
          <w:tcPr>
            <w:tcW w:w="1181" w:type="dxa"/>
            <w:tcBorders>
              <w:top w:val="single" w:color="auto" w:sz="8" w:space="0"/>
              <w:left w:val="nil"/>
              <w:bottom w:val="single" w:color="auto" w:sz="8" w:space="0"/>
              <w:right w:val="single" w:color="auto" w:sz="8" w:space="0"/>
            </w:tcBorders>
            <w:vAlign w:val="center"/>
          </w:tcPr>
          <w:p w14:paraId="17DE4786">
            <w:pPr>
              <w:pStyle w:val="24"/>
              <w:spacing w:line="240" w:lineRule="auto"/>
              <w:ind w:firstLine="0" w:firstLineChars="0"/>
              <w:rPr>
                <w:b/>
                <w:color w:val="000000"/>
                <w:kern w:val="0"/>
              </w:rPr>
            </w:pPr>
            <w:r>
              <w:rPr>
                <w:b/>
                <w:color w:val="000000"/>
                <w:kern w:val="0"/>
              </w:rPr>
              <w:t>不适合</w:t>
            </w:r>
          </w:p>
        </w:tc>
      </w:tr>
      <w:tr w14:paraId="311633DF">
        <w:tblPrEx>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68D22AD9">
            <w:pPr>
              <w:pStyle w:val="24"/>
              <w:spacing w:line="240" w:lineRule="auto"/>
              <w:ind w:firstLine="0" w:firstLineChars="0"/>
              <w:rPr>
                <w:color w:val="000000"/>
                <w:kern w:val="0"/>
              </w:rPr>
            </w:pPr>
            <w:r>
              <w:rPr>
                <w:color w:val="000000"/>
                <w:kern w:val="0"/>
              </w:rPr>
              <w:t>1</w:t>
            </w:r>
          </w:p>
        </w:tc>
        <w:tc>
          <w:tcPr>
            <w:tcW w:w="4189" w:type="dxa"/>
            <w:tcBorders>
              <w:top w:val="nil"/>
              <w:left w:val="nil"/>
              <w:bottom w:val="single" w:color="auto" w:sz="8" w:space="0"/>
              <w:right w:val="single" w:color="auto" w:sz="8" w:space="0"/>
            </w:tcBorders>
            <w:vAlign w:val="center"/>
          </w:tcPr>
          <w:p w14:paraId="1D92C028">
            <w:pPr>
              <w:pStyle w:val="24"/>
              <w:spacing w:line="240" w:lineRule="auto"/>
              <w:ind w:firstLine="0" w:firstLineChars="0"/>
              <w:jc w:val="both"/>
              <w:rPr>
                <w:color w:val="000000"/>
                <w:kern w:val="0"/>
              </w:rPr>
            </w:pPr>
            <w:r>
              <w:rPr>
                <w:color w:val="000000"/>
                <w:kern w:val="0"/>
              </w:rPr>
              <w:t>对原</w:t>
            </w:r>
            <w:r>
              <w:rPr>
                <w:rFonts w:hint="eastAsia"/>
                <w:color w:val="000000"/>
                <w:kern w:val="0"/>
                <w:lang w:val="en-US" w:eastAsia="zh-CN"/>
              </w:rPr>
              <w:t>辅</w:t>
            </w:r>
            <w:r>
              <w:rPr>
                <w:color w:val="000000"/>
                <w:kern w:val="0"/>
              </w:rPr>
              <w:t>材料的有毒有害性进行了分析</w:t>
            </w:r>
          </w:p>
        </w:tc>
        <w:tc>
          <w:tcPr>
            <w:tcW w:w="1179" w:type="dxa"/>
            <w:tcBorders>
              <w:top w:val="nil"/>
              <w:left w:val="nil"/>
              <w:bottom w:val="single" w:color="auto" w:sz="8" w:space="0"/>
              <w:right w:val="single" w:color="auto" w:sz="8" w:space="0"/>
            </w:tcBorders>
            <w:vAlign w:val="center"/>
          </w:tcPr>
          <w:p w14:paraId="7EA28585">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7A4B1D3B">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54096E5E">
            <w:pPr>
              <w:pStyle w:val="24"/>
              <w:spacing w:line="240" w:lineRule="auto"/>
              <w:ind w:firstLine="0" w:firstLineChars="0"/>
              <w:rPr>
                <w:color w:val="000000"/>
                <w:kern w:val="0"/>
              </w:rPr>
            </w:pPr>
          </w:p>
        </w:tc>
      </w:tr>
      <w:tr w14:paraId="42799744">
        <w:tblPrEx>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78579839">
            <w:pPr>
              <w:pStyle w:val="24"/>
              <w:spacing w:line="240" w:lineRule="auto"/>
              <w:ind w:firstLine="0" w:firstLineChars="0"/>
              <w:rPr>
                <w:color w:val="000000"/>
                <w:kern w:val="0"/>
              </w:rPr>
            </w:pPr>
            <w:r>
              <w:rPr>
                <w:color w:val="000000"/>
                <w:kern w:val="0"/>
              </w:rPr>
              <w:t>2</w:t>
            </w:r>
          </w:p>
        </w:tc>
        <w:tc>
          <w:tcPr>
            <w:tcW w:w="4189" w:type="dxa"/>
            <w:tcBorders>
              <w:top w:val="nil"/>
              <w:left w:val="nil"/>
              <w:bottom w:val="single" w:color="auto" w:sz="8" w:space="0"/>
              <w:right w:val="single" w:color="auto" w:sz="8" w:space="0"/>
            </w:tcBorders>
            <w:vAlign w:val="center"/>
          </w:tcPr>
          <w:p w14:paraId="484D21A7">
            <w:pPr>
              <w:pStyle w:val="24"/>
              <w:spacing w:line="240" w:lineRule="auto"/>
              <w:ind w:firstLine="0" w:firstLineChars="0"/>
              <w:jc w:val="both"/>
              <w:rPr>
                <w:color w:val="000000"/>
                <w:kern w:val="0"/>
              </w:rPr>
            </w:pPr>
            <w:r>
              <w:rPr>
                <w:color w:val="000000"/>
                <w:kern w:val="0"/>
              </w:rPr>
              <w:t>已采取措施减少或替代有毒有害原辅料的使用</w:t>
            </w:r>
          </w:p>
        </w:tc>
        <w:tc>
          <w:tcPr>
            <w:tcW w:w="1179" w:type="dxa"/>
            <w:tcBorders>
              <w:top w:val="nil"/>
              <w:left w:val="nil"/>
              <w:bottom w:val="single" w:color="auto" w:sz="8" w:space="0"/>
              <w:right w:val="single" w:color="auto" w:sz="8" w:space="0"/>
            </w:tcBorders>
            <w:vAlign w:val="center"/>
          </w:tcPr>
          <w:p w14:paraId="2F86DD51">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0098746E">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39F247E2">
            <w:pPr>
              <w:pStyle w:val="24"/>
              <w:spacing w:line="240" w:lineRule="auto"/>
              <w:ind w:firstLine="0" w:firstLineChars="0"/>
              <w:rPr>
                <w:color w:val="000000"/>
                <w:kern w:val="0"/>
              </w:rPr>
            </w:pPr>
          </w:p>
        </w:tc>
      </w:tr>
      <w:tr w14:paraId="0D9C1C2B">
        <w:tblPrEx>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7DB660B3">
            <w:pPr>
              <w:pStyle w:val="24"/>
              <w:spacing w:line="240" w:lineRule="auto"/>
              <w:ind w:firstLine="0" w:firstLineChars="0"/>
              <w:rPr>
                <w:color w:val="000000"/>
                <w:kern w:val="0"/>
              </w:rPr>
            </w:pPr>
            <w:r>
              <w:rPr>
                <w:color w:val="000000"/>
                <w:kern w:val="0"/>
              </w:rPr>
              <w:t>3</w:t>
            </w:r>
          </w:p>
        </w:tc>
        <w:tc>
          <w:tcPr>
            <w:tcW w:w="4189" w:type="dxa"/>
            <w:tcBorders>
              <w:top w:val="nil"/>
              <w:left w:val="nil"/>
              <w:bottom w:val="single" w:color="auto" w:sz="8" w:space="0"/>
              <w:right w:val="single" w:color="auto" w:sz="8" w:space="0"/>
            </w:tcBorders>
            <w:vAlign w:val="center"/>
          </w:tcPr>
          <w:p w14:paraId="60D95E06">
            <w:pPr>
              <w:pStyle w:val="24"/>
              <w:spacing w:line="240" w:lineRule="auto"/>
              <w:ind w:firstLine="0" w:firstLineChars="0"/>
              <w:jc w:val="both"/>
              <w:rPr>
                <w:color w:val="000000"/>
                <w:kern w:val="0"/>
              </w:rPr>
            </w:pPr>
            <w:r>
              <w:rPr>
                <w:color w:val="000000"/>
                <w:kern w:val="0"/>
              </w:rPr>
              <w:t>采购的原辅料已无法替代</w:t>
            </w:r>
          </w:p>
        </w:tc>
        <w:tc>
          <w:tcPr>
            <w:tcW w:w="1179" w:type="dxa"/>
            <w:tcBorders>
              <w:top w:val="nil"/>
              <w:left w:val="nil"/>
              <w:bottom w:val="single" w:color="auto" w:sz="8" w:space="0"/>
              <w:right w:val="single" w:color="auto" w:sz="8" w:space="0"/>
            </w:tcBorders>
            <w:vAlign w:val="center"/>
          </w:tcPr>
          <w:p w14:paraId="7D7E5F69">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53C243D5">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4372FECF">
            <w:pPr>
              <w:pStyle w:val="24"/>
              <w:spacing w:line="240" w:lineRule="auto"/>
              <w:ind w:firstLine="0" w:firstLineChars="0"/>
              <w:rPr>
                <w:color w:val="000000"/>
                <w:kern w:val="0"/>
              </w:rPr>
            </w:pPr>
          </w:p>
        </w:tc>
      </w:tr>
      <w:tr w14:paraId="09BCC6C6">
        <w:tblPrEx>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29E66B39">
            <w:pPr>
              <w:pStyle w:val="24"/>
              <w:spacing w:line="240" w:lineRule="auto"/>
              <w:ind w:firstLine="0" w:firstLineChars="0"/>
              <w:rPr>
                <w:color w:val="000000"/>
                <w:kern w:val="0"/>
              </w:rPr>
            </w:pPr>
            <w:r>
              <w:rPr>
                <w:color w:val="000000"/>
                <w:kern w:val="0"/>
              </w:rPr>
              <w:t>4</w:t>
            </w:r>
          </w:p>
        </w:tc>
        <w:tc>
          <w:tcPr>
            <w:tcW w:w="4189" w:type="dxa"/>
            <w:tcBorders>
              <w:top w:val="nil"/>
              <w:left w:val="nil"/>
              <w:bottom w:val="single" w:color="auto" w:sz="8" w:space="0"/>
              <w:right w:val="single" w:color="auto" w:sz="8" w:space="0"/>
            </w:tcBorders>
            <w:vAlign w:val="center"/>
          </w:tcPr>
          <w:p w14:paraId="0604FADD">
            <w:pPr>
              <w:pStyle w:val="24"/>
              <w:spacing w:line="240" w:lineRule="auto"/>
              <w:ind w:firstLine="0" w:firstLineChars="0"/>
              <w:jc w:val="both"/>
              <w:rPr>
                <w:color w:val="000000"/>
                <w:kern w:val="0"/>
              </w:rPr>
            </w:pPr>
            <w:r>
              <w:rPr>
                <w:color w:val="000000"/>
                <w:kern w:val="0"/>
              </w:rPr>
              <w:t>原辅料的堆放已经分类</w:t>
            </w:r>
          </w:p>
        </w:tc>
        <w:tc>
          <w:tcPr>
            <w:tcW w:w="1179" w:type="dxa"/>
            <w:tcBorders>
              <w:top w:val="nil"/>
              <w:left w:val="nil"/>
              <w:bottom w:val="single" w:color="auto" w:sz="8" w:space="0"/>
              <w:right w:val="single" w:color="auto" w:sz="8" w:space="0"/>
            </w:tcBorders>
            <w:vAlign w:val="center"/>
          </w:tcPr>
          <w:p w14:paraId="195CB982">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5455DCEE">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2140A9CC">
            <w:pPr>
              <w:pStyle w:val="24"/>
              <w:spacing w:line="240" w:lineRule="auto"/>
              <w:ind w:firstLine="0" w:firstLineChars="0"/>
              <w:rPr>
                <w:color w:val="000000"/>
                <w:kern w:val="0"/>
              </w:rPr>
            </w:pPr>
          </w:p>
        </w:tc>
      </w:tr>
      <w:tr w14:paraId="2FADEBB1">
        <w:tblPrEx>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444896C6">
            <w:pPr>
              <w:pStyle w:val="24"/>
              <w:spacing w:line="240" w:lineRule="auto"/>
              <w:ind w:firstLine="0" w:firstLineChars="0"/>
              <w:rPr>
                <w:color w:val="000000"/>
                <w:kern w:val="0"/>
              </w:rPr>
            </w:pPr>
            <w:r>
              <w:rPr>
                <w:color w:val="000000"/>
                <w:kern w:val="0"/>
              </w:rPr>
              <w:t>5</w:t>
            </w:r>
          </w:p>
        </w:tc>
        <w:tc>
          <w:tcPr>
            <w:tcW w:w="4189" w:type="dxa"/>
            <w:tcBorders>
              <w:top w:val="nil"/>
              <w:left w:val="nil"/>
              <w:bottom w:val="single" w:color="auto" w:sz="8" w:space="0"/>
              <w:right w:val="single" w:color="auto" w:sz="8" w:space="0"/>
            </w:tcBorders>
            <w:vAlign w:val="center"/>
          </w:tcPr>
          <w:p w14:paraId="31B44826">
            <w:pPr>
              <w:pStyle w:val="24"/>
              <w:spacing w:line="240" w:lineRule="auto"/>
              <w:ind w:firstLine="0" w:firstLineChars="0"/>
              <w:jc w:val="both"/>
              <w:rPr>
                <w:color w:val="000000"/>
                <w:kern w:val="0"/>
              </w:rPr>
            </w:pPr>
            <w:r>
              <w:rPr>
                <w:color w:val="000000"/>
                <w:kern w:val="0"/>
              </w:rPr>
              <w:t>原辅料堆放处都标明了相应的MSDS</w:t>
            </w:r>
          </w:p>
        </w:tc>
        <w:tc>
          <w:tcPr>
            <w:tcW w:w="1179" w:type="dxa"/>
            <w:tcBorders>
              <w:top w:val="nil"/>
              <w:left w:val="nil"/>
              <w:bottom w:val="single" w:color="auto" w:sz="8" w:space="0"/>
              <w:right w:val="single" w:color="auto" w:sz="8" w:space="0"/>
            </w:tcBorders>
            <w:vAlign w:val="center"/>
          </w:tcPr>
          <w:p w14:paraId="3453A5CA">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4DFAB7E6">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63CC796B">
            <w:pPr>
              <w:pStyle w:val="24"/>
              <w:spacing w:line="240" w:lineRule="auto"/>
              <w:ind w:firstLine="0" w:firstLineChars="0"/>
              <w:rPr>
                <w:color w:val="000000"/>
                <w:kern w:val="0"/>
              </w:rPr>
            </w:pPr>
          </w:p>
        </w:tc>
      </w:tr>
      <w:tr w14:paraId="52825261">
        <w:tblPrEx>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6707EF97">
            <w:pPr>
              <w:pStyle w:val="24"/>
              <w:spacing w:line="240" w:lineRule="auto"/>
              <w:ind w:firstLine="0" w:firstLineChars="0"/>
              <w:rPr>
                <w:color w:val="000000"/>
                <w:kern w:val="0"/>
              </w:rPr>
            </w:pPr>
            <w:r>
              <w:rPr>
                <w:color w:val="000000"/>
                <w:kern w:val="0"/>
              </w:rPr>
              <w:t>6</w:t>
            </w:r>
          </w:p>
        </w:tc>
        <w:tc>
          <w:tcPr>
            <w:tcW w:w="4189" w:type="dxa"/>
            <w:tcBorders>
              <w:top w:val="nil"/>
              <w:left w:val="nil"/>
              <w:bottom w:val="single" w:color="auto" w:sz="8" w:space="0"/>
              <w:right w:val="single" w:color="auto" w:sz="8" w:space="0"/>
            </w:tcBorders>
            <w:vAlign w:val="center"/>
          </w:tcPr>
          <w:p w14:paraId="08B61FC4">
            <w:pPr>
              <w:pStyle w:val="24"/>
              <w:spacing w:line="240" w:lineRule="auto"/>
              <w:ind w:firstLine="0" w:firstLineChars="0"/>
              <w:jc w:val="both"/>
              <w:rPr>
                <w:color w:val="000000"/>
                <w:kern w:val="0"/>
              </w:rPr>
            </w:pPr>
            <w:r>
              <w:rPr>
                <w:color w:val="000000"/>
                <w:kern w:val="0"/>
              </w:rPr>
              <w:t>制定了原辅料仓库管理制度</w:t>
            </w:r>
          </w:p>
        </w:tc>
        <w:tc>
          <w:tcPr>
            <w:tcW w:w="1179" w:type="dxa"/>
            <w:tcBorders>
              <w:top w:val="nil"/>
              <w:left w:val="nil"/>
              <w:bottom w:val="single" w:color="auto" w:sz="8" w:space="0"/>
              <w:right w:val="single" w:color="auto" w:sz="8" w:space="0"/>
            </w:tcBorders>
            <w:vAlign w:val="center"/>
          </w:tcPr>
          <w:p w14:paraId="6FDC23EB">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6F33A9B5">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53B3C6F6">
            <w:pPr>
              <w:pStyle w:val="24"/>
              <w:spacing w:line="240" w:lineRule="auto"/>
              <w:ind w:firstLine="0" w:firstLineChars="0"/>
              <w:rPr>
                <w:color w:val="000000"/>
                <w:kern w:val="0"/>
              </w:rPr>
            </w:pPr>
          </w:p>
        </w:tc>
      </w:tr>
      <w:tr w14:paraId="00320DAA">
        <w:tblPrEx>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0E4708B0">
            <w:pPr>
              <w:pStyle w:val="24"/>
              <w:spacing w:line="240" w:lineRule="auto"/>
              <w:ind w:firstLine="0" w:firstLineChars="0"/>
              <w:rPr>
                <w:color w:val="000000"/>
                <w:kern w:val="0"/>
              </w:rPr>
            </w:pPr>
            <w:r>
              <w:rPr>
                <w:color w:val="000000"/>
                <w:kern w:val="0"/>
              </w:rPr>
              <w:t>7</w:t>
            </w:r>
          </w:p>
        </w:tc>
        <w:tc>
          <w:tcPr>
            <w:tcW w:w="4189" w:type="dxa"/>
            <w:tcBorders>
              <w:top w:val="nil"/>
              <w:left w:val="nil"/>
              <w:bottom w:val="single" w:color="auto" w:sz="8" w:space="0"/>
              <w:right w:val="single" w:color="auto" w:sz="8" w:space="0"/>
            </w:tcBorders>
            <w:vAlign w:val="center"/>
          </w:tcPr>
          <w:p w14:paraId="0719266C">
            <w:pPr>
              <w:pStyle w:val="24"/>
              <w:spacing w:line="240" w:lineRule="auto"/>
              <w:ind w:firstLine="0" w:firstLineChars="0"/>
              <w:jc w:val="both"/>
              <w:rPr>
                <w:color w:val="000000"/>
                <w:kern w:val="0"/>
              </w:rPr>
            </w:pPr>
            <w:r>
              <w:rPr>
                <w:color w:val="000000"/>
                <w:kern w:val="0"/>
              </w:rPr>
              <w:t>危险化学品仓库符合法规要求</w:t>
            </w:r>
          </w:p>
        </w:tc>
        <w:tc>
          <w:tcPr>
            <w:tcW w:w="1179" w:type="dxa"/>
            <w:tcBorders>
              <w:top w:val="nil"/>
              <w:left w:val="nil"/>
              <w:bottom w:val="single" w:color="auto" w:sz="8" w:space="0"/>
              <w:right w:val="single" w:color="auto" w:sz="8" w:space="0"/>
            </w:tcBorders>
            <w:vAlign w:val="center"/>
          </w:tcPr>
          <w:p w14:paraId="69ACA9D1">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17808513">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10E78B6E">
            <w:pPr>
              <w:pStyle w:val="24"/>
              <w:spacing w:line="240" w:lineRule="auto"/>
              <w:ind w:firstLine="0" w:firstLineChars="0"/>
              <w:rPr>
                <w:color w:val="000000"/>
                <w:kern w:val="0"/>
              </w:rPr>
            </w:pPr>
          </w:p>
        </w:tc>
      </w:tr>
      <w:tr w14:paraId="2ADD97DC">
        <w:tblPrEx>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23DE2E8A">
            <w:pPr>
              <w:pStyle w:val="24"/>
              <w:spacing w:line="240" w:lineRule="auto"/>
              <w:ind w:firstLine="0" w:firstLineChars="0"/>
              <w:rPr>
                <w:color w:val="000000"/>
                <w:kern w:val="0"/>
              </w:rPr>
            </w:pPr>
            <w:r>
              <w:rPr>
                <w:color w:val="000000"/>
                <w:kern w:val="0"/>
              </w:rPr>
              <w:t>8</w:t>
            </w:r>
          </w:p>
        </w:tc>
        <w:tc>
          <w:tcPr>
            <w:tcW w:w="4189" w:type="dxa"/>
            <w:tcBorders>
              <w:top w:val="nil"/>
              <w:left w:val="nil"/>
              <w:bottom w:val="single" w:color="auto" w:sz="8" w:space="0"/>
              <w:right w:val="single" w:color="auto" w:sz="8" w:space="0"/>
            </w:tcBorders>
            <w:vAlign w:val="center"/>
          </w:tcPr>
          <w:p w14:paraId="75715337">
            <w:pPr>
              <w:pStyle w:val="24"/>
              <w:spacing w:line="240" w:lineRule="auto"/>
              <w:ind w:firstLine="0" w:firstLineChars="0"/>
              <w:jc w:val="both"/>
              <w:rPr>
                <w:color w:val="000000"/>
                <w:kern w:val="0"/>
              </w:rPr>
            </w:pPr>
            <w:r>
              <w:rPr>
                <w:color w:val="000000"/>
                <w:kern w:val="0"/>
              </w:rPr>
              <w:t>制定和执行原</w:t>
            </w:r>
            <w:r>
              <w:rPr>
                <w:rFonts w:hint="eastAsia"/>
                <w:color w:val="000000"/>
                <w:kern w:val="0"/>
                <w:lang w:val="en-US" w:eastAsia="zh-CN"/>
              </w:rPr>
              <w:t>辅</w:t>
            </w:r>
            <w:r>
              <w:rPr>
                <w:color w:val="000000"/>
                <w:kern w:val="0"/>
              </w:rPr>
              <w:t>料领取制度</w:t>
            </w:r>
          </w:p>
        </w:tc>
        <w:tc>
          <w:tcPr>
            <w:tcW w:w="1179" w:type="dxa"/>
            <w:tcBorders>
              <w:top w:val="nil"/>
              <w:left w:val="nil"/>
              <w:bottom w:val="single" w:color="auto" w:sz="8" w:space="0"/>
              <w:right w:val="single" w:color="auto" w:sz="8" w:space="0"/>
            </w:tcBorders>
            <w:vAlign w:val="center"/>
          </w:tcPr>
          <w:p w14:paraId="20321D4F">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25AF4189">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05B360DF">
            <w:pPr>
              <w:pStyle w:val="24"/>
              <w:spacing w:line="240" w:lineRule="auto"/>
              <w:ind w:firstLine="0" w:firstLineChars="0"/>
              <w:rPr>
                <w:color w:val="000000"/>
                <w:kern w:val="0"/>
              </w:rPr>
            </w:pPr>
          </w:p>
        </w:tc>
      </w:tr>
      <w:tr w14:paraId="7771A59D">
        <w:tblPrEx>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19A67203">
            <w:pPr>
              <w:pStyle w:val="24"/>
              <w:spacing w:line="240" w:lineRule="auto"/>
              <w:ind w:firstLine="0" w:firstLineChars="0"/>
              <w:rPr>
                <w:color w:val="000000"/>
                <w:kern w:val="0"/>
              </w:rPr>
            </w:pPr>
            <w:r>
              <w:rPr>
                <w:color w:val="000000"/>
                <w:kern w:val="0"/>
              </w:rPr>
              <w:t>9</w:t>
            </w:r>
          </w:p>
        </w:tc>
        <w:tc>
          <w:tcPr>
            <w:tcW w:w="4189" w:type="dxa"/>
            <w:tcBorders>
              <w:top w:val="nil"/>
              <w:left w:val="nil"/>
              <w:bottom w:val="single" w:color="auto" w:sz="8" w:space="0"/>
              <w:right w:val="single" w:color="auto" w:sz="8" w:space="0"/>
            </w:tcBorders>
            <w:vAlign w:val="center"/>
          </w:tcPr>
          <w:p w14:paraId="1725036C">
            <w:pPr>
              <w:pStyle w:val="24"/>
              <w:spacing w:line="240" w:lineRule="auto"/>
              <w:ind w:firstLine="0" w:firstLineChars="0"/>
              <w:jc w:val="both"/>
              <w:rPr>
                <w:color w:val="000000"/>
                <w:kern w:val="0"/>
              </w:rPr>
            </w:pPr>
            <w:r>
              <w:rPr>
                <w:color w:val="000000"/>
                <w:kern w:val="0"/>
              </w:rPr>
              <w:t>原辅料输送是集中控制</w:t>
            </w:r>
          </w:p>
        </w:tc>
        <w:tc>
          <w:tcPr>
            <w:tcW w:w="1179" w:type="dxa"/>
            <w:tcBorders>
              <w:top w:val="nil"/>
              <w:left w:val="nil"/>
              <w:bottom w:val="single" w:color="auto" w:sz="8" w:space="0"/>
              <w:right w:val="single" w:color="auto" w:sz="8" w:space="0"/>
            </w:tcBorders>
            <w:vAlign w:val="center"/>
          </w:tcPr>
          <w:p w14:paraId="33460640">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27F5524F">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2D15359B">
            <w:pPr>
              <w:pStyle w:val="24"/>
              <w:spacing w:line="240" w:lineRule="auto"/>
              <w:ind w:firstLine="0" w:firstLineChars="0"/>
              <w:rPr>
                <w:color w:val="000000"/>
                <w:kern w:val="0"/>
              </w:rPr>
            </w:pPr>
          </w:p>
        </w:tc>
      </w:tr>
      <w:tr w14:paraId="316851DE">
        <w:tblPrEx>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7CB3EE15">
            <w:pPr>
              <w:pStyle w:val="24"/>
              <w:spacing w:line="240" w:lineRule="auto"/>
              <w:ind w:firstLine="0" w:firstLineChars="0"/>
              <w:rPr>
                <w:color w:val="000000"/>
                <w:kern w:val="0"/>
              </w:rPr>
            </w:pPr>
            <w:r>
              <w:rPr>
                <w:color w:val="000000"/>
                <w:kern w:val="0"/>
              </w:rPr>
              <w:t>10</w:t>
            </w:r>
          </w:p>
        </w:tc>
        <w:tc>
          <w:tcPr>
            <w:tcW w:w="4189" w:type="dxa"/>
            <w:tcBorders>
              <w:top w:val="nil"/>
              <w:left w:val="nil"/>
              <w:bottom w:val="single" w:color="auto" w:sz="8" w:space="0"/>
              <w:right w:val="single" w:color="auto" w:sz="8" w:space="0"/>
            </w:tcBorders>
            <w:vAlign w:val="center"/>
          </w:tcPr>
          <w:p w14:paraId="1DAF7B10">
            <w:pPr>
              <w:pStyle w:val="24"/>
              <w:spacing w:line="240" w:lineRule="auto"/>
              <w:ind w:firstLine="0" w:firstLineChars="0"/>
              <w:jc w:val="both"/>
              <w:rPr>
                <w:color w:val="000000"/>
                <w:kern w:val="0"/>
              </w:rPr>
            </w:pPr>
            <w:r>
              <w:rPr>
                <w:color w:val="000000"/>
                <w:kern w:val="0"/>
              </w:rPr>
              <w:t>部分原辅料称量是自动称量</w:t>
            </w:r>
          </w:p>
        </w:tc>
        <w:tc>
          <w:tcPr>
            <w:tcW w:w="1179" w:type="dxa"/>
            <w:tcBorders>
              <w:top w:val="nil"/>
              <w:left w:val="nil"/>
              <w:bottom w:val="single" w:color="auto" w:sz="8" w:space="0"/>
              <w:right w:val="single" w:color="auto" w:sz="8" w:space="0"/>
            </w:tcBorders>
            <w:vAlign w:val="center"/>
          </w:tcPr>
          <w:p w14:paraId="3DEE623F">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1FE4DCA6">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35511A23">
            <w:pPr>
              <w:pStyle w:val="24"/>
              <w:spacing w:line="240" w:lineRule="auto"/>
              <w:ind w:firstLine="0" w:firstLineChars="0"/>
              <w:rPr>
                <w:color w:val="000000"/>
                <w:kern w:val="0"/>
              </w:rPr>
            </w:pPr>
          </w:p>
        </w:tc>
      </w:tr>
      <w:tr w14:paraId="25440C1C">
        <w:tblPrEx>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39DAC772">
            <w:pPr>
              <w:pStyle w:val="24"/>
              <w:spacing w:line="240" w:lineRule="auto"/>
              <w:ind w:firstLine="0" w:firstLineChars="0"/>
              <w:rPr>
                <w:color w:val="000000"/>
                <w:kern w:val="0"/>
              </w:rPr>
            </w:pPr>
            <w:r>
              <w:rPr>
                <w:color w:val="000000"/>
                <w:kern w:val="0"/>
              </w:rPr>
              <w:t>11</w:t>
            </w:r>
          </w:p>
        </w:tc>
        <w:tc>
          <w:tcPr>
            <w:tcW w:w="4189" w:type="dxa"/>
            <w:tcBorders>
              <w:top w:val="nil"/>
              <w:left w:val="nil"/>
              <w:bottom w:val="single" w:color="auto" w:sz="8" w:space="0"/>
              <w:right w:val="single" w:color="auto" w:sz="8" w:space="0"/>
            </w:tcBorders>
            <w:vAlign w:val="center"/>
          </w:tcPr>
          <w:p w14:paraId="79B0FEFA">
            <w:pPr>
              <w:pStyle w:val="24"/>
              <w:spacing w:line="240" w:lineRule="auto"/>
              <w:ind w:firstLine="0" w:firstLineChars="0"/>
              <w:jc w:val="both"/>
              <w:rPr>
                <w:color w:val="000000"/>
                <w:kern w:val="0"/>
              </w:rPr>
            </w:pPr>
            <w:r>
              <w:rPr>
                <w:color w:val="000000"/>
                <w:kern w:val="0"/>
              </w:rPr>
              <w:t>原辅料输运采用</w:t>
            </w:r>
            <w:r>
              <w:rPr>
                <w:rFonts w:hint="eastAsia"/>
                <w:color w:val="000000"/>
                <w:kern w:val="0"/>
              </w:rPr>
              <w:t>最合理</w:t>
            </w:r>
            <w:r>
              <w:rPr>
                <w:color w:val="000000"/>
                <w:kern w:val="0"/>
              </w:rPr>
              <w:t>的运输路线</w:t>
            </w:r>
          </w:p>
        </w:tc>
        <w:tc>
          <w:tcPr>
            <w:tcW w:w="1179" w:type="dxa"/>
            <w:tcBorders>
              <w:top w:val="nil"/>
              <w:left w:val="nil"/>
              <w:bottom w:val="single" w:color="auto" w:sz="8" w:space="0"/>
              <w:right w:val="single" w:color="auto" w:sz="8" w:space="0"/>
            </w:tcBorders>
            <w:vAlign w:val="center"/>
          </w:tcPr>
          <w:p w14:paraId="7EF143BF">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52EB108A">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3320DEED">
            <w:pPr>
              <w:pStyle w:val="24"/>
              <w:spacing w:line="240" w:lineRule="auto"/>
              <w:ind w:firstLine="0" w:firstLineChars="0"/>
              <w:rPr>
                <w:color w:val="000000"/>
                <w:kern w:val="0"/>
              </w:rPr>
            </w:pPr>
          </w:p>
        </w:tc>
      </w:tr>
      <w:tr w14:paraId="26EA7EFB">
        <w:tblPrEx>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322EBEBF">
            <w:pPr>
              <w:pStyle w:val="24"/>
              <w:spacing w:line="240" w:lineRule="auto"/>
              <w:ind w:firstLine="0" w:firstLineChars="0"/>
              <w:rPr>
                <w:color w:val="000000"/>
                <w:kern w:val="0"/>
              </w:rPr>
            </w:pPr>
            <w:r>
              <w:rPr>
                <w:color w:val="000000"/>
                <w:kern w:val="0"/>
              </w:rPr>
              <w:t>12</w:t>
            </w:r>
          </w:p>
        </w:tc>
        <w:tc>
          <w:tcPr>
            <w:tcW w:w="4189" w:type="dxa"/>
            <w:tcBorders>
              <w:top w:val="nil"/>
              <w:left w:val="nil"/>
              <w:bottom w:val="single" w:color="auto" w:sz="8" w:space="0"/>
              <w:right w:val="single" w:color="auto" w:sz="8" w:space="0"/>
            </w:tcBorders>
            <w:vAlign w:val="center"/>
          </w:tcPr>
          <w:p w14:paraId="05E98CCF">
            <w:pPr>
              <w:pStyle w:val="24"/>
              <w:spacing w:line="240" w:lineRule="auto"/>
              <w:ind w:firstLine="0" w:firstLineChars="0"/>
              <w:jc w:val="both"/>
              <w:rPr>
                <w:color w:val="000000"/>
                <w:kern w:val="0"/>
              </w:rPr>
            </w:pPr>
            <w:r>
              <w:rPr>
                <w:color w:val="000000"/>
                <w:kern w:val="0"/>
              </w:rPr>
              <w:t>原辅料装运采用自动化装运方式</w:t>
            </w:r>
          </w:p>
        </w:tc>
        <w:tc>
          <w:tcPr>
            <w:tcW w:w="1179" w:type="dxa"/>
            <w:tcBorders>
              <w:top w:val="nil"/>
              <w:left w:val="nil"/>
              <w:bottom w:val="single" w:color="auto" w:sz="8" w:space="0"/>
              <w:right w:val="single" w:color="auto" w:sz="8" w:space="0"/>
            </w:tcBorders>
            <w:vAlign w:val="center"/>
          </w:tcPr>
          <w:p w14:paraId="05A2DCDB">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7E0C9D77">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78B5BA17">
            <w:pPr>
              <w:pStyle w:val="24"/>
              <w:spacing w:line="240" w:lineRule="auto"/>
              <w:ind w:firstLine="0" w:firstLineChars="0"/>
              <w:rPr>
                <w:color w:val="000000"/>
                <w:kern w:val="0"/>
              </w:rPr>
            </w:pPr>
          </w:p>
        </w:tc>
      </w:tr>
      <w:tr w14:paraId="2B81B676">
        <w:tblPrEx>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6E6EF9DC">
            <w:pPr>
              <w:pStyle w:val="24"/>
              <w:spacing w:line="240" w:lineRule="auto"/>
              <w:ind w:firstLine="0" w:firstLineChars="0"/>
              <w:rPr>
                <w:color w:val="000000"/>
                <w:kern w:val="0"/>
              </w:rPr>
            </w:pPr>
            <w:r>
              <w:rPr>
                <w:color w:val="000000"/>
                <w:kern w:val="0"/>
              </w:rPr>
              <w:t>13</w:t>
            </w:r>
          </w:p>
        </w:tc>
        <w:tc>
          <w:tcPr>
            <w:tcW w:w="4189" w:type="dxa"/>
            <w:tcBorders>
              <w:top w:val="nil"/>
              <w:left w:val="nil"/>
              <w:bottom w:val="single" w:color="auto" w:sz="8" w:space="0"/>
              <w:right w:val="single" w:color="auto" w:sz="8" w:space="0"/>
            </w:tcBorders>
            <w:vAlign w:val="center"/>
          </w:tcPr>
          <w:p w14:paraId="3C2DF298">
            <w:pPr>
              <w:pStyle w:val="24"/>
              <w:spacing w:line="240" w:lineRule="auto"/>
              <w:ind w:firstLine="0" w:firstLineChars="0"/>
              <w:jc w:val="both"/>
              <w:rPr>
                <w:color w:val="000000"/>
                <w:kern w:val="0"/>
              </w:rPr>
            </w:pPr>
            <w:r>
              <w:rPr>
                <w:color w:val="000000"/>
                <w:kern w:val="0"/>
              </w:rPr>
              <w:t>原辅料装卸过程极少损耗</w:t>
            </w:r>
          </w:p>
        </w:tc>
        <w:tc>
          <w:tcPr>
            <w:tcW w:w="1179" w:type="dxa"/>
            <w:tcBorders>
              <w:top w:val="nil"/>
              <w:left w:val="nil"/>
              <w:bottom w:val="single" w:color="auto" w:sz="8" w:space="0"/>
              <w:right w:val="single" w:color="auto" w:sz="8" w:space="0"/>
            </w:tcBorders>
            <w:vAlign w:val="center"/>
          </w:tcPr>
          <w:p w14:paraId="5989D2A2">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76FA2E1F">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7FE235E0">
            <w:pPr>
              <w:pStyle w:val="24"/>
              <w:spacing w:line="240" w:lineRule="auto"/>
              <w:ind w:firstLine="0" w:firstLineChars="0"/>
              <w:rPr>
                <w:color w:val="000000"/>
                <w:kern w:val="0"/>
              </w:rPr>
            </w:pPr>
          </w:p>
        </w:tc>
      </w:tr>
      <w:tr w14:paraId="0E0475D4">
        <w:tblPrEx>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14F56423">
            <w:pPr>
              <w:pStyle w:val="24"/>
              <w:spacing w:line="240" w:lineRule="auto"/>
              <w:ind w:firstLine="0" w:firstLineChars="0"/>
              <w:rPr>
                <w:color w:val="000000"/>
                <w:kern w:val="0"/>
              </w:rPr>
            </w:pPr>
            <w:r>
              <w:rPr>
                <w:color w:val="000000"/>
                <w:kern w:val="0"/>
              </w:rPr>
              <w:t>14</w:t>
            </w:r>
          </w:p>
        </w:tc>
        <w:tc>
          <w:tcPr>
            <w:tcW w:w="4189" w:type="dxa"/>
            <w:tcBorders>
              <w:top w:val="nil"/>
              <w:left w:val="nil"/>
              <w:bottom w:val="single" w:color="auto" w:sz="8" w:space="0"/>
              <w:right w:val="single" w:color="auto" w:sz="8" w:space="0"/>
            </w:tcBorders>
            <w:vAlign w:val="center"/>
          </w:tcPr>
          <w:p w14:paraId="6F38AE12">
            <w:pPr>
              <w:pStyle w:val="24"/>
              <w:spacing w:line="240" w:lineRule="auto"/>
              <w:ind w:firstLine="0" w:firstLineChars="0"/>
              <w:jc w:val="both"/>
              <w:rPr>
                <w:color w:val="000000"/>
                <w:kern w:val="0"/>
              </w:rPr>
            </w:pPr>
            <w:r>
              <w:rPr>
                <w:color w:val="000000"/>
                <w:kern w:val="0"/>
              </w:rPr>
              <w:t>对</w:t>
            </w:r>
            <w:r>
              <w:rPr>
                <w:rFonts w:hint="eastAsia"/>
                <w:color w:val="000000"/>
                <w:kern w:val="0"/>
              </w:rPr>
              <w:t>储存和输运</w:t>
            </w:r>
            <w:r>
              <w:rPr>
                <w:color w:val="000000"/>
                <w:kern w:val="0"/>
              </w:rPr>
              <w:t>装卸</w:t>
            </w:r>
            <w:r>
              <w:rPr>
                <w:rFonts w:hint="eastAsia"/>
                <w:color w:val="000000"/>
                <w:kern w:val="0"/>
              </w:rPr>
              <w:t>等过程</w:t>
            </w:r>
            <w:r>
              <w:rPr>
                <w:color w:val="000000"/>
                <w:kern w:val="0"/>
              </w:rPr>
              <w:t>损耗的原辅料采取了合理的</w:t>
            </w:r>
            <w:r>
              <w:rPr>
                <w:rFonts w:hint="eastAsia"/>
                <w:color w:val="000000"/>
                <w:kern w:val="0"/>
              </w:rPr>
              <w:t>预防</w:t>
            </w:r>
            <w:r>
              <w:rPr>
                <w:color w:val="000000"/>
                <w:kern w:val="0"/>
              </w:rPr>
              <w:t>控制</w:t>
            </w:r>
            <w:r>
              <w:rPr>
                <w:rFonts w:hint="eastAsia"/>
                <w:color w:val="000000"/>
                <w:kern w:val="0"/>
              </w:rPr>
              <w:t>措施</w:t>
            </w:r>
            <w:r>
              <w:rPr>
                <w:color w:val="000000"/>
                <w:kern w:val="0"/>
              </w:rPr>
              <w:t>和回收</w:t>
            </w:r>
            <w:r>
              <w:rPr>
                <w:rFonts w:hint="eastAsia"/>
                <w:color w:val="000000"/>
                <w:kern w:val="0"/>
              </w:rPr>
              <w:t>措施</w:t>
            </w:r>
          </w:p>
        </w:tc>
        <w:tc>
          <w:tcPr>
            <w:tcW w:w="1179" w:type="dxa"/>
            <w:tcBorders>
              <w:top w:val="nil"/>
              <w:left w:val="nil"/>
              <w:bottom w:val="single" w:color="auto" w:sz="8" w:space="0"/>
              <w:right w:val="single" w:color="auto" w:sz="8" w:space="0"/>
            </w:tcBorders>
            <w:vAlign w:val="center"/>
          </w:tcPr>
          <w:p w14:paraId="2442CE21">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17064B83">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1D780B20">
            <w:pPr>
              <w:pStyle w:val="24"/>
              <w:spacing w:line="240" w:lineRule="auto"/>
              <w:ind w:firstLine="0" w:firstLineChars="0"/>
              <w:rPr>
                <w:color w:val="000000"/>
                <w:kern w:val="0"/>
              </w:rPr>
            </w:pPr>
          </w:p>
        </w:tc>
      </w:tr>
      <w:tr w14:paraId="262F466E">
        <w:tblPrEx>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3F9DE090">
            <w:pPr>
              <w:pStyle w:val="24"/>
              <w:spacing w:line="240" w:lineRule="auto"/>
              <w:ind w:firstLine="0" w:firstLineChars="0"/>
              <w:rPr>
                <w:color w:val="000000"/>
                <w:kern w:val="0"/>
              </w:rPr>
            </w:pPr>
            <w:r>
              <w:rPr>
                <w:color w:val="000000"/>
                <w:kern w:val="0"/>
              </w:rPr>
              <w:t>15</w:t>
            </w:r>
          </w:p>
        </w:tc>
        <w:tc>
          <w:tcPr>
            <w:tcW w:w="4189" w:type="dxa"/>
            <w:tcBorders>
              <w:top w:val="nil"/>
              <w:left w:val="nil"/>
              <w:bottom w:val="single" w:color="auto" w:sz="8" w:space="0"/>
              <w:right w:val="single" w:color="auto" w:sz="8" w:space="0"/>
            </w:tcBorders>
            <w:vAlign w:val="center"/>
          </w:tcPr>
          <w:p w14:paraId="3F271F3E">
            <w:pPr>
              <w:pStyle w:val="24"/>
              <w:spacing w:line="240" w:lineRule="auto"/>
              <w:ind w:firstLine="0" w:firstLineChars="0"/>
              <w:jc w:val="both"/>
              <w:rPr>
                <w:color w:val="000000"/>
                <w:kern w:val="0"/>
              </w:rPr>
            </w:pPr>
            <w:r>
              <w:rPr>
                <w:color w:val="000000"/>
                <w:kern w:val="0"/>
              </w:rPr>
              <w:t>原辅料投量配比合理</w:t>
            </w:r>
          </w:p>
        </w:tc>
        <w:tc>
          <w:tcPr>
            <w:tcW w:w="1179" w:type="dxa"/>
            <w:tcBorders>
              <w:top w:val="nil"/>
              <w:left w:val="nil"/>
              <w:bottom w:val="single" w:color="auto" w:sz="8" w:space="0"/>
              <w:right w:val="single" w:color="auto" w:sz="8" w:space="0"/>
            </w:tcBorders>
            <w:vAlign w:val="center"/>
          </w:tcPr>
          <w:p w14:paraId="00EB5799">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3E448319">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46EDE50D">
            <w:pPr>
              <w:pStyle w:val="24"/>
              <w:spacing w:line="240" w:lineRule="auto"/>
              <w:ind w:firstLine="0" w:firstLineChars="0"/>
              <w:rPr>
                <w:color w:val="000000"/>
                <w:kern w:val="0"/>
              </w:rPr>
            </w:pPr>
          </w:p>
        </w:tc>
      </w:tr>
      <w:tr w14:paraId="5D92842B">
        <w:tblPrEx>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54099F13">
            <w:pPr>
              <w:pStyle w:val="24"/>
              <w:spacing w:line="240" w:lineRule="auto"/>
              <w:ind w:firstLine="0" w:firstLineChars="0"/>
              <w:rPr>
                <w:color w:val="000000"/>
                <w:kern w:val="0"/>
              </w:rPr>
            </w:pPr>
            <w:r>
              <w:rPr>
                <w:color w:val="000000"/>
                <w:kern w:val="0"/>
              </w:rPr>
              <w:t>16</w:t>
            </w:r>
          </w:p>
        </w:tc>
        <w:tc>
          <w:tcPr>
            <w:tcW w:w="4189" w:type="dxa"/>
            <w:tcBorders>
              <w:top w:val="nil"/>
              <w:left w:val="nil"/>
              <w:bottom w:val="single" w:color="auto" w:sz="8" w:space="0"/>
              <w:right w:val="single" w:color="auto" w:sz="8" w:space="0"/>
            </w:tcBorders>
            <w:vAlign w:val="center"/>
          </w:tcPr>
          <w:p w14:paraId="2F8D67EE">
            <w:pPr>
              <w:pStyle w:val="24"/>
              <w:spacing w:line="240" w:lineRule="auto"/>
              <w:ind w:firstLine="0" w:firstLineChars="0"/>
              <w:jc w:val="both"/>
              <w:rPr>
                <w:color w:val="000000"/>
                <w:kern w:val="0"/>
              </w:rPr>
            </w:pPr>
            <w:r>
              <w:rPr>
                <w:rFonts w:hint="eastAsia"/>
                <w:color w:val="000000"/>
                <w:kern w:val="0"/>
              </w:rPr>
              <w:t>原辅料包装材质和规格合理</w:t>
            </w:r>
          </w:p>
        </w:tc>
        <w:tc>
          <w:tcPr>
            <w:tcW w:w="1179" w:type="dxa"/>
            <w:tcBorders>
              <w:top w:val="nil"/>
              <w:left w:val="nil"/>
              <w:bottom w:val="single" w:color="auto" w:sz="8" w:space="0"/>
              <w:right w:val="single" w:color="auto" w:sz="8" w:space="0"/>
            </w:tcBorders>
            <w:vAlign w:val="center"/>
          </w:tcPr>
          <w:p w14:paraId="6E8DE57C">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25A18FF0">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2ABFE48A">
            <w:pPr>
              <w:pStyle w:val="24"/>
              <w:spacing w:line="240" w:lineRule="auto"/>
              <w:ind w:firstLine="0" w:firstLineChars="0"/>
              <w:rPr>
                <w:color w:val="000000"/>
                <w:kern w:val="0"/>
              </w:rPr>
            </w:pPr>
          </w:p>
        </w:tc>
      </w:tr>
      <w:tr w14:paraId="372CF0A4">
        <w:tblPrEx>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4" w:space="0"/>
              <w:right w:val="single" w:color="auto" w:sz="8" w:space="0"/>
            </w:tcBorders>
            <w:vAlign w:val="center"/>
          </w:tcPr>
          <w:p w14:paraId="5DEDC86B">
            <w:pPr>
              <w:pStyle w:val="24"/>
              <w:spacing w:line="240" w:lineRule="auto"/>
              <w:ind w:firstLine="0" w:firstLineChars="0"/>
              <w:rPr>
                <w:color w:val="000000"/>
                <w:kern w:val="0"/>
              </w:rPr>
            </w:pPr>
            <w:r>
              <w:rPr>
                <w:color w:val="000000"/>
                <w:kern w:val="0"/>
              </w:rPr>
              <w:t>17</w:t>
            </w:r>
          </w:p>
        </w:tc>
        <w:tc>
          <w:tcPr>
            <w:tcW w:w="4189" w:type="dxa"/>
            <w:tcBorders>
              <w:top w:val="nil"/>
              <w:left w:val="nil"/>
              <w:bottom w:val="single" w:color="auto" w:sz="4" w:space="0"/>
              <w:right w:val="single" w:color="auto" w:sz="8" w:space="0"/>
            </w:tcBorders>
            <w:vAlign w:val="center"/>
          </w:tcPr>
          <w:p w14:paraId="35BB2B34">
            <w:pPr>
              <w:pStyle w:val="24"/>
              <w:spacing w:line="240" w:lineRule="auto"/>
              <w:ind w:firstLine="0" w:firstLineChars="0"/>
              <w:jc w:val="both"/>
              <w:rPr>
                <w:color w:val="000000"/>
                <w:kern w:val="0"/>
              </w:rPr>
            </w:pPr>
            <w:r>
              <w:rPr>
                <w:rFonts w:hint="eastAsia"/>
                <w:color w:val="000000"/>
                <w:kern w:val="0"/>
              </w:rPr>
              <w:t>原辅料包装重复利用</w:t>
            </w:r>
          </w:p>
        </w:tc>
        <w:tc>
          <w:tcPr>
            <w:tcW w:w="1179" w:type="dxa"/>
            <w:tcBorders>
              <w:top w:val="nil"/>
              <w:left w:val="nil"/>
              <w:bottom w:val="single" w:color="auto" w:sz="4" w:space="0"/>
              <w:right w:val="single" w:color="auto" w:sz="8" w:space="0"/>
            </w:tcBorders>
            <w:vAlign w:val="center"/>
          </w:tcPr>
          <w:p w14:paraId="0FE97141">
            <w:pPr>
              <w:pStyle w:val="24"/>
              <w:spacing w:line="240" w:lineRule="auto"/>
              <w:ind w:firstLine="0" w:firstLineChars="0"/>
              <w:rPr>
                <w:color w:val="000000"/>
                <w:kern w:val="0"/>
              </w:rPr>
            </w:pPr>
          </w:p>
        </w:tc>
        <w:tc>
          <w:tcPr>
            <w:tcW w:w="1179" w:type="dxa"/>
            <w:tcBorders>
              <w:top w:val="nil"/>
              <w:left w:val="nil"/>
              <w:bottom w:val="single" w:color="auto" w:sz="4" w:space="0"/>
              <w:right w:val="single" w:color="auto" w:sz="8" w:space="0"/>
            </w:tcBorders>
            <w:vAlign w:val="center"/>
          </w:tcPr>
          <w:p w14:paraId="2B849211">
            <w:pPr>
              <w:pStyle w:val="24"/>
              <w:spacing w:line="240" w:lineRule="auto"/>
              <w:ind w:firstLine="0" w:firstLineChars="0"/>
              <w:rPr>
                <w:color w:val="000000"/>
                <w:kern w:val="0"/>
              </w:rPr>
            </w:pPr>
          </w:p>
        </w:tc>
        <w:tc>
          <w:tcPr>
            <w:tcW w:w="1181" w:type="dxa"/>
            <w:tcBorders>
              <w:top w:val="nil"/>
              <w:left w:val="nil"/>
              <w:bottom w:val="single" w:color="auto" w:sz="4" w:space="0"/>
              <w:right w:val="single" w:color="auto" w:sz="8" w:space="0"/>
            </w:tcBorders>
            <w:vAlign w:val="center"/>
          </w:tcPr>
          <w:p w14:paraId="6CDFC23D">
            <w:pPr>
              <w:pStyle w:val="24"/>
              <w:spacing w:line="240" w:lineRule="auto"/>
              <w:ind w:firstLine="0" w:firstLineChars="0"/>
              <w:rPr>
                <w:color w:val="000000"/>
                <w:kern w:val="0"/>
              </w:rPr>
            </w:pPr>
          </w:p>
        </w:tc>
      </w:tr>
      <w:tr w14:paraId="582B023C">
        <w:tblPrEx>
          <w:tblCellMar>
            <w:top w:w="0" w:type="dxa"/>
            <w:left w:w="108" w:type="dxa"/>
            <w:bottom w:w="0" w:type="dxa"/>
            <w:right w:w="108" w:type="dxa"/>
          </w:tblCellMar>
        </w:tblPrEx>
        <w:trPr>
          <w:trHeight w:val="283" w:hRule="atLeast"/>
        </w:trPr>
        <w:tc>
          <w:tcPr>
            <w:tcW w:w="791" w:type="dxa"/>
            <w:tcBorders>
              <w:top w:val="single" w:color="auto" w:sz="4" w:space="0"/>
              <w:left w:val="single" w:color="auto" w:sz="4" w:space="0"/>
              <w:bottom w:val="single" w:color="auto" w:sz="4" w:space="0"/>
              <w:right w:val="single" w:color="auto" w:sz="4" w:space="0"/>
            </w:tcBorders>
            <w:vAlign w:val="center"/>
          </w:tcPr>
          <w:p w14:paraId="4C55F077">
            <w:pPr>
              <w:pStyle w:val="24"/>
              <w:spacing w:line="240" w:lineRule="auto"/>
              <w:ind w:firstLine="0" w:firstLineChars="0"/>
              <w:rPr>
                <w:color w:val="000000"/>
                <w:kern w:val="0"/>
              </w:rPr>
            </w:pPr>
            <w:r>
              <w:rPr>
                <w:color w:val="000000"/>
                <w:kern w:val="0"/>
              </w:rPr>
              <w:t>18</w:t>
            </w:r>
          </w:p>
        </w:tc>
        <w:tc>
          <w:tcPr>
            <w:tcW w:w="4189" w:type="dxa"/>
            <w:tcBorders>
              <w:top w:val="single" w:color="auto" w:sz="4" w:space="0"/>
              <w:left w:val="single" w:color="auto" w:sz="4" w:space="0"/>
              <w:bottom w:val="single" w:color="auto" w:sz="4" w:space="0"/>
              <w:right w:val="single" w:color="auto" w:sz="4" w:space="0"/>
            </w:tcBorders>
            <w:shd w:val="clear" w:color="auto" w:fill="auto"/>
            <w:vAlign w:val="center"/>
          </w:tcPr>
          <w:p w14:paraId="713E66D7">
            <w:pPr>
              <w:pStyle w:val="24"/>
              <w:spacing w:line="240" w:lineRule="auto"/>
              <w:ind w:firstLine="0" w:firstLineChars="0"/>
              <w:jc w:val="both"/>
              <w:rPr>
                <w:rFonts w:ascii="Times New Roman" w:hAnsi="Times New Roman" w:eastAsia="宋体" w:cs="黑体"/>
                <w:color w:val="000000"/>
                <w:kern w:val="0"/>
                <w:sz w:val="21"/>
                <w:szCs w:val="21"/>
                <w:lang w:val="en-US" w:eastAsia="zh-CN" w:bidi="ar-SA"/>
              </w:rPr>
            </w:pPr>
            <w:r>
              <w:rPr>
                <w:rFonts w:hint="eastAsia"/>
                <w:color w:val="000000"/>
                <w:kern w:val="0"/>
              </w:rPr>
              <w:t>重点用水环节</w:t>
            </w:r>
            <w:r>
              <w:rPr>
                <w:color w:val="000000"/>
                <w:kern w:val="0"/>
              </w:rPr>
              <w:t>已设定用水限额</w:t>
            </w:r>
          </w:p>
        </w:tc>
        <w:tc>
          <w:tcPr>
            <w:tcW w:w="1179" w:type="dxa"/>
            <w:tcBorders>
              <w:top w:val="single" w:color="auto" w:sz="4" w:space="0"/>
              <w:left w:val="single" w:color="auto" w:sz="4" w:space="0"/>
              <w:bottom w:val="single" w:color="auto" w:sz="4" w:space="0"/>
              <w:right w:val="single" w:color="auto" w:sz="4" w:space="0"/>
            </w:tcBorders>
            <w:vAlign w:val="center"/>
          </w:tcPr>
          <w:p w14:paraId="43177AC3">
            <w:pPr>
              <w:pStyle w:val="24"/>
              <w:spacing w:line="240" w:lineRule="auto"/>
              <w:ind w:firstLine="0" w:firstLineChars="0"/>
              <w:rPr>
                <w:color w:val="000000"/>
                <w:kern w:val="0"/>
              </w:rPr>
            </w:pPr>
          </w:p>
        </w:tc>
        <w:tc>
          <w:tcPr>
            <w:tcW w:w="1179" w:type="dxa"/>
            <w:tcBorders>
              <w:top w:val="single" w:color="auto" w:sz="4" w:space="0"/>
              <w:left w:val="single" w:color="auto" w:sz="4" w:space="0"/>
              <w:bottom w:val="single" w:color="auto" w:sz="4" w:space="0"/>
              <w:right w:val="single" w:color="auto" w:sz="4" w:space="0"/>
            </w:tcBorders>
            <w:vAlign w:val="center"/>
          </w:tcPr>
          <w:p w14:paraId="308E9E9D">
            <w:pPr>
              <w:pStyle w:val="24"/>
              <w:spacing w:line="240" w:lineRule="auto"/>
              <w:ind w:firstLine="0" w:firstLineChars="0"/>
              <w:rPr>
                <w:color w:val="000000"/>
                <w:kern w:val="0"/>
              </w:rPr>
            </w:pPr>
          </w:p>
        </w:tc>
        <w:tc>
          <w:tcPr>
            <w:tcW w:w="1181" w:type="dxa"/>
            <w:tcBorders>
              <w:top w:val="single" w:color="auto" w:sz="4" w:space="0"/>
              <w:left w:val="single" w:color="auto" w:sz="4" w:space="0"/>
              <w:bottom w:val="single" w:color="auto" w:sz="4" w:space="0"/>
              <w:right w:val="single" w:color="auto" w:sz="4" w:space="0"/>
            </w:tcBorders>
            <w:vAlign w:val="center"/>
          </w:tcPr>
          <w:p w14:paraId="6568D23E">
            <w:pPr>
              <w:pStyle w:val="24"/>
              <w:spacing w:line="240" w:lineRule="auto"/>
              <w:ind w:firstLine="0" w:firstLineChars="0"/>
              <w:rPr>
                <w:color w:val="000000"/>
                <w:kern w:val="0"/>
              </w:rPr>
            </w:pPr>
          </w:p>
        </w:tc>
      </w:tr>
      <w:tr w14:paraId="2F48D59E">
        <w:tblPrEx>
          <w:tblCellMar>
            <w:top w:w="0" w:type="dxa"/>
            <w:left w:w="108" w:type="dxa"/>
            <w:bottom w:w="0" w:type="dxa"/>
            <w:right w:w="108" w:type="dxa"/>
          </w:tblCellMar>
        </w:tblPrEx>
        <w:trPr>
          <w:trHeight w:val="283" w:hRule="atLeast"/>
        </w:trPr>
        <w:tc>
          <w:tcPr>
            <w:tcW w:w="791" w:type="dxa"/>
            <w:tcBorders>
              <w:top w:val="single" w:color="auto" w:sz="4" w:space="0"/>
              <w:left w:val="single" w:color="auto" w:sz="4" w:space="0"/>
              <w:bottom w:val="single" w:color="auto" w:sz="4" w:space="0"/>
              <w:right w:val="single" w:color="auto" w:sz="4" w:space="0"/>
            </w:tcBorders>
            <w:vAlign w:val="center"/>
          </w:tcPr>
          <w:p w14:paraId="180BAE02">
            <w:pPr>
              <w:pStyle w:val="24"/>
              <w:spacing w:line="240" w:lineRule="auto"/>
              <w:ind w:firstLine="0" w:firstLineChars="0"/>
              <w:rPr>
                <w:color w:val="000000"/>
                <w:kern w:val="0"/>
              </w:rPr>
            </w:pPr>
            <w:r>
              <w:rPr>
                <w:rFonts w:hint="eastAsia"/>
                <w:color w:val="000000"/>
                <w:kern w:val="0"/>
              </w:rPr>
              <w:t>19</w:t>
            </w:r>
          </w:p>
        </w:tc>
        <w:tc>
          <w:tcPr>
            <w:tcW w:w="4189" w:type="dxa"/>
            <w:tcBorders>
              <w:top w:val="single" w:color="auto" w:sz="4" w:space="0"/>
              <w:left w:val="single" w:color="auto" w:sz="4" w:space="0"/>
              <w:bottom w:val="single" w:color="auto" w:sz="4" w:space="0"/>
              <w:right w:val="single" w:color="auto" w:sz="4" w:space="0"/>
            </w:tcBorders>
            <w:shd w:val="clear" w:color="auto" w:fill="auto"/>
            <w:vAlign w:val="center"/>
          </w:tcPr>
          <w:p w14:paraId="6CBB33D0">
            <w:pPr>
              <w:pStyle w:val="24"/>
              <w:spacing w:line="240" w:lineRule="auto"/>
              <w:ind w:firstLine="0" w:firstLineChars="0"/>
              <w:jc w:val="both"/>
              <w:rPr>
                <w:rFonts w:ascii="Times New Roman" w:hAnsi="Times New Roman" w:eastAsia="宋体" w:cs="黑体"/>
                <w:color w:val="000000"/>
                <w:kern w:val="0"/>
                <w:sz w:val="21"/>
                <w:szCs w:val="21"/>
                <w:lang w:val="en-US" w:eastAsia="zh-CN" w:bidi="ar-SA"/>
              </w:rPr>
            </w:pPr>
            <w:r>
              <w:rPr>
                <w:color w:val="000000"/>
                <w:kern w:val="0"/>
              </w:rPr>
              <w:t>定期</w:t>
            </w:r>
            <w:r>
              <w:rPr>
                <w:rFonts w:hint="eastAsia"/>
                <w:color w:val="000000"/>
                <w:kern w:val="0"/>
              </w:rPr>
              <w:t>对水耗进行分析考核</w:t>
            </w:r>
          </w:p>
        </w:tc>
        <w:tc>
          <w:tcPr>
            <w:tcW w:w="1179" w:type="dxa"/>
            <w:tcBorders>
              <w:top w:val="single" w:color="auto" w:sz="4" w:space="0"/>
              <w:left w:val="single" w:color="auto" w:sz="4" w:space="0"/>
              <w:bottom w:val="single" w:color="auto" w:sz="4" w:space="0"/>
              <w:right w:val="single" w:color="auto" w:sz="4" w:space="0"/>
            </w:tcBorders>
            <w:vAlign w:val="center"/>
          </w:tcPr>
          <w:p w14:paraId="3698C64A">
            <w:pPr>
              <w:pStyle w:val="24"/>
              <w:spacing w:line="240" w:lineRule="auto"/>
              <w:ind w:firstLine="0" w:firstLineChars="0"/>
              <w:rPr>
                <w:color w:val="000000"/>
                <w:kern w:val="0"/>
              </w:rPr>
            </w:pPr>
          </w:p>
        </w:tc>
        <w:tc>
          <w:tcPr>
            <w:tcW w:w="1179" w:type="dxa"/>
            <w:tcBorders>
              <w:top w:val="single" w:color="auto" w:sz="4" w:space="0"/>
              <w:left w:val="single" w:color="auto" w:sz="4" w:space="0"/>
              <w:bottom w:val="single" w:color="auto" w:sz="4" w:space="0"/>
              <w:right w:val="single" w:color="auto" w:sz="4" w:space="0"/>
            </w:tcBorders>
            <w:vAlign w:val="center"/>
          </w:tcPr>
          <w:p w14:paraId="4D0F48C5">
            <w:pPr>
              <w:pStyle w:val="24"/>
              <w:spacing w:line="240" w:lineRule="auto"/>
              <w:ind w:firstLine="0" w:firstLineChars="0"/>
              <w:rPr>
                <w:color w:val="000000"/>
                <w:kern w:val="0"/>
              </w:rPr>
            </w:pPr>
          </w:p>
        </w:tc>
        <w:tc>
          <w:tcPr>
            <w:tcW w:w="1181" w:type="dxa"/>
            <w:tcBorders>
              <w:top w:val="single" w:color="auto" w:sz="4" w:space="0"/>
              <w:left w:val="single" w:color="auto" w:sz="4" w:space="0"/>
              <w:bottom w:val="single" w:color="auto" w:sz="4" w:space="0"/>
              <w:right w:val="single" w:color="auto" w:sz="4" w:space="0"/>
            </w:tcBorders>
            <w:vAlign w:val="center"/>
          </w:tcPr>
          <w:p w14:paraId="14C1C624">
            <w:pPr>
              <w:pStyle w:val="24"/>
              <w:spacing w:line="240" w:lineRule="auto"/>
              <w:ind w:firstLine="0" w:firstLineChars="0"/>
              <w:rPr>
                <w:color w:val="000000"/>
                <w:kern w:val="0"/>
              </w:rPr>
            </w:pPr>
          </w:p>
        </w:tc>
      </w:tr>
      <w:tr w14:paraId="1E557ADF">
        <w:tblPrEx>
          <w:tblCellMar>
            <w:top w:w="0" w:type="dxa"/>
            <w:left w:w="108" w:type="dxa"/>
            <w:bottom w:w="0" w:type="dxa"/>
            <w:right w:w="108" w:type="dxa"/>
          </w:tblCellMar>
        </w:tblPrEx>
        <w:trPr>
          <w:trHeight w:val="283" w:hRule="atLeast"/>
        </w:trPr>
        <w:tc>
          <w:tcPr>
            <w:tcW w:w="791" w:type="dxa"/>
            <w:tcBorders>
              <w:top w:val="single" w:color="auto" w:sz="4" w:space="0"/>
              <w:left w:val="single" w:color="auto" w:sz="4" w:space="0"/>
              <w:bottom w:val="single" w:color="auto" w:sz="4" w:space="0"/>
              <w:right w:val="single" w:color="auto" w:sz="4" w:space="0"/>
            </w:tcBorders>
            <w:vAlign w:val="center"/>
          </w:tcPr>
          <w:p w14:paraId="0E3446F2">
            <w:pPr>
              <w:pStyle w:val="24"/>
              <w:spacing w:line="240" w:lineRule="auto"/>
              <w:ind w:firstLine="0" w:firstLineChars="0"/>
              <w:rPr>
                <w:color w:val="000000"/>
                <w:kern w:val="0"/>
              </w:rPr>
            </w:pPr>
            <w:r>
              <w:rPr>
                <w:rFonts w:hint="eastAsia"/>
                <w:color w:val="000000"/>
                <w:kern w:val="0"/>
              </w:rPr>
              <w:t>20</w:t>
            </w:r>
          </w:p>
        </w:tc>
        <w:tc>
          <w:tcPr>
            <w:tcW w:w="4189" w:type="dxa"/>
            <w:tcBorders>
              <w:top w:val="single" w:color="auto" w:sz="4" w:space="0"/>
              <w:left w:val="single" w:color="auto" w:sz="4" w:space="0"/>
              <w:bottom w:val="single" w:color="auto" w:sz="4" w:space="0"/>
              <w:right w:val="single" w:color="auto" w:sz="4" w:space="0"/>
            </w:tcBorders>
            <w:shd w:val="clear" w:color="auto" w:fill="auto"/>
            <w:vAlign w:val="center"/>
          </w:tcPr>
          <w:p w14:paraId="0628CEF2">
            <w:pPr>
              <w:pStyle w:val="24"/>
              <w:spacing w:line="240" w:lineRule="auto"/>
              <w:ind w:firstLine="0" w:firstLineChars="0"/>
              <w:jc w:val="both"/>
              <w:rPr>
                <w:rFonts w:ascii="Times New Roman" w:hAnsi="Times New Roman" w:eastAsia="宋体" w:cs="黑体"/>
                <w:color w:val="000000"/>
                <w:kern w:val="0"/>
                <w:sz w:val="21"/>
                <w:szCs w:val="21"/>
                <w:lang w:val="en-US" w:eastAsia="zh-CN" w:bidi="ar-SA"/>
              </w:rPr>
            </w:pPr>
            <w:r>
              <w:rPr>
                <w:color w:val="000000"/>
                <w:kern w:val="0"/>
              </w:rPr>
              <w:t>蒸汽冷凝水已回收利用</w:t>
            </w:r>
          </w:p>
        </w:tc>
        <w:tc>
          <w:tcPr>
            <w:tcW w:w="1179" w:type="dxa"/>
            <w:tcBorders>
              <w:top w:val="single" w:color="auto" w:sz="4" w:space="0"/>
              <w:left w:val="single" w:color="auto" w:sz="4" w:space="0"/>
              <w:bottom w:val="single" w:color="auto" w:sz="4" w:space="0"/>
              <w:right w:val="single" w:color="auto" w:sz="4" w:space="0"/>
            </w:tcBorders>
            <w:vAlign w:val="center"/>
          </w:tcPr>
          <w:p w14:paraId="37A5533A">
            <w:pPr>
              <w:pStyle w:val="24"/>
              <w:spacing w:line="240" w:lineRule="auto"/>
              <w:ind w:firstLine="0" w:firstLineChars="0"/>
              <w:rPr>
                <w:color w:val="000000"/>
                <w:kern w:val="0"/>
              </w:rPr>
            </w:pPr>
          </w:p>
        </w:tc>
        <w:tc>
          <w:tcPr>
            <w:tcW w:w="1179" w:type="dxa"/>
            <w:tcBorders>
              <w:top w:val="single" w:color="auto" w:sz="4" w:space="0"/>
              <w:left w:val="single" w:color="auto" w:sz="4" w:space="0"/>
              <w:bottom w:val="single" w:color="auto" w:sz="4" w:space="0"/>
              <w:right w:val="single" w:color="auto" w:sz="4" w:space="0"/>
            </w:tcBorders>
            <w:vAlign w:val="center"/>
          </w:tcPr>
          <w:p w14:paraId="637378DA">
            <w:pPr>
              <w:pStyle w:val="24"/>
              <w:spacing w:line="240" w:lineRule="auto"/>
              <w:ind w:firstLine="0" w:firstLineChars="0"/>
              <w:rPr>
                <w:color w:val="000000"/>
                <w:kern w:val="0"/>
              </w:rPr>
            </w:pPr>
          </w:p>
        </w:tc>
        <w:tc>
          <w:tcPr>
            <w:tcW w:w="1181" w:type="dxa"/>
            <w:tcBorders>
              <w:top w:val="single" w:color="auto" w:sz="4" w:space="0"/>
              <w:left w:val="single" w:color="auto" w:sz="4" w:space="0"/>
              <w:bottom w:val="single" w:color="auto" w:sz="4" w:space="0"/>
              <w:right w:val="single" w:color="auto" w:sz="4" w:space="0"/>
            </w:tcBorders>
            <w:vAlign w:val="center"/>
          </w:tcPr>
          <w:p w14:paraId="355A7606">
            <w:pPr>
              <w:pStyle w:val="24"/>
              <w:spacing w:line="240" w:lineRule="auto"/>
              <w:ind w:firstLine="0" w:firstLineChars="0"/>
              <w:rPr>
                <w:color w:val="000000"/>
                <w:kern w:val="0"/>
              </w:rPr>
            </w:pPr>
          </w:p>
        </w:tc>
      </w:tr>
      <w:tr w14:paraId="39B8A2B7">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791" w:type="dxa"/>
            <w:tcBorders>
              <w:top w:val="single" w:color="auto" w:sz="4" w:space="0"/>
              <w:left w:val="single" w:color="auto" w:sz="8" w:space="0"/>
              <w:bottom w:val="single" w:color="auto" w:sz="8" w:space="0"/>
              <w:right w:val="single" w:color="auto" w:sz="8" w:space="0"/>
            </w:tcBorders>
            <w:vAlign w:val="center"/>
          </w:tcPr>
          <w:p w14:paraId="4D725EFC">
            <w:pPr>
              <w:pStyle w:val="24"/>
              <w:spacing w:line="240" w:lineRule="auto"/>
              <w:ind w:firstLine="0" w:firstLineChars="0"/>
              <w:rPr>
                <w:color w:val="000000"/>
                <w:kern w:val="0"/>
              </w:rPr>
            </w:pPr>
            <w:r>
              <w:rPr>
                <w:rFonts w:hint="eastAsia"/>
                <w:color w:val="000000"/>
                <w:kern w:val="0"/>
              </w:rPr>
              <w:t>21</w:t>
            </w:r>
          </w:p>
        </w:tc>
        <w:tc>
          <w:tcPr>
            <w:tcW w:w="4189" w:type="dxa"/>
            <w:tcBorders>
              <w:top w:val="single" w:color="auto" w:sz="4" w:space="0"/>
              <w:left w:val="nil"/>
              <w:bottom w:val="single" w:color="auto" w:sz="8" w:space="0"/>
              <w:right w:val="single" w:color="auto" w:sz="8" w:space="0"/>
            </w:tcBorders>
            <w:shd w:val="clear" w:color="auto" w:fill="auto"/>
            <w:vAlign w:val="center"/>
          </w:tcPr>
          <w:p w14:paraId="6F77E2A0">
            <w:pPr>
              <w:pStyle w:val="24"/>
              <w:spacing w:line="240" w:lineRule="auto"/>
              <w:ind w:firstLine="0" w:firstLineChars="0"/>
              <w:jc w:val="both"/>
              <w:rPr>
                <w:rFonts w:ascii="Times New Roman" w:hAnsi="Times New Roman" w:eastAsia="宋体" w:cs="黑体"/>
                <w:color w:val="000000"/>
                <w:kern w:val="0"/>
                <w:sz w:val="21"/>
                <w:szCs w:val="21"/>
                <w:lang w:val="en-US" w:eastAsia="zh-CN" w:bidi="ar-SA"/>
              </w:rPr>
            </w:pPr>
            <w:r>
              <w:rPr>
                <w:color w:val="000000"/>
                <w:kern w:val="0"/>
              </w:rPr>
              <w:t>设备冷却水已循环利用</w:t>
            </w:r>
          </w:p>
        </w:tc>
        <w:tc>
          <w:tcPr>
            <w:tcW w:w="1179" w:type="dxa"/>
            <w:tcBorders>
              <w:top w:val="single" w:color="auto" w:sz="4" w:space="0"/>
              <w:left w:val="nil"/>
              <w:bottom w:val="single" w:color="auto" w:sz="8" w:space="0"/>
              <w:right w:val="single" w:color="auto" w:sz="8" w:space="0"/>
            </w:tcBorders>
            <w:vAlign w:val="center"/>
          </w:tcPr>
          <w:p w14:paraId="10A85702">
            <w:pPr>
              <w:pStyle w:val="24"/>
              <w:spacing w:line="240" w:lineRule="auto"/>
              <w:ind w:firstLine="0" w:firstLineChars="0"/>
              <w:rPr>
                <w:color w:val="000000"/>
                <w:kern w:val="0"/>
              </w:rPr>
            </w:pPr>
          </w:p>
        </w:tc>
        <w:tc>
          <w:tcPr>
            <w:tcW w:w="1179" w:type="dxa"/>
            <w:tcBorders>
              <w:top w:val="single" w:color="auto" w:sz="4" w:space="0"/>
              <w:left w:val="nil"/>
              <w:bottom w:val="single" w:color="auto" w:sz="8" w:space="0"/>
              <w:right w:val="single" w:color="auto" w:sz="8" w:space="0"/>
            </w:tcBorders>
            <w:vAlign w:val="center"/>
          </w:tcPr>
          <w:p w14:paraId="10230ED8">
            <w:pPr>
              <w:pStyle w:val="24"/>
              <w:spacing w:line="240" w:lineRule="auto"/>
              <w:ind w:firstLine="0" w:firstLineChars="0"/>
              <w:rPr>
                <w:color w:val="000000"/>
                <w:kern w:val="0"/>
              </w:rPr>
            </w:pPr>
          </w:p>
        </w:tc>
        <w:tc>
          <w:tcPr>
            <w:tcW w:w="1181" w:type="dxa"/>
            <w:tcBorders>
              <w:top w:val="single" w:color="auto" w:sz="4" w:space="0"/>
              <w:left w:val="nil"/>
              <w:bottom w:val="single" w:color="auto" w:sz="8" w:space="0"/>
              <w:right w:val="single" w:color="auto" w:sz="8" w:space="0"/>
            </w:tcBorders>
            <w:vAlign w:val="center"/>
          </w:tcPr>
          <w:p w14:paraId="2C45B35B">
            <w:pPr>
              <w:pStyle w:val="24"/>
              <w:spacing w:line="240" w:lineRule="auto"/>
              <w:ind w:firstLine="0" w:firstLineChars="0"/>
              <w:rPr>
                <w:color w:val="000000"/>
                <w:kern w:val="0"/>
              </w:rPr>
            </w:pPr>
          </w:p>
        </w:tc>
      </w:tr>
      <w:tr w14:paraId="61157DD2">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5B4F92A0">
            <w:pPr>
              <w:pStyle w:val="24"/>
              <w:spacing w:line="240" w:lineRule="auto"/>
              <w:ind w:firstLine="0" w:firstLineChars="0"/>
              <w:rPr>
                <w:color w:val="000000"/>
                <w:kern w:val="0"/>
              </w:rPr>
            </w:pPr>
            <w:r>
              <w:rPr>
                <w:rFonts w:hint="eastAsia"/>
                <w:color w:val="000000"/>
                <w:kern w:val="0"/>
              </w:rPr>
              <w:t>2</w:t>
            </w:r>
            <w:r>
              <w:rPr>
                <w:color w:val="000000"/>
                <w:kern w:val="0"/>
              </w:rPr>
              <w:t>2</w:t>
            </w:r>
          </w:p>
        </w:tc>
        <w:tc>
          <w:tcPr>
            <w:tcW w:w="4189" w:type="dxa"/>
            <w:tcBorders>
              <w:top w:val="nil"/>
              <w:left w:val="nil"/>
              <w:bottom w:val="single" w:color="auto" w:sz="8" w:space="0"/>
              <w:right w:val="single" w:color="auto" w:sz="8" w:space="0"/>
            </w:tcBorders>
            <w:shd w:val="clear" w:color="auto" w:fill="auto"/>
            <w:vAlign w:val="center"/>
          </w:tcPr>
          <w:p w14:paraId="656BD089">
            <w:pPr>
              <w:pStyle w:val="24"/>
              <w:adjustRightInd w:val="0"/>
              <w:snapToGrid w:val="0"/>
              <w:spacing w:line="240" w:lineRule="auto"/>
              <w:ind w:firstLine="0" w:firstLineChars="0"/>
              <w:jc w:val="both"/>
              <w:rPr>
                <w:rFonts w:ascii="Times New Roman" w:hAnsi="Times New Roman" w:eastAsia="宋体" w:cs="黑体"/>
                <w:color w:val="000000"/>
                <w:kern w:val="0"/>
                <w:sz w:val="21"/>
                <w:szCs w:val="21"/>
                <w:lang w:val="en-US" w:eastAsia="zh-CN" w:bidi="ar-SA"/>
              </w:rPr>
            </w:pPr>
            <w:r>
              <w:rPr>
                <w:color w:val="000000"/>
                <w:kern w:val="0"/>
              </w:rPr>
              <w:t>没有其他可重复利用水</w:t>
            </w:r>
          </w:p>
        </w:tc>
        <w:tc>
          <w:tcPr>
            <w:tcW w:w="1179" w:type="dxa"/>
            <w:tcBorders>
              <w:top w:val="nil"/>
              <w:left w:val="nil"/>
              <w:bottom w:val="single" w:color="auto" w:sz="8" w:space="0"/>
              <w:right w:val="single" w:color="auto" w:sz="8" w:space="0"/>
            </w:tcBorders>
            <w:vAlign w:val="center"/>
          </w:tcPr>
          <w:p w14:paraId="6E49DF07">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21C897FD">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3EC8728E">
            <w:pPr>
              <w:pStyle w:val="24"/>
              <w:spacing w:line="240" w:lineRule="auto"/>
              <w:ind w:firstLine="0" w:firstLineChars="0"/>
              <w:rPr>
                <w:color w:val="000000"/>
                <w:kern w:val="0"/>
              </w:rPr>
            </w:pPr>
          </w:p>
        </w:tc>
      </w:tr>
      <w:tr w14:paraId="63B3D84F">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55430857">
            <w:pPr>
              <w:pStyle w:val="24"/>
              <w:spacing w:line="240" w:lineRule="auto"/>
              <w:ind w:firstLine="0" w:firstLineChars="0"/>
              <w:rPr>
                <w:color w:val="000000"/>
                <w:kern w:val="0"/>
              </w:rPr>
            </w:pPr>
            <w:r>
              <w:rPr>
                <w:rFonts w:hint="eastAsia"/>
                <w:color w:val="000000"/>
                <w:kern w:val="0"/>
              </w:rPr>
              <w:t>2</w:t>
            </w:r>
            <w:r>
              <w:rPr>
                <w:color w:val="000000"/>
                <w:kern w:val="0"/>
              </w:rPr>
              <w:t>3</w:t>
            </w:r>
          </w:p>
        </w:tc>
        <w:tc>
          <w:tcPr>
            <w:tcW w:w="4189" w:type="dxa"/>
            <w:tcBorders>
              <w:top w:val="nil"/>
              <w:left w:val="nil"/>
              <w:bottom w:val="single" w:color="auto" w:sz="8" w:space="0"/>
              <w:right w:val="single" w:color="auto" w:sz="8" w:space="0"/>
            </w:tcBorders>
            <w:shd w:val="clear" w:color="auto" w:fill="auto"/>
            <w:vAlign w:val="center"/>
          </w:tcPr>
          <w:p w14:paraId="169F3405">
            <w:pPr>
              <w:pStyle w:val="24"/>
              <w:spacing w:line="240" w:lineRule="auto"/>
              <w:ind w:firstLine="0" w:firstLineChars="0"/>
              <w:jc w:val="both"/>
              <w:rPr>
                <w:rFonts w:ascii="Times New Roman" w:hAnsi="Times New Roman" w:eastAsia="宋体" w:cs="黑体"/>
                <w:color w:val="000000"/>
                <w:kern w:val="0"/>
                <w:sz w:val="21"/>
                <w:szCs w:val="21"/>
                <w:lang w:val="en-US" w:eastAsia="zh-CN" w:bidi="ar-SA"/>
              </w:rPr>
            </w:pPr>
            <w:r>
              <w:rPr>
                <w:color w:val="000000"/>
                <w:kern w:val="0"/>
              </w:rPr>
              <w:t>水重复利用设施正常运行</w:t>
            </w:r>
          </w:p>
        </w:tc>
        <w:tc>
          <w:tcPr>
            <w:tcW w:w="1179" w:type="dxa"/>
            <w:tcBorders>
              <w:top w:val="nil"/>
              <w:left w:val="nil"/>
              <w:bottom w:val="single" w:color="auto" w:sz="8" w:space="0"/>
              <w:right w:val="single" w:color="auto" w:sz="8" w:space="0"/>
            </w:tcBorders>
            <w:vAlign w:val="center"/>
          </w:tcPr>
          <w:p w14:paraId="6247E76A">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0A32407E">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4C5D6254">
            <w:pPr>
              <w:pStyle w:val="24"/>
              <w:spacing w:line="240" w:lineRule="auto"/>
              <w:ind w:firstLine="0" w:firstLineChars="0"/>
              <w:rPr>
                <w:color w:val="000000"/>
                <w:kern w:val="0"/>
              </w:rPr>
            </w:pPr>
          </w:p>
        </w:tc>
      </w:tr>
      <w:tr w14:paraId="4A402184">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7BD67C6C">
            <w:pPr>
              <w:pStyle w:val="24"/>
              <w:spacing w:line="240" w:lineRule="auto"/>
              <w:ind w:firstLine="0" w:firstLineChars="0"/>
              <w:rPr>
                <w:color w:val="000000"/>
                <w:kern w:val="0"/>
              </w:rPr>
            </w:pPr>
            <w:r>
              <w:rPr>
                <w:rFonts w:hint="eastAsia"/>
                <w:color w:val="000000"/>
                <w:kern w:val="0"/>
              </w:rPr>
              <w:t>2</w:t>
            </w:r>
            <w:r>
              <w:rPr>
                <w:color w:val="000000"/>
                <w:kern w:val="0"/>
              </w:rPr>
              <w:t>4</w:t>
            </w:r>
          </w:p>
        </w:tc>
        <w:tc>
          <w:tcPr>
            <w:tcW w:w="4189" w:type="dxa"/>
            <w:tcBorders>
              <w:top w:val="nil"/>
              <w:left w:val="nil"/>
              <w:bottom w:val="single" w:color="auto" w:sz="8" w:space="0"/>
              <w:right w:val="single" w:color="auto" w:sz="8" w:space="0"/>
            </w:tcBorders>
            <w:shd w:val="clear" w:color="auto" w:fill="auto"/>
            <w:vAlign w:val="center"/>
          </w:tcPr>
          <w:p w14:paraId="0ACC7C91">
            <w:pPr>
              <w:pStyle w:val="24"/>
              <w:spacing w:line="240" w:lineRule="auto"/>
              <w:ind w:firstLine="0" w:firstLineChars="0"/>
              <w:jc w:val="both"/>
              <w:rPr>
                <w:rFonts w:ascii="Times New Roman" w:hAnsi="Times New Roman" w:eastAsia="宋体" w:cs="黑体"/>
                <w:color w:val="000000"/>
                <w:kern w:val="0"/>
                <w:sz w:val="21"/>
                <w:szCs w:val="21"/>
                <w:lang w:val="en-US" w:eastAsia="zh-CN" w:bidi="ar-SA"/>
              </w:rPr>
            </w:pPr>
            <w:r>
              <w:rPr>
                <w:color w:val="000000"/>
                <w:kern w:val="0"/>
              </w:rPr>
              <w:t>使用了节水型器具</w:t>
            </w:r>
          </w:p>
        </w:tc>
        <w:tc>
          <w:tcPr>
            <w:tcW w:w="1179" w:type="dxa"/>
            <w:tcBorders>
              <w:top w:val="nil"/>
              <w:left w:val="nil"/>
              <w:bottom w:val="single" w:color="auto" w:sz="8" w:space="0"/>
              <w:right w:val="single" w:color="auto" w:sz="8" w:space="0"/>
            </w:tcBorders>
            <w:vAlign w:val="center"/>
          </w:tcPr>
          <w:p w14:paraId="34E33B40">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5CA9750F">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4DE0326C">
            <w:pPr>
              <w:pStyle w:val="24"/>
              <w:spacing w:line="240" w:lineRule="auto"/>
              <w:ind w:firstLine="0" w:firstLineChars="0"/>
              <w:rPr>
                <w:color w:val="000000"/>
                <w:kern w:val="0"/>
              </w:rPr>
            </w:pPr>
          </w:p>
        </w:tc>
      </w:tr>
      <w:tr w14:paraId="68664FA5">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490FD3FA">
            <w:pPr>
              <w:pStyle w:val="24"/>
              <w:spacing w:line="240" w:lineRule="auto"/>
              <w:ind w:firstLine="0" w:firstLineChars="0"/>
              <w:rPr>
                <w:color w:val="000000"/>
                <w:kern w:val="0"/>
              </w:rPr>
            </w:pPr>
            <w:r>
              <w:rPr>
                <w:rFonts w:hint="eastAsia"/>
                <w:color w:val="000000"/>
                <w:kern w:val="0"/>
              </w:rPr>
              <w:t>2</w:t>
            </w:r>
            <w:r>
              <w:rPr>
                <w:color w:val="000000"/>
                <w:kern w:val="0"/>
              </w:rPr>
              <w:t>5</w:t>
            </w:r>
          </w:p>
        </w:tc>
        <w:tc>
          <w:tcPr>
            <w:tcW w:w="4189" w:type="dxa"/>
            <w:tcBorders>
              <w:top w:val="nil"/>
              <w:left w:val="nil"/>
              <w:bottom w:val="single" w:color="auto" w:sz="8" w:space="0"/>
              <w:right w:val="single" w:color="auto" w:sz="8" w:space="0"/>
            </w:tcBorders>
            <w:shd w:val="clear" w:color="auto" w:fill="auto"/>
            <w:vAlign w:val="center"/>
          </w:tcPr>
          <w:p w14:paraId="35B24439">
            <w:pPr>
              <w:pStyle w:val="24"/>
              <w:spacing w:line="240" w:lineRule="auto"/>
              <w:ind w:firstLine="0" w:firstLineChars="0"/>
              <w:jc w:val="both"/>
              <w:rPr>
                <w:rFonts w:ascii="Times New Roman" w:hAnsi="Times New Roman" w:eastAsia="宋体" w:cs="黑体"/>
                <w:color w:val="000000"/>
                <w:kern w:val="0"/>
                <w:sz w:val="21"/>
                <w:szCs w:val="21"/>
                <w:lang w:val="en-US" w:eastAsia="zh-CN" w:bidi="ar-SA"/>
              </w:rPr>
            </w:pPr>
            <w:r>
              <w:rPr>
                <w:color w:val="000000"/>
                <w:kern w:val="0"/>
              </w:rPr>
              <w:t>定期进行水平衡测试</w:t>
            </w:r>
          </w:p>
        </w:tc>
        <w:tc>
          <w:tcPr>
            <w:tcW w:w="1179" w:type="dxa"/>
            <w:tcBorders>
              <w:top w:val="nil"/>
              <w:left w:val="nil"/>
              <w:bottom w:val="single" w:color="auto" w:sz="8" w:space="0"/>
              <w:right w:val="single" w:color="auto" w:sz="8" w:space="0"/>
            </w:tcBorders>
            <w:vAlign w:val="center"/>
          </w:tcPr>
          <w:p w14:paraId="40FD8E6F">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192524C9">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2A949DE7">
            <w:pPr>
              <w:pStyle w:val="24"/>
              <w:spacing w:line="240" w:lineRule="auto"/>
              <w:ind w:firstLine="0" w:firstLineChars="0"/>
              <w:rPr>
                <w:color w:val="000000"/>
                <w:kern w:val="0"/>
              </w:rPr>
            </w:pPr>
          </w:p>
        </w:tc>
      </w:tr>
      <w:tr w14:paraId="1BE1C2BC">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7E751D34">
            <w:pPr>
              <w:pStyle w:val="24"/>
              <w:spacing w:line="240" w:lineRule="auto"/>
              <w:ind w:firstLine="0" w:firstLineChars="0"/>
              <w:rPr>
                <w:color w:val="000000"/>
                <w:kern w:val="0"/>
              </w:rPr>
            </w:pPr>
            <w:r>
              <w:rPr>
                <w:rFonts w:hint="eastAsia"/>
                <w:color w:val="000000"/>
                <w:kern w:val="0"/>
              </w:rPr>
              <w:t>26</w:t>
            </w:r>
          </w:p>
        </w:tc>
        <w:tc>
          <w:tcPr>
            <w:tcW w:w="4189" w:type="dxa"/>
            <w:tcBorders>
              <w:top w:val="nil"/>
              <w:left w:val="nil"/>
              <w:bottom w:val="single" w:color="auto" w:sz="8" w:space="0"/>
              <w:right w:val="single" w:color="auto" w:sz="8" w:space="0"/>
            </w:tcBorders>
            <w:shd w:val="clear" w:color="auto" w:fill="auto"/>
            <w:vAlign w:val="center"/>
          </w:tcPr>
          <w:p w14:paraId="1E0D4CFA">
            <w:pPr>
              <w:pStyle w:val="24"/>
              <w:spacing w:line="240" w:lineRule="auto"/>
              <w:ind w:firstLine="0" w:firstLineChars="0"/>
              <w:jc w:val="both"/>
              <w:rPr>
                <w:rFonts w:ascii="Times New Roman" w:hAnsi="Times New Roman" w:eastAsia="宋体" w:cs="黑体"/>
                <w:color w:val="000000"/>
                <w:kern w:val="0"/>
                <w:sz w:val="21"/>
                <w:szCs w:val="21"/>
                <w:lang w:val="en-US" w:eastAsia="zh-CN" w:bidi="ar-SA"/>
              </w:rPr>
            </w:pPr>
            <w:r>
              <w:rPr>
                <w:color w:val="000000"/>
                <w:kern w:val="0"/>
              </w:rPr>
              <w:t>定期实施可行的节水项目和措施</w:t>
            </w:r>
          </w:p>
        </w:tc>
        <w:tc>
          <w:tcPr>
            <w:tcW w:w="1179" w:type="dxa"/>
            <w:tcBorders>
              <w:top w:val="nil"/>
              <w:left w:val="nil"/>
              <w:bottom w:val="single" w:color="auto" w:sz="8" w:space="0"/>
              <w:right w:val="single" w:color="auto" w:sz="8" w:space="0"/>
            </w:tcBorders>
            <w:vAlign w:val="center"/>
          </w:tcPr>
          <w:p w14:paraId="74CEC4A1">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23DCF0E5">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2C5B4273">
            <w:pPr>
              <w:pStyle w:val="24"/>
              <w:spacing w:line="240" w:lineRule="auto"/>
              <w:ind w:firstLine="0" w:firstLineChars="0"/>
              <w:rPr>
                <w:color w:val="000000"/>
                <w:kern w:val="0"/>
              </w:rPr>
            </w:pPr>
          </w:p>
        </w:tc>
      </w:tr>
      <w:tr w14:paraId="11CE1E3D">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7B2FE680">
            <w:pPr>
              <w:pStyle w:val="24"/>
              <w:spacing w:line="240" w:lineRule="auto"/>
              <w:ind w:firstLine="0" w:firstLineChars="0"/>
              <w:rPr>
                <w:color w:val="000000"/>
                <w:kern w:val="0"/>
              </w:rPr>
            </w:pPr>
            <w:r>
              <w:rPr>
                <w:rFonts w:hint="eastAsia"/>
                <w:color w:val="000000"/>
                <w:kern w:val="0"/>
              </w:rPr>
              <w:t>27</w:t>
            </w:r>
          </w:p>
        </w:tc>
        <w:tc>
          <w:tcPr>
            <w:tcW w:w="4189" w:type="dxa"/>
            <w:tcBorders>
              <w:top w:val="nil"/>
              <w:left w:val="nil"/>
              <w:bottom w:val="single" w:color="auto" w:sz="8" w:space="0"/>
              <w:right w:val="single" w:color="auto" w:sz="8" w:space="0"/>
            </w:tcBorders>
            <w:shd w:val="clear" w:color="auto" w:fill="auto"/>
            <w:vAlign w:val="center"/>
          </w:tcPr>
          <w:p w14:paraId="4D4863DD">
            <w:pPr>
              <w:pStyle w:val="24"/>
              <w:spacing w:line="240" w:lineRule="auto"/>
              <w:ind w:firstLine="0" w:firstLineChars="0"/>
              <w:jc w:val="both"/>
              <w:rPr>
                <w:rFonts w:ascii="Times New Roman" w:hAnsi="Times New Roman" w:eastAsia="宋体" w:cs="黑体"/>
                <w:color w:val="000000"/>
                <w:kern w:val="0"/>
                <w:sz w:val="21"/>
                <w:szCs w:val="21"/>
                <w:lang w:val="en-US" w:eastAsia="zh-CN" w:bidi="ar-SA"/>
              </w:rPr>
            </w:pPr>
            <w:r>
              <w:rPr>
                <w:color w:val="000000"/>
                <w:kern w:val="0"/>
              </w:rPr>
              <w:t>落实开展节水措施</w:t>
            </w:r>
          </w:p>
        </w:tc>
        <w:tc>
          <w:tcPr>
            <w:tcW w:w="1179" w:type="dxa"/>
            <w:tcBorders>
              <w:top w:val="nil"/>
              <w:left w:val="nil"/>
              <w:bottom w:val="single" w:color="auto" w:sz="8" w:space="0"/>
              <w:right w:val="single" w:color="auto" w:sz="8" w:space="0"/>
            </w:tcBorders>
            <w:vAlign w:val="center"/>
          </w:tcPr>
          <w:p w14:paraId="38B787FF">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644EF575">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7E0C9F8B">
            <w:pPr>
              <w:pStyle w:val="24"/>
              <w:spacing w:line="240" w:lineRule="auto"/>
              <w:ind w:firstLine="0" w:firstLineChars="0"/>
              <w:rPr>
                <w:color w:val="000000"/>
                <w:kern w:val="0"/>
              </w:rPr>
            </w:pPr>
          </w:p>
        </w:tc>
      </w:tr>
      <w:tr w14:paraId="5E34CA13">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1316DC44">
            <w:pPr>
              <w:pStyle w:val="24"/>
              <w:spacing w:line="240" w:lineRule="auto"/>
              <w:ind w:firstLine="0" w:firstLineChars="0"/>
              <w:rPr>
                <w:color w:val="000000"/>
                <w:kern w:val="0"/>
              </w:rPr>
            </w:pPr>
            <w:r>
              <w:rPr>
                <w:rFonts w:hint="eastAsia"/>
                <w:color w:val="000000"/>
                <w:kern w:val="0"/>
              </w:rPr>
              <w:t>28</w:t>
            </w:r>
          </w:p>
        </w:tc>
        <w:tc>
          <w:tcPr>
            <w:tcW w:w="4189" w:type="dxa"/>
            <w:tcBorders>
              <w:top w:val="nil"/>
              <w:left w:val="nil"/>
              <w:bottom w:val="single" w:color="auto" w:sz="8" w:space="0"/>
              <w:right w:val="single" w:color="auto" w:sz="8" w:space="0"/>
            </w:tcBorders>
            <w:shd w:val="clear" w:color="auto" w:fill="auto"/>
            <w:vAlign w:val="center"/>
          </w:tcPr>
          <w:p w14:paraId="0856FCA1">
            <w:pPr>
              <w:pStyle w:val="24"/>
              <w:spacing w:line="240" w:lineRule="auto"/>
              <w:ind w:firstLine="0" w:firstLineChars="0"/>
              <w:jc w:val="both"/>
              <w:rPr>
                <w:rFonts w:ascii="Times New Roman" w:hAnsi="Times New Roman" w:eastAsia="宋体" w:cs="黑体"/>
                <w:color w:val="000000"/>
                <w:kern w:val="0"/>
                <w:sz w:val="21"/>
                <w:szCs w:val="21"/>
                <w:lang w:val="en-US" w:eastAsia="zh-CN" w:bidi="ar-SA"/>
              </w:rPr>
            </w:pPr>
            <w:r>
              <w:rPr>
                <w:color w:val="000000"/>
                <w:kern w:val="0"/>
              </w:rPr>
              <w:t>全部使用清洁能源</w:t>
            </w:r>
          </w:p>
        </w:tc>
        <w:tc>
          <w:tcPr>
            <w:tcW w:w="1179" w:type="dxa"/>
            <w:tcBorders>
              <w:top w:val="nil"/>
              <w:left w:val="nil"/>
              <w:bottom w:val="single" w:color="auto" w:sz="8" w:space="0"/>
              <w:right w:val="single" w:color="auto" w:sz="8" w:space="0"/>
            </w:tcBorders>
            <w:vAlign w:val="center"/>
          </w:tcPr>
          <w:p w14:paraId="7BF78219">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6A458380">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70293580">
            <w:pPr>
              <w:pStyle w:val="24"/>
              <w:spacing w:line="240" w:lineRule="auto"/>
              <w:ind w:firstLine="0" w:firstLineChars="0"/>
              <w:rPr>
                <w:color w:val="000000"/>
                <w:kern w:val="0"/>
              </w:rPr>
            </w:pPr>
          </w:p>
        </w:tc>
      </w:tr>
      <w:tr w14:paraId="7102E1BA">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18CAAA50">
            <w:pPr>
              <w:pStyle w:val="24"/>
              <w:spacing w:line="240" w:lineRule="auto"/>
              <w:ind w:firstLine="0" w:firstLineChars="0"/>
              <w:rPr>
                <w:color w:val="000000"/>
                <w:kern w:val="0"/>
              </w:rPr>
            </w:pPr>
            <w:r>
              <w:rPr>
                <w:rFonts w:hint="eastAsia"/>
                <w:color w:val="000000"/>
                <w:kern w:val="0"/>
              </w:rPr>
              <w:t>29</w:t>
            </w:r>
          </w:p>
        </w:tc>
        <w:tc>
          <w:tcPr>
            <w:tcW w:w="4189" w:type="dxa"/>
            <w:tcBorders>
              <w:top w:val="nil"/>
              <w:left w:val="nil"/>
              <w:bottom w:val="single" w:color="auto" w:sz="8" w:space="0"/>
              <w:right w:val="single" w:color="auto" w:sz="8" w:space="0"/>
            </w:tcBorders>
            <w:shd w:val="clear" w:color="auto" w:fill="auto"/>
            <w:vAlign w:val="center"/>
          </w:tcPr>
          <w:p w14:paraId="4D571FC5">
            <w:pPr>
              <w:pStyle w:val="24"/>
              <w:spacing w:line="240" w:lineRule="auto"/>
              <w:ind w:firstLine="0" w:firstLineChars="0"/>
              <w:jc w:val="both"/>
              <w:rPr>
                <w:rFonts w:ascii="Times New Roman" w:hAnsi="Times New Roman" w:eastAsia="宋体" w:cs="黑体"/>
                <w:color w:val="000000"/>
                <w:kern w:val="0"/>
                <w:sz w:val="21"/>
                <w:szCs w:val="21"/>
                <w:lang w:val="en-US" w:eastAsia="zh-CN" w:bidi="ar-SA"/>
              </w:rPr>
            </w:pPr>
            <w:r>
              <w:rPr>
                <w:rFonts w:hint="eastAsia"/>
                <w:color w:val="000000"/>
                <w:kern w:val="0"/>
              </w:rPr>
              <w:t>重点用能环节</w:t>
            </w:r>
            <w:r>
              <w:rPr>
                <w:color w:val="000000"/>
                <w:kern w:val="0"/>
              </w:rPr>
              <w:t>已设定用</w:t>
            </w:r>
            <w:r>
              <w:rPr>
                <w:rFonts w:hint="eastAsia"/>
                <w:color w:val="000000"/>
                <w:kern w:val="0"/>
              </w:rPr>
              <w:t>能</w:t>
            </w:r>
            <w:r>
              <w:rPr>
                <w:color w:val="000000"/>
                <w:kern w:val="0"/>
              </w:rPr>
              <w:t>限额</w:t>
            </w:r>
          </w:p>
        </w:tc>
        <w:tc>
          <w:tcPr>
            <w:tcW w:w="1179" w:type="dxa"/>
            <w:tcBorders>
              <w:top w:val="nil"/>
              <w:left w:val="nil"/>
              <w:bottom w:val="single" w:color="auto" w:sz="8" w:space="0"/>
              <w:right w:val="single" w:color="auto" w:sz="8" w:space="0"/>
            </w:tcBorders>
            <w:vAlign w:val="center"/>
          </w:tcPr>
          <w:p w14:paraId="1B96E428">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24776A05">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71FDE8EF">
            <w:pPr>
              <w:pStyle w:val="24"/>
              <w:spacing w:line="240" w:lineRule="auto"/>
              <w:ind w:firstLine="0" w:firstLineChars="0"/>
              <w:rPr>
                <w:color w:val="000000"/>
                <w:kern w:val="0"/>
              </w:rPr>
            </w:pPr>
          </w:p>
        </w:tc>
      </w:tr>
      <w:tr w14:paraId="78580E3C">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13F30CE2">
            <w:pPr>
              <w:pStyle w:val="24"/>
              <w:spacing w:line="240" w:lineRule="auto"/>
              <w:ind w:firstLine="0" w:firstLineChars="0"/>
              <w:rPr>
                <w:color w:val="000000"/>
                <w:kern w:val="0"/>
              </w:rPr>
            </w:pPr>
            <w:r>
              <w:rPr>
                <w:rFonts w:hint="eastAsia"/>
                <w:color w:val="000000"/>
                <w:kern w:val="0"/>
              </w:rPr>
              <w:t>30</w:t>
            </w:r>
          </w:p>
        </w:tc>
        <w:tc>
          <w:tcPr>
            <w:tcW w:w="4189" w:type="dxa"/>
            <w:tcBorders>
              <w:top w:val="nil"/>
              <w:left w:val="nil"/>
              <w:bottom w:val="single" w:color="auto" w:sz="8" w:space="0"/>
              <w:right w:val="single" w:color="auto" w:sz="8" w:space="0"/>
            </w:tcBorders>
            <w:shd w:val="clear" w:color="auto" w:fill="auto"/>
            <w:vAlign w:val="center"/>
          </w:tcPr>
          <w:p w14:paraId="1A1D496B">
            <w:pPr>
              <w:pStyle w:val="24"/>
              <w:spacing w:line="240" w:lineRule="auto"/>
              <w:ind w:firstLine="0" w:firstLineChars="0"/>
              <w:jc w:val="both"/>
              <w:rPr>
                <w:rFonts w:ascii="Times New Roman" w:hAnsi="Times New Roman" w:eastAsia="宋体" w:cs="黑体"/>
                <w:color w:val="000000"/>
                <w:kern w:val="0"/>
                <w:sz w:val="21"/>
                <w:szCs w:val="21"/>
                <w:lang w:val="en-US" w:eastAsia="zh-CN" w:bidi="ar-SA"/>
              </w:rPr>
            </w:pPr>
            <w:r>
              <w:rPr>
                <w:color w:val="000000"/>
                <w:kern w:val="0"/>
              </w:rPr>
              <w:t>定期</w:t>
            </w:r>
            <w:r>
              <w:rPr>
                <w:rFonts w:hint="eastAsia"/>
                <w:color w:val="000000"/>
                <w:kern w:val="0"/>
              </w:rPr>
              <w:t>对能耗进行分析考核</w:t>
            </w:r>
          </w:p>
        </w:tc>
        <w:tc>
          <w:tcPr>
            <w:tcW w:w="1179" w:type="dxa"/>
            <w:tcBorders>
              <w:top w:val="nil"/>
              <w:left w:val="nil"/>
              <w:bottom w:val="single" w:color="auto" w:sz="8" w:space="0"/>
              <w:right w:val="single" w:color="auto" w:sz="8" w:space="0"/>
            </w:tcBorders>
            <w:vAlign w:val="center"/>
          </w:tcPr>
          <w:p w14:paraId="1CF2015F">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47CB4635">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6A9E48C9">
            <w:pPr>
              <w:pStyle w:val="24"/>
              <w:spacing w:line="240" w:lineRule="auto"/>
              <w:ind w:firstLine="0" w:firstLineChars="0"/>
              <w:rPr>
                <w:color w:val="000000"/>
                <w:kern w:val="0"/>
              </w:rPr>
            </w:pPr>
          </w:p>
        </w:tc>
      </w:tr>
      <w:tr w14:paraId="32B83863">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1F1C445E">
            <w:pPr>
              <w:pStyle w:val="24"/>
              <w:spacing w:line="240" w:lineRule="auto"/>
              <w:ind w:firstLine="0" w:firstLineChars="0"/>
              <w:rPr>
                <w:color w:val="000000"/>
                <w:kern w:val="0"/>
              </w:rPr>
            </w:pPr>
            <w:r>
              <w:rPr>
                <w:rFonts w:hint="eastAsia"/>
                <w:color w:val="000000"/>
                <w:kern w:val="0"/>
              </w:rPr>
              <w:t>31</w:t>
            </w:r>
          </w:p>
        </w:tc>
        <w:tc>
          <w:tcPr>
            <w:tcW w:w="4189" w:type="dxa"/>
            <w:tcBorders>
              <w:top w:val="nil"/>
              <w:left w:val="nil"/>
              <w:bottom w:val="single" w:color="auto" w:sz="8" w:space="0"/>
              <w:right w:val="single" w:color="auto" w:sz="8" w:space="0"/>
            </w:tcBorders>
            <w:shd w:val="clear" w:color="auto" w:fill="auto"/>
            <w:vAlign w:val="center"/>
          </w:tcPr>
          <w:p w14:paraId="1C0A7B44">
            <w:pPr>
              <w:pStyle w:val="24"/>
              <w:spacing w:line="240" w:lineRule="auto"/>
              <w:ind w:firstLine="0" w:firstLineChars="0"/>
              <w:jc w:val="both"/>
              <w:rPr>
                <w:rFonts w:ascii="Times New Roman" w:hAnsi="Times New Roman" w:eastAsia="宋体" w:cs="黑体"/>
                <w:color w:val="000000"/>
                <w:kern w:val="0"/>
                <w:sz w:val="21"/>
                <w:szCs w:val="21"/>
                <w:lang w:val="en-US" w:eastAsia="zh-CN" w:bidi="ar-SA"/>
              </w:rPr>
            </w:pPr>
            <w:r>
              <w:rPr>
                <w:color w:val="000000"/>
                <w:kern w:val="0"/>
              </w:rPr>
              <w:t>照明全部使用节能灯具</w:t>
            </w:r>
          </w:p>
        </w:tc>
        <w:tc>
          <w:tcPr>
            <w:tcW w:w="1179" w:type="dxa"/>
            <w:tcBorders>
              <w:top w:val="nil"/>
              <w:left w:val="nil"/>
              <w:bottom w:val="single" w:color="auto" w:sz="8" w:space="0"/>
              <w:right w:val="single" w:color="auto" w:sz="8" w:space="0"/>
            </w:tcBorders>
            <w:vAlign w:val="center"/>
          </w:tcPr>
          <w:p w14:paraId="3C5D1F73">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276EF37C">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789AAEA6">
            <w:pPr>
              <w:pStyle w:val="24"/>
              <w:spacing w:line="240" w:lineRule="auto"/>
              <w:ind w:firstLine="0" w:firstLineChars="0"/>
              <w:rPr>
                <w:color w:val="000000"/>
                <w:kern w:val="0"/>
              </w:rPr>
            </w:pPr>
          </w:p>
        </w:tc>
      </w:tr>
      <w:tr w14:paraId="7589F224">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6E7E90B0">
            <w:pPr>
              <w:pStyle w:val="24"/>
              <w:spacing w:line="240" w:lineRule="auto"/>
              <w:ind w:firstLine="0" w:firstLineChars="0"/>
              <w:rPr>
                <w:color w:val="000000"/>
                <w:kern w:val="0"/>
              </w:rPr>
            </w:pPr>
            <w:r>
              <w:rPr>
                <w:rFonts w:hint="eastAsia"/>
                <w:color w:val="000000"/>
                <w:kern w:val="0"/>
              </w:rPr>
              <w:t>32</w:t>
            </w:r>
          </w:p>
        </w:tc>
        <w:tc>
          <w:tcPr>
            <w:tcW w:w="4189" w:type="dxa"/>
            <w:tcBorders>
              <w:top w:val="nil"/>
              <w:left w:val="nil"/>
              <w:bottom w:val="single" w:color="auto" w:sz="8" w:space="0"/>
              <w:right w:val="single" w:color="auto" w:sz="8" w:space="0"/>
            </w:tcBorders>
            <w:shd w:val="clear" w:color="auto" w:fill="auto"/>
            <w:vAlign w:val="center"/>
          </w:tcPr>
          <w:p w14:paraId="66A6440E">
            <w:pPr>
              <w:pStyle w:val="24"/>
              <w:spacing w:line="240" w:lineRule="auto"/>
              <w:ind w:firstLine="0" w:firstLineChars="0"/>
              <w:jc w:val="both"/>
              <w:rPr>
                <w:rFonts w:ascii="Times New Roman" w:hAnsi="Times New Roman" w:eastAsia="宋体" w:cs="黑体"/>
                <w:color w:val="000000"/>
                <w:kern w:val="0"/>
                <w:sz w:val="21"/>
                <w:szCs w:val="21"/>
                <w:lang w:val="en-US" w:eastAsia="zh-CN" w:bidi="ar-SA"/>
              </w:rPr>
            </w:pPr>
            <w:r>
              <w:rPr>
                <w:color w:val="000000"/>
                <w:kern w:val="0"/>
              </w:rPr>
              <w:t>锅炉烟气余热已回收利用</w:t>
            </w:r>
          </w:p>
        </w:tc>
        <w:tc>
          <w:tcPr>
            <w:tcW w:w="1179" w:type="dxa"/>
            <w:tcBorders>
              <w:top w:val="nil"/>
              <w:left w:val="nil"/>
              <w:bottom w:val="single" w:color="auto" w:sz="8" w:space="0"/>
              <w:right w:val="single" w:color="auto" w:sz="8" w:space="0"/>
            </w:tcBorders>
            <w:vAlign w:val="center"/>
          </w:tcPr>
          <w:p w14:paraId="6C2AC913">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2A18185B">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4542862B">
            <w:pPr>
              <w:pStyle w:val="24"/>
              <w:spacing w:line="240" w:lineRule="auto"/>
              <w:ind w:firstLine="0" w:firstLineChars="0"/>
              <w:rPr>
                <w:color w:val="000000"/>
                <w:kern w:val="0"/>
              </w:rPr>
            </w:pPr>
          </w:p>
        </w:tc>
      </w:tr>
      <w:tr w14:paraId="551E4928">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47A961A8">
            <w:pPr>
              <w:pStyle w:val="24"/>
              <w:spacing w:line="240" w:lineRule="auto"/>
              <w:ind w:firstLine="0" w:firstLineChars="0"/>
              <w:rPr>
                <w:color w:val="000000"/>
                <w:kern w:val="0"/>
              </w:rPr>
            </w:pPr>
            <w:r>
              <w:rPr>
                <w:rFonts w:hint="eastAsia"/>
                <w:color w:val="000000"/>
                <w:kern w:val="0"/>
              </w:rPr>
              <w:t>33</w:t>
            </w:r>
          </w:p>
        </w:tc>
        <w:tc>
          <w:tcPr>
            <w:tcW w:w="4189" w:type="dxa"/>
            <w:tcBorders>
              <w:top w:val="nil"/>
              <w:left w:val="nil"/>
              <w:bottom w:val="single" w:color="auto" w:sz="8" w:space="0"/>
              <w:right w:val="single" w:color="auto" w:sz="8" w:space="0"/>
            </w:tcBorders>
            <w:shd w:val="clear" w:color="auto" w:fill="auto"/>
            <w:vAlign w:val="center"/>
          </w:tcPr>
          <w:p w14:paraId="6B234C3C">
            <w:pPr>
              <w:pStyle w:val="24"/>
              <w:spacing w:line="240" w:lineRule="auto"/>
              <w:ind w:firstLine="0" w:firstLineChars="0"/>
              <w:jc w:val="both"/>
              <w:rPr>
                <w:rFonts w:ascii="Times New Roman" w:hAnsi="Times New Roman" w:eastAsia="宋体" w:cs="黑体"/>
                <w:color w:val="000000"/>
                <w:kern w:val="0"/>
                <w:sz w:val="21"/>
                <w:szCs w:val="21"/>
                <w:lang w:val="en-US" w:eastAsia="zh-CN" w:bidi="ar-SA"/>
              </w:rPr>
            </w:pPr>
            <w:r>
              <w:rPr>
                <w:color w:val="000000"/>
                <w:kern w:val="0"/>
              </w:rPr>
              <w:t>空压机尾气余热已回收利用</w:t>
            </w:r>
          </w:p>
        </w:tc>
        <w:tc>
          <w:tcPr>
            <w:tcW w:w="1179" w:type="dxa"/>
            <w:tcBorders>
              <w:top w:val="nil"/>
              <w:left w:val="nil"/>
              <w:bottom w:val="single" w:color="auto" w:sz="8" w:space="0"/>
              <w:right w:val="single" w:color="auto" w:sz="8" w:space="0"/>
            </w:tcBorders>
            <w:vAlign w:val="center"/>
          </w:tcPr>
          <w:p w14:paraId="019C57D8">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3E8F141D">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6DC6F154">
            <w:pPr>
              <w:pStyle w:val="24"/>
              <w:spacing w:line="240" w:lineRule="auto"/>
              <w:ind w:firstLine="0" w:firstLineChars="0"/>
              <w:rPr>
                <w:color w:val="000000"/>
                <w:kern w:val="0"/>
              </w:rPr>
            </w:pPr>
          </w:p>
        </w:tc>
      </w:tr>
      <w:tr w14:paraId="64B005CC">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25DB5203">
            <w:pPr>
              <w:pStyle w:val="24"/>
              <w:spacing w:line="240" w:lineRule="auto"/>
              <w:ind w:firstLine="0" w:firstLineChars="0"/>
              <w:rPr>
                <w:color w:val="000000"/>
                <w:kern w:val="0"/>
              </w:rPr>
            </w:pPr>
            <w:r>
              <w:rPr>
                <w:rFonts w:hint="eastAsia"/>
                <w:color w:val="000000"/>
                <w:kern w:val="0"/>
              </w:rPr>
              <w:t>34</w:t>
            </w:r>
          </w:p>
        </w:tc>
        <w:tc>
          <w:tcPr>
            <w:tcW w:w="4189" w:type="dxa"/>
            <w:tcBorders>
              <w:top w:val="nil"/>
              <w:left w:val="nil"/>
              <w:bottom w:val="single" w:color="auto" w:sz="8" w:space="0"/>
              <w:right w:val="single" w:color="auto" w:sz="8" w:space="0"/>
            </w:tcBorders>
            <w:shd w:val="clear" w:color="auto" w:fill="auto"/>
            <w:vAlign w:val="center"/>
          </w:tcPr>
          <w:p w14:paraId="11A12FF0">
            <w:pPr>
              <w:pStyle w:val="24"/>
              <w:spacing w:line="240" w:lineRule="auto"/>
              <w:ind w:firstLine="0" w:firstLineChars="0"/>
              <w:jc w:val="both"/>
              <w:rPr>
                <w:rFonts w:ascii="Times New Roman" w:hAnsi="Times New Roman" w:eastAsia="宋体" w:cs="黑体"/>
                <w:color w:val="000000"/>
                <w:kern w:val="0"/>
                <w:sz w:val="21"/>
                <w:szCs w:val="21"/>
                <w:lang w:val="en-US" w:eastAsia="zh-CN" w:bidi="ar-SA"/>
              </w:rPr>
            </w:pPr>
            <w:r>
              <w:rPr>
                <w:color w:val="000000"/>
                <w:kern w:val="0"/>
              </w:rPr>
              <w:t>对温度高于100</w:t>
            </w:r>
            <w:r>
              <w:rPr>
                <w:rFonts w:hint="eastAsia" w:cs="宋体"/>
                <w:color w:val="000000"/>
                <w:kern w:val="0"/>
              </w:rPr>
              <w:t>℃</w:t>
            </w:r>
            <w:r>
              <w:rPr>
                <w:color w:val="000000"/>
                <w:kern w:val="0"/>
              </w:rPr>
              <w:t>的其他废气余热进行回收</w:t>
            </w:r>
          </w:p>
        </w:tc>
        <w:tc>
          <w:tcPr>
            <w:tcW w:w="1179" w:type="dxa"/>
            <w:tcBorders>
              <w:top w:val="nil"/>
              <w:left w:val="nil"/>
              <w:bottom w:val="single" w:color="auto" w:sz="8" w:space="0"/>
              <w:right w:val="single" w:color="auto" w:sz="8" w:space="0"/>
            </w:tcBorders>
            <w:vAlign w:val="center"/>
          </w:tcPr>
          <w:p w14:paraId="01EF31AB">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32CC7727">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4C130594">
            <w:pPr>
              <w:pStyle w:val="24"/>
              <w:spacing w:line="240" w:lineRule="auto"/>
              <w:ind w:firstLine="0" w:firstLineChars="0"/>
              <w:rPr>
                <w:color w:val="000000"/>
                <w:kern w:val="0"/>
              </w:rPr>
            </w:pPr>
          </w:p>
        </w:tc>
      </w:tr>
      <w:tr w14:paraId="224F04A4">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4F4282E1">
            <w:pPr>
              <w:pStyle w:val="24"/>
              <w:spacing w:line="240" w:lineRule="auto"/>
              <w:ind w:firstLine="0" w:firstLineChars="0"/>
              <w:rPr>
                <w:color w:val="000000"/>
                <w:kern w:val="0"/>
              </w:rPr>
            </w:pPr>
            <w:r>
              <w:rPr>
                <w:rFonts w:hint="eastAsia"/>
                <w:color w:val="000000"/>
                <w:kern w:val="0"/>
              </w:rPr>
              <w:t>35</w:t>
            </w:r>
          </w:p>
        </w:tc>
        <w:tc>
          <w:tcPr>
            <w:tcW w:w="4189" w:type="dxa"/>
            <w:tcBorders>
              <w:top w:val="nil"/>
              <w:left w:val="nil"/>
              <w:bottom w:val="single" w:color="auto" w:sz="8" w:space="0"/>
              <w:right w:val="single" w:color="auto" w:sz="8" w:space="0"/>
            </w:tcBorders>
            <w:shd w:val="clear" w:color="auto" w:fill="auto"/>
            <w:vAlign w:val="center"/>
          </w:tcPr>
          <w:p w14:paraId="6253A1CD">
            <w:pPr>
              <w:pStyle w:val="24"/>
              <w:spacing w:line="240" w:lineRule="auto"/>
              <w:ind w:firstLine="0" w:firstLineChars="0"/>
              <w:jc w:val="both"/>
              <w:rPr>
                <w:rFonts w:ascii="Times New Roman" w:hAnsi="Times New Roman" w:eastAsia="宋体" w:cs="黑体"/>
                <w:color w:val="000000"/>
                <w:kern w:val="0"/>
                <w:sz w:val="21"/>
                <w:szCs w:val="21"/>
                <w:lang w:val="en-US" w:eastAsia="zh-CN" w:bidi="ar-SA"/>
              </w:rPr>
            </w:pPr>
            <w:r>
              <w:rPr>
                <w:color w:val="000000"/>
                <w:kern w:val="0"/>
              </w:rPr>
              <w:t>余热回用设施正常运行</w:t>
            </w:r>
          </w:p>
        </w:tc>
        <w:tc>
          <w:tcPr>
            <w:tcW w:w="1179" w:type="dxa"/>
            <w:tcBorders>
              <w:top w:val="nil"/>
              <w:left w:val="nil"/>
              <w:bottom w:val="single" w:color="auto" w:sz="8" w:space="0"/>
              <w:right w:val="single" w:color="auto" w:sz="8" w:space="0"/>
            </w:tcBorders>
            <w:vAlign w:val="center"/>
          </w:tcPr>
          <w:p w14:paraId="362EFAE8">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34346494">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2DAE333E">
            <w:pPr>
              <w:pStyle w:val="24"/>
              <w:spacing w:line="240" w:lineRule="auto"/>
              <w:ind w:firstLine="0" w:firstLineChars="0"/>
              <w:rPr>
                <w:color w:val="000000"/>
                <w:kern w:val="0"/>
              </w:rPr>
            </w:pPr>
          </w:p>
        </w:tc>
      </w:tr>
      <w:tr w14:paraId="02DAF9D2">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791" w:type="dxa"/>
            <w:vAlign w:val="center"/>
          </w:tcPr>
          <w:p w14:paraId="1B021365">
            <w:pPr>
              <w:pStyle w:val="24"/>
              <w:spacing w:line="240" w:lineRule="auto"/>
              <w:ind w:firstLine="0" w:firstLineChars="0"/>
              <w:rPr>
                <w:color w:val="000000"/>
                <w:kern w:val="0"/>
              </w:rPr>
            </w:pPr>
            <w:r>
              <w:rPr>
                <w:rFonts w:hint="eastAsia"/>
                <w:color w:val="000000"/>
                <w:kern w:val="0"/>
              </w:rPr>
              <w:t>36</w:t>
            </w:r>
          </w:p>
        </w:tc>
        <w:tc>
          <w:tcPr>
            <w:tcW w:w="4189" w:type="dxa"/>
            <w:shd w:val="clear" w:color="auto" w:fill="auto"/>
            <w:vAlign w:val="center"/>
          </w:tcPr>
          <w:p w14:paraId="200A5359">
            <w:pPr>
              <w:pStyle w:val="24"/>
              <w:spacing w:line="240" w:lineRule="auto"/>
              <w:ind w:firstLine="0" w:firstLineChars="0"/>
              <w:jc w:val="both"/>
              <w:rPr>
                <w:rFonts w:ascii="Times New Roman" w:hAnsi="Times New Roman" w:eastAsia="宋体" w:cs="黑体"/>
                <w:color w:val="000000"/>
                <w:kern w:val="0"/>
                <w:sz w:val="21"/>
                <w:szCs w:val="21"/>
                <w:lang w:val="en-US" w:eastAsia="zh-CN" w:bidi="ar-SA"/>
              </w:rPr>
            </w:pPr>
            <w:r>
              <w:rPr>
                <w:color w:val="000000"/>
                <w:kern w:val="0"/>
              </w:rPr>
              <w:t>开展了节能</w:t>
            </w:r>
            <w:r>
              <w:rPr>
                <w:rFonts w:hint="eastAsia"/>
                <w:color w:val="000000"/>
                <w:kern w:val="0"/>
              </w:rPr>
              <w:t>降碳</w:t>
            </w:r>
            <w:r>
              <w:rPr>
                <w:color w:val="000000"/>
                <w:kern w:val="0"/>
              </w:rPr>
              <w:t>工艺的研究</w:t>
            </w:r>
          </w:p>
        </w:tc>
        <w:tc>
          <w:tcPr>
            <w:tcW w:w="1179" w:type="dxa"/>
          </w:tcPr>
          <w:p w14:paraId="660263DE">
            <w:pPr>
              <w:pStyle w:val="24"/>
              <w:spacing w:line="240" w:lineRule="auto"/>
              <w:ind w:firstLine="0" w:firstLineChars="0"/>
              <w:rPr>
                <w:color w:val="000000"/>
                <w:kern w:val="0"/>
              </w:rPr>
            </w:pPr>
          </w:p>
        </w:tc>
        <w:tc>
          <w:tcPr>
            <w:tcW w:w="1179" w:type="dxa"/>
          </w:tcPr>
          <w:p w14:paraId="08457011">
            <w:pPr>
              <w:pStyle w:val="24"/>
              <w:spacing w:line="240" w:lineRule="auto"/>
              <w:ind w:firstLine="0" w:firstLineChars="0"/>
              <w:rPr>
                <w:color w:val="000000"/>
                <w:kern w:val="0"/>
              </w:rPr>
            </w:pPr>
          </w:p>
        </w:tc>
        <w:tc>
          <w:tcPr>
            <w:tcW w:w="1181" w:type="dxa"/>
          </w:tcPr>
          <w:p w14:paraId="1DDD07BC">
            <w:pPr>
              <w:pStyle w:val="24"/>
              <w:spacing w:line="240" w:lineRule="auto"/>
              <w:ind w:firstLine="0" w:firstLineChars="0"/>
              <w:rPr>
                <w:color w:val="000000"/>
                <w:kern w:val="0"/>
              </w:rPr>
            </w:pPr>
          </w:p>
        </w:tc>
      </w:tr>
      <w:tr w14:paraId="30516E69">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791" w:type="dxa"/>
            <w:vAlign w:val="center"/>
          </w:tcPr>
          <w:p w14:paraId="5D4CF609">
            <w:pPr>
              <w:pStyle w:val="24"/>
              <w:spacing w:line="240" w:lineRule="auto"/>
              <w:ind w:firstLine="0" w:firstLineChars="0"/>
              <w:rPr>
                <w:color w:val="000000"/>
                <w:kern w:val="0"/>
              </w:rPr>
            </w:pPr>
            <w:r>
              <w:rPr>
                <w:rFonts w:hint="eastAsia"/>
                <w:color w:val="000000"/>
                <w:kern w:val="0"/>
              </w:rPr>
              <w:t>37</w:t>
            </w:r>
          </w:p>
        </w:tc>
        <w:tc>
          <w:tcPr>
            <w:tcW w:w="4189" w:type="dxa"/>
            <w:shd w:val="clear" w:color="auto" w:fill="auto"/>
            <w:vAlign w:val="center"/>
          </w:tcPr>
          <w:p w14:paraId="6D4FF6A1">
            <w:pPr>
              <w:pStyle w:val="24"/>
              <w:spacing w:line="240" w:lineRule="auto"/>
              <w:ind w:firstLine="0" w:firstLineChars="0"/>
              <w:jc w:val="both"/>
              <w:rPr>
                <w:rFonts w:ascii="Times New Roman" w:hAnsi="Times New Roman" w:eastAsia="宋体" w:cs="黑体"/>
                <w:color w:val="000000"/>
                <w:kern w:val="0"/>
                <w:sz w:val="21"/>
                <w:szCs w:val="21"/>
                <w:lang w:val="en-US" w:eastAsia="zh-CN" w:bidi="ar-SA"/>
              </w:rPr>
            </w:pPr>
            <w:r>
              <w:rPr>
                <w:rFonts w:hint="eastAsia"/>
                <w:color w:val="000000"/>
                <w:kern w:val="0"/>
              </w:rPr>
              <w:t>安装有光伏发电</w:t>
            </w:r>
          </w:p>
        </w:tc>
        <w:tc>
          <w:tcPr>
            <w:tcW w:w="1179" w:type="dxa"/>
          </w:tcPr>
          <w:p w14:paraId="297AB49E">
            <w:pPr>
              <w:pStyle w:val="24"/>
              <w:spacing w:line="240" w:lineRule="auto"/>
              <w:ind w:firstLine="0" w:firstLineChars="0"/>
              <w:rPr>
                <w:color w:val="000000"/>
                <w:kern w:val="0"/>
              </w:rPr>
            </w:pPr>
          </w:p>
        </w:tc>
        <w:tc>
          <w:tcPr>
            <w:tcW w:w="1179" w:type="dxa"/>
          </w:tcPr>
          <w:p w14:paraId="055A50FC">
            <w:pPr>
              <w:pStyle w:val="24"/>
              <w:spacing w:line="240" w:lineRule="auto"/>
              <w:ind w:firstLine="0" w:firstLineChars="0"/>
              <w:rPr>
                <w:color w:val="000000"/>
                <w:kern w:val="0"/>
              </w:rPr>
            </w:pPr>
          </w:p>
        </w:tc>
        <w:tc>
          <w:tcPr>
            <w:tcW w:w="1181" w:type="dxa"/>
          </w:tcPr>
          <w:p w14:paraId="172ECC1B">
            <w:pPr>
              <w:pStyle w:val="24"/>
              <w:spacing w:line="240" w:lineRule="auto"/>
              <w:ind w:firstLine="0" w:firstLineChars="0"/>
              <w:rPr>
                <w:color w:val="000000"/>
                <w:kern w:val="0"/>
              </w:rPr>
            </w:pPr>
          </w:p>
        </w:tc>
      </w:tr>
      <w:tr w14:paraId="3AC8875A">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3B40C318">
            <w:pPr>
              <w:pStyle w:val="24"/>
              <w:spacing w:line="240" w:lineRule="auto"/>
              <w:ind w:firstLine="0" w:firstLineChars="0"/>
              <w:rPr>
                <w:color w:val="000000"/>
                <w:kern w:val="0"/>
              </w:rPr>
            </w:pPr>
            <w:r>
              <w:rPr>
                <w:rFonts w:hint="eastAsia"/>
                <w:color w:val="000000"/>
                <w:kern w:val="0"/>
              </w:rPr>
              <w:t>38</w:t>
            </w:r>
          </w:p>
        </w:tc>
        <w:tc>
          <w:tcPr>
            <w:tcW w:w="4189" w:type="dxa"/>
            <w:tcBorders>
              <w:top w:val="nil"/>
              <w:left w:val="nil"/>
              <w:bottom w:val="single" w:color="auto" w:sz="8" w:space="0"/>
              <w:right w:val="single" w:color="auto" w:sz="8" w:space="0"/>
            </w:tcBorders>
            <w:shd w:val="clear" w:color="auto" w:fill="auto"/>
            <w:vAlign w:val="center"/>
          </w:tcPr>
          <w:p w14:paraId="0EA5AE66">
            <w:pPr>
              <w:pStyle w:val="24"/>
              <w:spacing w:line="240" w:lineRule="auto"/>
              <w:ind w:firstLine="0" w:firstLineChars="0"/>
              <w:jc w:val="both"/>
              <w:rPr>
                <w:rFonts w:ascii="Times New Roman" w:hAnsi="Times New Roman" w:eastAsia="宋体" w:cs="黑体"/>
                <w:color w:val="000000"/>
                <w:kern w:val="0"/>
                <w:sz w:val="21"/>
                <w:szCs w:val="21"/>
                <w:lang w:val="en-US" w:eastAsia="zh-CN" w:bidi="ar-SA"/>
              </w:rPr>
            </w:pPr>
            <w:r>
              <w:rPr>
                <w:rFonts w:hint="eastAsia"/>
                <w:color w:val="000000"/>
                <w:kern w:val="0"/>
              </w:rPr>
              <w:t>定期核算碳排放量</w:t>
            </w:r>
          </w:p>
        </w:tc>
        <w:tc>
          <w:tcPr>
            <w:tcW w:w="1179" w:type="dxa"/>
            <w:tcBorders>
              <w:top w:val="nil"/>
              <w:left w:val="nil"/>
              <w:bottom w:val="single" w:color="auto" w:sz="8" w:space="0"/>
              <w:right w:val="single" w:color="auto" w:sz="8" w:space="0"/>
            </w:tcBorders>
            <w:vAlign w:val="center"/>
          </w:tcPr>
          <w:p w14:paraId="0E3E1829">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6503157E">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574F80AD">
            <w:pPr>
              <w:pStyle w:val="24"/>
              <w:spacing w:line="240" w:lineRule="auto"/>
              <w:ind w:firstLine="0" w:firstLineChars="0"/>
              <w:rPr>
                <w:color w:val="000000"/>
                <w:kern w:val="0"/>
              </w:rPr>
            </w:pPr>
          </w:p>
        </w:tc>
      </w:tr>
      <w:tr w14:paraId="276ECA1B">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7C91E89D">
            <w:pPr>
              <w:pStyle w:val="24"/>
              <w:spacing w:line="240" w:lineRule="auto"/>
              <w:ind w:firstLine="0" w:firstLineChars="0"/>
              <w:rPr>
                <w:color w:val="000000"/>
                <w:kern w:val="0"/>
              </w:rPr>
            </w:pPr>
            <w:r>
              <w:rPr>
                <w:rFonts w:hint="eastAsia"/>
                <w:color w:val="000000"/>
                <w:kern w:val="0"/>
              </w:rPr>
              <w:t>39</w:t>
            </w:r>
          </w:p>
        </w:tc>
        <w:tc>
          <w:tcPr>
            <w:tcW w:w="4189" w:type="dxa"/>
            <w:tcBorders>
              <w:top w:val="nil"/>
              <w:left w:val="nil"/>
              <w:bottom w:val="single" w:color="auto" w:sz="8" w:space="0"/>
              <w:right w:val="single" w:color="auto" w:sz="8" w:space="0"/>
            </w:tcBorders>
            <w:shd w:val="clear" w:color="auto" w:fill="auto"/>
            <w:vAlign w:val="center"/>
          </w:tcPr>
          <w:p w14:paraId="19EFD372">
            <w:pPr>
              <w:pStyle w:val="24"/>
              <w:spacing w:line="240" w:lineRule="auto"/>
              <w:ind w:firstLine="0" w:firstLineChars="0"/>
              <w:jc w:val="both"/>
              <w:rPr>
                <w:rFonts w:ascii="Times New Roman" w:hAnsi="Times New Roman" w:eastAsia="宋体" w:cs="黑体"/>
                <w:color w:val="000000"/>
                <w:kern w:val="0"/>
                <w:sz w:val="21"/>
                <w:szCs w:val="21"/>
                <w:lang w:val="en-US" w:eastAsia="zh-CN" w:bidi="ar-SA"/>
              </w:rPr>
            </w:pPr>
            <w:r>
              <w:rPr>
                <w:color w:val="000000"/>
                <w:kern w:val="0"/>
              </w:rPr>
              <w:t>制定了年度节能</w:t>
            </w:r>
            <w:r>
              <w:rPr>
                <w:rFonts w:hint="eastAsia"/>
                <w:color w:val="000000"/>
                <w:kern w:val="0"/>
              </w:rPr>
              <w:t>降碳</w:t>
            </w:r>
            <w:r>
              <w:rPr>
                <w:color w:val="000000"/>
                <w:kern w:val="0"/>
              </w:rPr>
              <w:t>计划、目标和措施</w:t>
            </w:r>
          </w:p>
        </w:tc>
        <w:tc>
          <w:tcPr>
            <w:tcW w:w="1179" w:type="dxa"/>
            <w:tcBorders>
              <w:top w:val="nil"/>
              <w:left w:val="nil"/>
              <w:bottom w:val="single" w:color="auto" w:sz="8" w:space="0"/>
              <w:right w:val="single" w:color="auto" w:sz="8" w:space="0"/>
            </w:tcBorders>
            <w:vAlign w:val="center"/>
          </w:tcPr>
          <w:p w14:paraId="31CA7A22">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3C857968">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1C35FF25">
            <w:pPr>
              <w:pStyle w:val="24"/>
              <w:spacing w:line="240" w:lineRule="auto"/>
              <w:ind w:firstLine="0" w:firstLineChars="0"/>
              <w:rPr>
                <w:color w:val="000000"/>
                <w:kern w:val="0"/>
              </w:rPr>
            </w:pPr>
          </w:p>
        </w:tc>
      </w:tr>
      <w:tr w14:paraId="36C58C93">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791" w:type="dxa"/>
            <w:tcBorders>
              <w:top w:val="nil"/>
              <w:left w:val="single" w:color="auto" w:sz="8" w:space="0"/>
              <w:bottom w:val="single" w:color="auto" w:sz="8" w:space="0"/>
              <w:right w:val="single" w:color="auto" w:sz="8" w:space="0"/>
            </w:tcBorders>
            <w:vAlign w:val="center"/>
          </w:tcPr>
          <w:p w14:paraId="6C1A62FA">
            <w:pPr>
              <w:pStyle w:val="24"/>
              <w:spacing w:line="240" w:lineRule="auto"/>
              <w:ind w:firstLine="0" w:firstLineChars="0"/>
              <w:rPr>
                <w:color w:val="000000"/>
                <w:kern w:val="0"/>
              </w:rPr>
            </w:pPr>
            <w:r>
              <w:rPr>
                <w:rFonts w:hint="eastAsia"/>
                <w:color w:val="000000"/>
                <w:kern w:val="0"/>
              </w:rPr>
              <w:t>40</w:t>
            </w:r>
          </w:p>
        </w:tc>
        <w:tc>
          <w:tcPr>
            <w:tcW w:w="4189" w:type="dxa"/>
            <w:tcBorders>
              <w:top w:val="nil"/>
              <w:left w:val="nil"/>
              <w:bottom w:val="single" w:color="auto" w:sz="8" w:space="0"/>
              <w:right w:val="single" w:color="auto" w:sz="8" w:space="0"/>
            </w:tcBorders>
            <w:shd w:val="clear" w:color="auto" w:fill="auto"/>
            <w:vAlign w:val="center"/>
          </w:tcPr>
          <w:p w14:paraId="3FA5ECC8">
            <w:pPr>
              <w:pStyle w:val="24"/>
              <w:spacing w:line="240" w:lineRule="auto"/>
              <w:ind w:firstLine="0" w:firstLineChars="0"/>
              <w:jc w:val="both"/>
              <w:rPr>
                <w:rFonts w:ascii="Times New Roman" w:hAnsi="Times New Roman" w:eastAsia="宋体" w:cs="黑体"/>
                <w:color w:val="000000"/>
                <w:kern w:val="0"/>
                <w:sz w:val="21"/>
                <w:szCs w:val="21"/>
                <w:lang w:val="en-US" w:eastAsia="zh-CN" w:bidi="ar-SA"/>
              </w:rPr>
            </w:pPr>
            <w:r>
              <w:rPr>
                <w:color w:val="000000"/>
                <w:kern w:val="0"/>
              </w:rPr>
              <w:t>落实年度节能项目实施计划和措施</w:t>
            </w:r>
          </w:p>
        </w:tc>
        <w:tc>
          <w:tcPr>
            <w:tcW w:w="1179" w:type="dxa"/>
            <w:tcBorders>
              <w:top w:val="nil"/>
              <w:left w:val="nil"/>
              <w:bottom w:val="single" w:color="auto" w:sz="8" w:space="0"/>
              <w:right w:val="single" w:color="auto" w:sz="8" w:space="0"/>
            </w:tcBorders>
            <w:vAlign w:val="center"/>
          </w:tcPr>
          <w:p w14:paraId="75C304D6">
            <w:pPr>
              <w:pStyle w:val="24"/>
              <w:spacing w:line="240" w:lineRule="auto"/>
              <w:ind w:firstLine="0" w:firstLineChars="0"/>
              <w:rPr>
                <w:color w:val="000000"/>
                <w:kern w:val="0"/>
              </w:rPr>
            </w:pPr>
          </w:p>
        </w:tc>
        <w:tc>
          <w:tcPr>
            <w:tcW w:w="1179" w:type="dxa"/>
            <w:tcBorders>
              <w:top w:val="nil"/>
              <w:left w:val="nil"/>
              <w:bottom w:val="single" w:color="auto" w:sz="8" w:space="0"/>
              <w:right w:val="single" w:color="auto" w:sz="8" w:space="0"/>
            </w:tcBorders>
            <w:vAlign w:val="center"/>
          </w:tcPr>
          <w:p w14:paraId="6479F746">
            <w:pPr>
              <w:pStyle w:val="24"/>
              <w:spacing w:line="240" w:lineRule="auto"/>
              <w:ind w:firstLine="0" w:firstLineChars="0"/>
              <w:rPr>
                <w:color w:val="000000"/>
                <w:kern w:val="0"/>
              </w:rPr>
            </w:pPr>
          </w:p>
        </w:tc>
        <w:tc>
          <w:tcPr>
            <w:tcW w:w="1181" w:type="dxa"/>
            <w:tcBorders>
              <w:top w:val="nil"/>
              <w:left w:val="nil"/>
              <w:bottom w:val="single" w:color="auto" w:sz="8" w:space="0"/>
              <w:right w:val="single" w:color="auto" w:sz="8" w:space="0"/>
            </w:tcBorders>
            <w:vAlign w:val="center"/>
          </w:tcPr>
          <w:p w14:paraId="1B6DE5A1">
            <w:pPr>
              <w:pStyle w:val="24"/>
              <w:spacing w:line="240" w:lineRule="auto"/>
              <w:ind w:firstLine="0" w:firstLineChars="0"/>
              <w:rPr>
                <w:color w:val="000000"/>
                <w:kern w:val="0"/>
              </w:rPr>
            </w:pPr>
          </w:p>
        </w:tc>
      </w:tr>
    </w:tbl>
    <w:p w14:paraId="1970D318">
      <w:pPr>
        <w:pStyle w:val="4"/>
        <w:keepNext/>
        <w:keepLines/>
        <w:pageBreakBefore w:val="0"/>
        <w:widowControl w:val="0"/>
        <w:kinsoku/>
        <w:wordWrap/>
        <w:overflowPunct/>
        <w:topLinePunct w:val="0"/>
        <w:autoSpaceDE/>
        <w:autoSpaceDN/>
        <w:bidi w:val="0"/>
        <w:adjustRightInd w:val="0"/>
        <w:snapToGrid w:val="0"/>
        <w:spacing w:before="157" w:beforeLines="50" w:after="0" w:line="240" w:lineRule="auto"/>
        <w:ind w:firstLine="0" w:firstLineChars="0"/>
        <w:jc w:val="center"/>
        <w:textAlignment w:val="auto"/>
      </w:pPr>
      <w:r>
        <w:rPr>
          <w:rFonts w:hint="eastAsia"/>
        </w:rPr>
        <w:t>工作表</w:t>
      </w:r>
      <w:r>
        <w:rPr>
          <w:rFonts w:hint="eastAsia"/>
          <w:lang w:val="en-US" w:eastAsia="zh-CN"/>
        </w:rPr>
        <w:t>A.2</w:t>
      </w:r>
      <w:r>
        <w:rPr>
          <w:rFonts w:hint="eastAsia"/>
        </w:rPr>
        <w:t xml:space="preserve"> 技术工艺现场考察表</w:t>
      </w:r>
    </w:p>
    <w:tbl>
      <w:tblPr>
        <w:tblStyle w:val="11"/>
        <w:tblW w:w="8519" w:type="dxa"/>
        <w:tblInd w:w="0" w:type="dxa"/>
        <w:tblLayout w:type="fixed"/>
        <w:tblCellMar>
          <w:top w:w="0" w:type="dxa"/>
          <w:left w:w="108" w:type="dxa"/>
          <w:bottom w:w="0" w:type="dxa"/>
          <w:right w:w="108" w:type="dxa"/>
        </w:tblCellMar>
      </w:tblPr>
      <w:tblGrid>
        <w:gridCol w:w="729"/>
        <w:gridCol w:w="4096"/>
        <w:gridCol w:w="1231"/>
        <w:gridCol w:w="1231"/>
        <w:gridCol w:w="1232"/>
      </w:tblGrid>
      <w:tr w14:paraId="204CAE5A">
        <w:tblPrEx>
          <w:tblCellMar>
            <w:top w:w="0" w:type="dxa"/>
            <w:left w:w="108" w:type="dxa"/>
            <w:bottom w:w="0" w:type="dxa"/>
            <w:right w:w="108" w:type="dxa"/>
          </w:tblCellMar>
        </w:tblPrEx>
        <w:trPr>
          <w:trHeight w:val="283" w:hRule="atLeast"/>
          <w:tblHeader/>
        </w:trPr>
        <w:tc>
          <w:tcPr>
            <w:tcW w:w="729" w:type="dxa"/>
            <w:vMerge w:val="restart"/>
            <w:tcBorders>
              <w:top w:val="single" w:color="auto" w:sz="8" w:space="0"/>
              <w:left w:val="single" w:color="auto" w:sz="8" w:space="0"/>
              <w:right w:val="single" w:color="auto" w:sz="8" w:space="0"/>
            </w:tcBorders>
            <w:vAlign w:val="center"/>
          </w:tcPr>
          <w:p w14:paraId="35CBFCA1">
            <w:pPr>
              <w:pStyle w:val="24"/>
              <w:spacing w:line="240" w:lineRule="auto"/>
              <w:ind w:firstLine="0" w:firstLineChars="0"/>
              <w:rPr>
                <w:b/>
                <w:color w:val="000000"/>
                <w:kern w:val="0"/>
              </w:rPr>
            </w:pPr>
            <w:r>
              <w:rPr>
                <w:b/>
                <w:color w:val="000000"/>
                <w:kern w:val="0"/>
              </w:rPr>
              <w:t>序号</w:t>
            </w:r>
          </w:p>
        </w:tc>
        <w:tc>
          <w:tcPr>
            <w:tcW w:w="4096" w:type="dxa"/>
            <w:vMerge w:val="restart"/>
            <w:tcBorders>
              <w:top w:val="single" w:color="auto" w:sz="8" w:space="0"/>
              <w:left w:val="nil"/>
              <w:right w:val="single" w:color="auto" w:sz="8" w:space="0"/>
            </w:tcBorders>
            <w:vAlign w:val="center"/>
          </w:tcPr>
          <w:p w14:paraId="5DAC3829">
            <w:pPr>
              <w:pStyle w:val="24"/>
              <w:spacing w:line="240" w:lineRule="auto"/>
              <w:ind w:firstLine="0" w:firstLineChars="0"/>
              <w:rPr>
                <w:b/>
                <w:color w:val="000000"/>
                <w:kern w:val="0"/>
              </w:rPr>
            </w:pPr>
            <w:r>
              <w:rPr>
                <w:b/>
                <w:color w:val="000000"/>
                <w:kern w:val="0"/>
              </w:rPr>
              <w:t>调查项目</w:t>
            </w:r>
          </w:p>
        </w:tc>
        <w:tc>
          <w:tcPr>
            <w:tcW w:w="3694" w:type="dxa"/>
            <w:gridSpan w:val="3"/>
            <w:tcBorders>
              <w:top w:val="single" w:color="auto" w:sz="8" w:space="0"/>
              <w:left w:val="nil"/>
              <w:bottom w:val="single" w:color="auto" w:sz="8" w:space="0"/>
              <w:right w:val="single" w:color="auto" w:sz="8" w:space="0"/>
            </w:tcBorders>
            <w:vAlign w:val="center"/>
          </w:tcPr>
          <w:p w14:paraId="5022B335">
            <w:pPr>
              <w:pStyle w:val="24"/>
              <w:spacing w:line="240" w:lineRule="auto"/>
              <w:ind w:firstLine="0" w:firstLineChars="0"/>
              <w:rPr>
                <w:b/>
                <w:color w:val="000000"/>
                <w:kern w:val="0"/>
              </w:rPr>
            </w:pPr>
            <w:r>
              <w:rPr>
                <w:b/>
                <w:color w:val="000000"/>
                <w:kern w:val="0"/>
              </w:rPr>
              <w:t>企业现状</w:t>
            </w:r>
          </w:p>
        </w:tc>
      </w:tr>
      <w:tr w14:paraId="0BC28AB7">
        <w:tblPrEx>
          <w:tblCellMar>
            <w:top w:w="0" w:type="dxa"/>
            <w:left w:w="108" w:type="dxa"/>
            <w:bottom w:w="0" w:type="dxa"/>
            <w:right w:w="108" w:type="dxa"/>
          </w:tblCellMar>
        </w:tblPrEx>
        <w:trPr>
          <w:trHeight w:val="283" w:hRule="atLeast"/>
          <w:tblHeader/>
        </w:trPr>
        <w:tc>
          <w:tcPr>
            <w:tcW w:w="729" w:type="dxa"/>
            <w:vMerge w:val="continue"/>
            <w:tcBorders>
              <w:left w:val="single" w:color="auto" w:sz="8" w:space="0"/>
              <w:bottom w:val="single" w:color="auto" w:sz="8" w:space="0"/>
              <w:right w:val="single" w:color="auto" w:sz="8" w:space="0"/>
            </w:tcBorders>
            <w:vAlign w:val="center"/>
          </w:tcPr>
          <w:p w14:paraId="6EC00E13">
            <w:pPr>
              <w:pStyle w:val="24"/>
              <w:spacing w:line="240" w:lineRule="auto"/>
              <w:ind w:firstLine="0" w:firstLineChars="0"/>
              <w:rPr>
                <w:b/>
                <w:color w:val="000000"/>
                <w:kern w:val="0"/>
              </w:rPr>
            </w:pPr>
          </w:p>
        </w:tc>
        <w:tc>
          <w:tcPr>
            <w:tcW w:w="4096" w:type="dxa"/>
            <w:vMerge w:val="continue"/>
            <w:tcBorders>
              <w:left w:val="nil"/>
              <w:bottom w:val="single" w:color="auto" w:sz="8" w:space="0"/>
              <w:right w:val="single" w:color="auto" w:sz="8" w:space="0"/>
            </w:tcBorders>
            <w:vAlign w:val="center"/>
          </w:tcPr>
          <w:p w14:paraId="48296B19">
            <w:pPr>
              <w:pStyle w:val="24"/>
              <w:spacing w:line="240" w:lineRule="auto"/>
              <w:ind w:firstLine="0" w:firstLineChars="0"/>
              <w:rPr>
                <w:b/>
                <w:color w:val="000000"/>
                <w:kern w:val="0"/>
              </w:rPr>
            </w:pPr>
          </w:p>
        </w:tc>
        <w:tc>
          <w:tcPr>
            <w:tcW w:w="1231" w:type="dxa"/>
            <w:tcBorders>
              <w:top w:val="single" w:color="auto" w:sz="8" w:space="0"/>
              <w:left w:val="nil"/>
              <w:bottom w:val="single" w:color="auto" w:sz="8" w:space="0"/>
              <w:right w:val="single" w:color="auto" w:sz="8" w:space="0"/>
            </w:tcBorders>
            <w:vAlign w:val="center"/>
          </w:tcPr>
          <w:p w14:paraId="3C50B66C">
            <w:pPr>
              <w:pStyle w:val="24"/>
              <w:spacing w:line="240" w:lineRule="auto"/>
              <w:ind w:firstLine="0" w:firstLineChars="0"/>
              <w:rPr>
                <w:b/>
                <w:color w:val="000000"/>
                <w:kern w:val="0"/>
              </w:rPr>
            </w:pPr>
            <w:r>
              <w:rPr>
                <w:b/>
                <w:color w:val="000000"/>
                <w:kern w:val="0"/>
              </w:rPr>
              <w:t>有/是</w:t>
            </w:r>
          </w:p>
        </w:tc>
        <w:tc>
          <w:tcPr>
            <w:tcW w:w="1231" w:type="dxa"/>
            <w:tcBorders>
              <w:top w:val="single" w:color="auto" w:sz="8" w:space="0"/>
              <w:left w:val="nil"/>
              <w:bottom w:val="single" w:color="auto" w:sz="8" w:space="0"/>
              <w:right w:val="single" w:color="auto" w:sz="8" w:space="0"/>
            </w:tcBorders>
            <w:vAlign w:val="center"/>
          </w:tcPr>
          <w:p w14:paraId="3C8F9445">
            <w:pPr>
              <w:pStyle w:val="24"/>
              <w:spacing w:line="240" w:lineRule="auto"/>
              <w:ind w:firstLine="0" w:firstLineChars="0"/>
              <w:rPr>
                <w:b/>
                <w:color w:val="000000"/>
                <w:kern w:val="0"/>
              </w:rPr>
            </w:pPr>
            <w:r>
              <w:rPr>
                <w:b/>
                <w:color w:val="000000"/>
                <w:kern w:val="0"/>
              </w:rPr>
              <w:t>无/不是</w:t>
            </w:r>
          </w:p>
        </w:tc>
        <w:tc>
          <w:tcPr>
            <w:tcW w:w="1232" w:type="dxa"/>
            <w:tcBorders>
              <w:top w:val="single" w:color="auto" w:sz="8" w:space="0"/>
              <w:left w:val="nil"/>
              <w:bottom w:val="single" w:color="auto" w:sz="8" w:space="0"/>
              <w:right w:val="single" w:color="auto" w:sz="8" w:space="0"/>
            </w:tcBorders>
            <w:vAlign w:val="center"/>
          </w:tcPr>
          <w:p w14:paraId="5D08D99B">
            <w:pPr>
              <w:pStyle w:val="24"/>
              <w:spacing w:line="240" w:lineRule="auto"/>
              <w:ind w:firstLine="0" w:firstLineChars="0"/>
              <w:rPr>
                <w:b/>
                <w:color w:val="000000"/>
                <w:kern w:val="0"/>
              </w:rPr>
            </w:pPr>
            <w:r>
              <w:rPr>
                <w:b/>
                <w:color w:val="000000"/>
                <w:kern w:val="0"/>
              </w:rPr>
              <w:t>不适合</w:t>
            </w:r>
          </w:p>
        </w:tc>
      </w:tr>
      <w:tr w14:paraId="1309BBCF">
        <w:tblPrEx>
          <w:tblCellMar>
            <w:top w:w="0" w:type="dxa"/>
            <w:left w:w="108" w:type="dxa"/>
            <w:bottom w:w="0" w:type="dxa"/>
            <w:right w:w="108" w:type="dxa"/>
          </w:tblCellMar>
        </w:tblPrEx>
        <w:trPr>
          <w:trHeight w:val="283" w:hRule="atLeast"/>
        </w:trPr>
        <w:tc>
          <w:tcPr>
            <w:tcW w:w="729" w:type="dxa"/>
            <w:tcBorders>
              <w:top w:val="nil"/>
              <w:left w:val="single" w:color="auto" w:sz="8" w:space="0"/>
              <w:bottom w:val="single" w:color="auto" w:sz="8" w:space="0"/>
              <w:right w:val="single" w:color="auto" w:sz="8" w:space="0"/>
            </w:tcBorders>
            <w:vAlign w:val="center"/>
          </w:tcPr>
          <w:p w14:paraId="57C07ACB">
            <w:pPr>
              <w:pStyle w:val="24"/>
              <w:spacing w:line="240" w:lineRule="auto"/>
              <w:ind w:firstLine="0" w:firstLineChars="0"/>
              <w:rPr>
                <w:color w:val="000000"/>
                <w:kern w:val="0"/>
              </w:rPr>
            </w:pPr>
            <w:r>
              <w:rPr>
                <w:color w:val="000000"/>
                <w:kern w:val="0"/>
              </w:rPr>
              <w:t>1</w:t>
            </w:r>
          </w:p>
        </w:tc>
        <w:tc>
          <w:tcPr>
            <w:tcW w:w="4096" w:type="dxa"/>
            <w:tcBorders>
              <w:top w:val="nil"/>
              <w:left w:val="nil"/>
              <w:bottom w:val="single" w:color="auto" w:sz="8" w:space="0"/>
              <w:right w:val="single" w:color="auto" w:sz="8" w:space="0"/>
            </w:tcBorders>
            <w:vAlign w:val="center"/>
          </w:tcPr>
          <w:p w14:paraId="62EB77C4">
            <w:pPr>
              <w:pStyle w:val="24"/>
              <w:spacing w:line="240" w:lineRule="auto"/>
              <w:ind w:firstLine="0" w:firstLineChars="0"/>
              <w:jc w:val="both"/>
              <w:rPr>
                <w:color w:val="000000"/>
                <w:kern w:val="0"/>
              </w:rPr>
            </w:pPr>
            <w:r>
              <w:rPr>
                <w:color w:val="000000"/>
                <w:kern w:val="0"/>
              </w:rPr>
              <w:t>建立了工艺研发、升级改造机制</w:t>
            </w:r>
          </w:p>
        </w:tc>
        <w:tc>
          <w:tcPr>
            <w:tcW w:w="1231" w:type="dxa"/>
            <w:tcBorders>
              <w:top w:val="nil"/>
              <w:left w:val="nil"/>
              <w:bottom w:val="single" w:color="auto" w:sz="8" w:space="0"/>
              <w:right w:val="single" w:color="auto" w:sz="8" w:space="0"/>
            </w:tcBorders>
            <w:vAlign w:val="center"/>
          </w:tcPr>
          <w:p w14:paraId="70767A60">
            <w:pPr>
              <w:pStyle w:val="24"/>
              <w:spacing w:line="240" w:lineRule="auto"/>
              <w:ind w:firstLine="0" w:firstLineChars="0"/>
              <w:rPr>
                <w:color w:val="000000"/>
                <w:kern w:val="0"/>
              </w:rPr>
            </w:pPr>
          </w:p>
        </w:tc>
        <w:tc>
          <w:tcPr>
            <w:tcW w:w="1231" w:type="dxa"/>
            <w:tcBorders>
              <w:top w:val="nil"/>
              <w:left w:val="nil"/>
              <w:bottom w:val="single" w:color="auto" w:sz="8" w:space="0"/>
              <w:right w:val="single" w:color="auto" w:sz="8" w:space="0"/>
            </w:tcBorders>
            <w:vAlign w:val="center"/>
          </w:tcPr>
          <w:p w14:paraId="7F1B81A8">
            <w:pPr>
              <w:pStyle w:val="24"/>
              <w:spacing w:line="240" w:lineRule="auto"/>
              <w:ind w:firstLine="0" w:firstLineChars="0"/>
              <w:rPr>
                <w:color w:val="000000"/>
                <w:kern w:val="0"/>
              </w:rPr>
            </w:pPr>
          </w:p>
        </w:tc>
        <w:tc>
          <w:tcPr>
            <w:tcW w:w="1232" w:type="dxa"/>
            <w:tcBorders>
              <w:top w:val="nil"/>
              <w:left w:val="nil"/>
              <w:bottom w:val="single" w:color="auto" w:sz="8" w:space="0"/>
              <w:right w:val="single" w:color="auto" w:sz="8" w:space="0"/>
            </w:tcBorders>
            <w:vAlign w:val="center"/>
          </w:tcPr>
          <w:p w14:paraId="29547C11">
            <w:pPr>
              <w:pStyle w:val="24"/>
              <w:spacing w:line="240" w:lineRule="auto"/>
              <w:ind w:firstLine="0" w:firstLineChars="0"/>
              <w:rPr>
                <w:color w:val="000000"/>
                <w:kern w:val="0"/>
              </w:rPr>
            </w:pPr>
          </w:p>
        </w:tc>
      </w:tr>
      <w:tr w14:paraId="056EF765">
        <w:tblPrEx>
          <w:tblCellMar>
            <w:top w:w="0" w:type="dxa"/>
            <w:left w:w="108" w:type="dxa"/>
            <w:bottom w:w="0" w:type="dxa"/>
            <w:right w:w="108" w:type="dxa"/>
          </w:tblCellMar>
        </w:tblPrEx>
        <w:trPr>
          <w:trHeight w:val="283" w:hRule="atLeast"/>
        </w:trPr>
        <w:tc>
          <w:tcPr>
            <w:tcW w:w="729" w:type="dxa"/>
            <w:tcBorders>
              <w:top w:val="nil"/>
              <w:left w:val="single" w:color="auto" w:sz="8" w:space="0"/>
              <w:bottom w:val="single" w:color="auto" w:sz="8" w:space="0"/>
              <w:right w:val="single" w:color="auto" w:sz="8" w:space="0"/>
            </w:tcBorders>
            <w:vAlign w:val="center"/>
          </w:tcPr>
          <w:p w14:paraId="01E72467">
            <w:pPr>
              <w:pStyle w:val="24"/>
              <w:spacing w:line="240" w:lineRule="auto"/>
              <w:ind w:firstLine="0" w:firstLineChars="0"/>
              <w:rPr>
                <w:color w:val="000000"/>
                <w:kern w:val="0"/>
              </w:rPr>
            </w:pPr>
            <w:r>
              <w:rPr>
                <w:color w:val="000000"/>
                <w:kern w:val="0"/>
              </w:rPr>
              <w:t>2</w:t>
            </w:r>
          </w:p>
        </w:tc>
        <w:tc>
          <w:tcPr>
            <w:tcW w:w="4096" w:type="dxa"/>
            <w:tcBorders>
              <w:top w:val="nil"/>
              <w:left w:val="nil"/>
              <w:bottom w:val="single" w:color="auto" w:sz="8" w:space="0"/>
              <w:right w:val="single" w:color="auto" w:sz="8" w:space="0"/>
            </w:tcBorders>
            <w:vAlign w:val="center"/>
          </w:tcPr>
          <w:p w14:paraId="404A933F">
            <w:pPr>
              <w:pStyle w:val="24"/>
              <w:spacing w:line="240" w:lineRule="auto"/>
              <w:ind w:firstLine="0" w:firstLineChars="0"/>
              <w:jc w:val="both"/>
              <w:rPr>
                <w:color w:val="000000"/>
                <w:kern w:val="0"/>
              </w:rPr>
            </w:pPr>
            <w:r>
              <w:rPr>
                <w:color w:val="000000"/>
                <w:kern w:val="0"/>
              </w:rPr>
              <w:t>主要生产工艺都有操作说明或规定</w:t>
            </w:r>
          </w:p>
        </w:tc>
        <w:tc>
          <w:tcPr>
            <w:tcW w:w="1231" w:type="dxa"/>
            <w:tcBorders>
              <w:top w:val="nil"/>
              <w:left w:val="nil"/>
              <w:bottom w:val="single" w:color="auto" w:sz="8" w:space="0"/>
              <w:right w:val="single" w:color="auto" w:sz="8" w:space="0"/>
            </w:tcBorders>
            <w:vAlign w:val="center"/>
          </w:tcPr>
          <w:p w14:paraId="5B660A26">
            <w:pPr>
              <w:pStyle w:val="24"/>
              <w:spacing w:line="240" w:lineRule="auto"/>
              <w:ind w:firstLine="0" w:firstLineChars="0"/>
              <w:rPr>
                <w:color w:val="000000"/>
                <w:kern w:val="0"/>
              </w:rPr>
            </w:pPr>
          </w:p>
        </w:tc>
        <w:tc>
          <w:tcPr>
            <w:tcW w:w="1231" w:type="dxa"/>
            <w:tcBorders>
              <w:top w:val="nil"/>
              <w:left w:val="nil"/>
              <w:bottom w:val="single" w:color="auto" w:sz="8" w:space="0"/>
              <w:right w:val="single" w:color="auto" w:sz="8" w:space="0"/>
            </w:tcBorders>
            <w:vAlign w:val="center"/>
          </w:tcPr>
          <w:p w14:paraId="47962749">
            <w:pPr>
              <w:pStyle w:val="24"/>
              <w:spacing w:line="240" w:lineRule="auto"/>
              <w:ind w:firstLine="0" w:firstLineChars="0"/>
              <w:rPr>
                <w:color w:val="000000"/>
                <w:kern w:val="0"/>
              </w:rPr>
            </w:pPr>
          </w:p>
        </w:tc>
        <w:tc>
          <w:tcPr>
            <w:tcW w:w="1232" w:type="dxa"/>
            <w:tcBorders>
              <w:top w:val="nil"/>
              <w:left w:val="nil"/>
              <w:bottom w:val="single" w:color="auto" w:sz="8" w:space="0"/>
              <w:right w:val="single" w:color="auto" w:sz="8" w:space="0"/>
            </w:tcBorders>
            <w:vAlign w:val="center"/>
          </w:tcPr>
          <w:p w14:paraId="72C4E745">
            <w:pPr>
              <w:pStyle w:val="24"/>
              <w:spacing w:line="240" w:lineRule="auto"/>
              <w:ind w:firstLine="0" w:firstLineChars="0"/>
              <w:rPr>
                <w:color w:val="000000"/>
                <w:kern w:val="0"/>
              </w:rPr>
            </w:pPr>
          </w:p>
        </w:tc>
      </w:tr>
      <w:tr w14:paraId="39333E2E">
        <w:tblPrEx>
          <w:tblCellMar>
            <w:top w:w="0" w:type="dxa"/>
            <w:left w:w="108" w:type="dxa"/>
            <w:bottom w:w="0" w:type="dxa"/>
            <w:right w:w="108" w:type="dxa"/>
          </w:tblCellMar>
        </w:tblPrEx>
        <w:trPr>
          <w:trHeight w:val="283" w:hRule="atLeast"/>
        </w:trPr>
        <w:tc>
          <w:tcPr>
            <w:tcW w:w="729" w:type="dxa"/>
            <w:tcBorders>
              <w:top w:val="nil"/>
              <w:left w:val="single" w:color="auto" w:sz="8" w:space="0"/>
              <w:bottom w:val="single" w:color="auto" w:sz="8" w:space="0"/>
              <w:right w:val="single" w:color="auto" w:sz="8" w:space="0"/>
            </w:tcBorders>
            <w:vAlign w:val="center"/>
          </w:tcPr>
          <w:p w14:paraId="43FEC2BF">
            <w:pPr>
              <w:pStyle w:val="24"/>
              <w:spacing w:line="240" w:lineRule="auto"/>
              <w:ind w:firstLine="0" w:firstLineChars="0"/>
              <w:rPr>
                <w:color w:val="000000"/>
                <w:kern w:val="0"/>
              </w:rPr>
            </w:pPr>
            <w:r>
              <w:rPr>
                <w:color w:val="000000"/>
                <w:kern w:val="0"/>
              </w:rPr>
              <w:t>3</w:t>
            </w:r>
          </w:p>
        </w:tc>
        <w:tc>
          <w:tcPr>
            <w:tcW w:w="4096" w:type="dxa"/>
            <w:tcBorders>
              <w:top w:val="nil"/>
              <w:left w:val="nil"/>
              <w:bottom w:val="single" w:color="auto" w:sz="8" w:space="0"/>
              <w:right w:val="single" w:color="auto" w:sz="8" w:space="0"/>
            </w:tcBorders>
            <w:vAlign w:val="center"/>
          </w:tcPr>
          <w:p w14:paraId="2C98E54C">
            <w:pPr>
              <w:pStyle w:val="24"/>
              <w:spacing w:line="240" w:lineRule="auto"/>
              <w:ind w:firstLine="0" w:firstLineChars="0"/>
              <w:jc w:val="both"/>
              <w:rPr>
                <w:color w:val="000000"/>
                <w:kern w:val="0"/>
              </w:rPr>
            </w:pPr>
            <w:r>
              <w:rPr>
                <w:color w:val="000000"/>
                <w:kern w:val="0"/>
              </w:rPr>
              <w:t>工艺导入时考虑了污染物的产生和控制</w:t>
            </w:r>
          </w:p>
        </w:tc>
        <w:tc>
          <w:tcPr>
            <w:tcW w:w="1231" w:type="dxa"/>
            <w:tcBorders>
              <w:top w:val="nil"/>
              <w:left w:val="nil"/>
              <w:bottom w:val="single" w:color="auto" w:sz="8" w:space="0"/>
              <w:right w:val="single" w:color="auto" w:sz="8" w:space="0"/>
            </w:tcBorders>
            <w:vAlign w:val="center"/>
          </w:tcPr>
          <w:p w14:paraId="46078F59">
            <w:pPr>
              <w:pStyle w:val="24"/>
              <w:spacing w:line="240" w:lineRule="auto"/>
              <w:ind w:firstLine="0" w:firstLineChars="0"/>
              <w:rPr>
                <w:color w:val="000000"/>
                <w:kern w:val="0"/>
              </w:rPr>
            </w:pPr>
          </w:p>
        </w:tc>
        <w:tc>
          <w:tcPr>
            <w:tcW w:w="1231" w:type="dxa"/>
            <w:tcBorders>
              <w:top w:val="nil"/>
              <w:left w:val="nil"/>
              <w:bottom w:val="single" w:color="auto" w:sz="8" w:space="0"/>
              <w:right w:val="single" w:color="auto" w:sz="8" w:space="0"/>
            </w:tcBorders>
            <w:vAlign w:val="center"/>
          </w:tcPr>
          <w:p w14:paraId="06339F7E">
            <w:pPr>
              <w:pStyle w:val="24"/>
              <w:spacing w:line="240" w:lineRule="auto"/>
              <w:ind w:firstLine="0" w:firstLineChars="0"/>
              <w:rPr>
                <w:color w:val="000000"/>
                <w:kern w:val="0"/>
              </w:rPr>
            </w:pPr>
          </w:p>
        </w:tc>
        <w:tc>
          <w:tcPr>
            <w:tcW w:w="1232" w:type="dxa"/>
            <w:tcBorders>
              <w:top w:val="nil"/>
              <w:left w:val="nil"/>
              <w:bottom w:val="single" w:color="auto" w:sz="8" w:space="0"/>
              <w:right w:val="single" w:color="auto" w:sz="8" w:space="0"/>
            </w:tcBorders>
            <w:vAlign w:val="center"/>
          </w:tcPr>
          <w:p w14:paraId="446CB662">
            <w:pPr>
              <w:pStyle w:val="24"/>
              <w:spacing w:line="240" w:lineRule="auto"/>
              <w:ind w:firstLine="0" w:firstLineChars="0"/>
              <w:rPr>
                <w:color w:val="000000"/>
                <w:kern w:val="0"/>
              </w:rPr>
            </w:pPr>
          </w:p>
        </w:tc>
      </w:tr>
      <w:tr w14:paraId="25FC3A5C">
        <w:tblPrEx>
          <w:tblCellMar>
            <w:top w:w="0" w:type="dxa"/>
            <w:left w:w="108" w:type="dxa"/>
            <w:bottom w:w="0" w:type="dxa"/>
            <w:right w:w="108" w:type="dxa"/>
          </w:tblCellMar>
        </w:tblPrEx>
        <w:trPr>
          <w:trHeight w:val="283" w:hRule="atLeast"/>
        </w:trPr>
        <w:tc>
          <w:tcPr>
            <w:tcW w:w="729" w:type="dxa"/>
            <w:tcBorders>
              <w:top w:val="nil"/>
              <w:left w:val="single" w:color="auto" w:sz="8" w:space="0"/>
              <w:bottom w:val="single" w:color="auto" w:sz="8" w:space="0"/>
              <w:right w:val="single" w:color="auto" w:sz="8" w:space="0"/>
            </w:tcBorders>
            <w:vAlign w:val="center"/>
          </w:tcPr>
          <w:p w14:paraId="5971FF12">
            <w:pPr>
              <w:pStyle w:val="24"/>
              <w:spacing w:line="240" w:lineRule="auto"/>
              <w:ind w:firstLine="0" w:firstLineChars="0"/>
              <w:rPr>
                <w:color w:val="000000"/>
                <w:kern w:val="0"/>
              </w:rPr>
            </w:pPr>
            <w:r>
              <w:rPr>
                <w:color w:val="000000"/>
                <w:kern w:val="0"/>
              </w:rPr>
              <w:t>4</w:t>
            </w:r>
          </w:p>
        </w:tc>
        <w:tc>
          <w:tcPr>
            <w:tcW w:w="4096" w:type="dxa"/>
            <w:tcBorders>
              <w:top w:val="nil"/>
              <w:left w:val="nil"/>
              <w:bottom w:val="single" w:color="auto" w:sz="8" w:space="0"/>
              <w:right w:val="single" w:color="auto" w:sz="8" w:space="0"/>
            </w:tcBorders>
            <w:vAlign w:val="center"/>
          </w:tcPr>
          <w:p w14:paraId="0CF0D035">
            <w:pPr>
              <w:pStyle w:val="24"/>
              <w:spacing w:line="240" w:lineRule="auto"/>
              <w:ind w:firstLine="0" w:firstLineChars="0"/>
              <w:jc w:val="both"/>
              <w:rPr>
                <w:color w:val="000000"/>
                <w:kern w:val="0"/>
              </w:rPr>
            </w:pPr>
            <w:r>
              <w:rPr>
                <w:color w:val="000000"/>
                <w:kern w:val="0"/>
              </w:rPr>
              <w:t>工艺导入时考虑了废水综合利用</w:t>
            </w:r>
          </w:p>
        </w:tc>
        <w:tc>
          <w:tcPr>
            <w:tcW w:w="1231" w:type="dxa"/>
            <w:tcBorders>
              <w:top w:val="nil"/>
              <w:left w:val="nil"/>
              <w:bottom w:val="single" w:color="auto" w:sz="8" w:space="0"/>
              <w:right w:val="single" w:color="auto" w:sz="8" w:space="0"/>
            </w:tcBorders>
            <w:vAlign w:val="center"/>
          </w:tcPr>
          <w:p w14:paraId="3B5701F7">
            <w:pPr>
              <w:pStyle w:val="24"/>
              <w:spacing w:line="240" w:lineRule="auto"/>
              <w:ind w:firstLine="0" w:firstLineChars="0"/>
              <w:rPr>
                <w:color w:val="000000"/>
                <w:kern w:val="0"/>
              </w:rPr>
            </w:pPr>
          </w:p>
        </w:tc>
        <w:tc>
          <w:tcPr>
            <w:tcW w:w="1231" w:type="dxa"/>
            <w:tcBorders>
              <w:top w:val="nil"/>
              <w:left w:val="nil"/>
              <w:bottom w:val="single" w:color="auto" w:sz="8" w:space="0"/>
              <w:right w:val="single" w:color="auto" w:sz="8" w:space="0"/>
            </w:tcBorders>
            <w:vAlign w:val="center"/>
          </w:tcPr>
          <w:p w14:paraId="79D22665">
            <w:pPr>
              <w:pStyle w:val="24"/>
              <w:spacing w:line="240" w:lineRule="auto"/>
              <w:ind w:firstLine="0" w:firstLineChars="0"/>
              <w:rPr>
                <w:color w:val="000000"/>
                <w:kern w:val="0"/>
              </w:rPr>
            </w:pPr>
          </w:p>
        </w:tc>
        <w:tc>
          <w:tcPr>
            <w:tcW w:w="1232" w:type="dxa"/>
            <w:tcBorders>
              <w:top w:val="nil"/>
              <w:left w:val="nil"/>
              <w:bottom w:val="single" w:color="auto" w:sz="8" w:space="0"/>
              <w:right w:val="single" w:color="auto" w:sz="8" w:space="0"/>
            </w:tcBorders>
            <w:vAlign w:val="center"/>
          </w:tcPr>
          <w:p w14:paraId="5B58D068">
            <w:pPr>
              <w:pStyle w:val="24"/>
              <w:spacing w:line="240" w:lineRule="auto"/>
              <w:ind w:firstLine="0" w:firstLineChars="0"/>
              <w:rPr>
                <w:color w:val="000000"/>
                <w:kern w:val="0"/>
              </w:rPr>
            </w:pPr>
          </w:p>
        </w:tc>
      </w:tr>
      <w:tr w14:paraId="26ABC7E6">
        <w:tblPrEx>
          <w:tblCellMar>
            <w:top w:w="0" w:type="dxa"/>
            <w:left w:w="108" w:type="dxa"/>
            <w:bottom w:w="0" w:type="dxa"/>
            <w:right w:w="108" w:type="dxa"/>
          </w:tblCellMar>
        </w:tblPrEx>
        <w:trPr>
          <w:trHeight w:val="283" w:hRule="atLeast"/>
        </w:trPr>
        <w:tc>
          <w:tcPr>
            <w:tcW w:w="729" w:type="dxa"/>
            <w:tcBorders>
              <w:top w:val="nil"/>
              <w:left w:val="single" w:color="auto" w:sz="8" w:space="0"/>
              <w:bottom w:val="single" w:color="auto" w:sz="8" w:space="0"/>
              <w:right w:val="single" w:color="auto" w:sz="8" w:space="0"/>
            </w:tcBorders>
            <w:vAlign w:val="center"/>
          </w:tcPr>
          <w:p w14:paraId="3033ECBE">
            <w:pPr>
              <w:pStyle w:val="24"/>
              <w:spacing w:line="240" w:lineRule="auto"/>
              <w:ind w:firstLine="0" w:firstLineChars="0"/>
              <w:rPr>
                <w:color w:val="000000"/>
                <w:kern w:val="0"/>
              </w:rPr>
            </w:pPr>
            <w:r>
              <w:rPr>
                <w:color w:val="000000"/>
                <w:kern w:val="0"/>
              </w:rPr>
              <w:t>5</w:t>
            </w:r>
          </w:p>
        </w:tc>
        <w:tc>
          <w:tcPr>
            <w:tcW w:w="4096" w:type="dxa"/>
            <w:tcBorders>
              <w:top w:val="nil"/>
              <w:left w:val="nil"/>
              <w:bottom w:val="single" w:color="auto" w:sz="8" w:space="0"/>
              <w:right w:val="single" w:color="auto" w:sz="8" w:space="0"/>
            </w:tcBorders>
            <w:vAlign w:val="center"/>
          </w:tcPr>
          <w:p w14:paraId="76EEB76D">
            <w:pPr>
              <w:pStyle w:val="24"/>
              <w:spacing w:line="240" w:lineRule="auto"/>
              <w:ind w:firstLine="0" w:firstLineChars="0"/>
              <w:jc w:val="both"/>
              <w:rPr>
                <w:color w:val="000000"/>
                <w:kern w:val="0"/>
              </w:rPr>
            </w:pPr>
            <w:r>
              <w:rPr>
                <w:color w:val="000000"/>
                <w:kern w:val="0"/>
              </w:rPr>
              <w:t>制定工艺时考虑了</w:t>
            </w:r>
            <w:r>
              <w:rPr>
                <w:rFonts w:hint="eastAsia"/>
                <w:color w:val="000000"/>
                <w:kern w:val="0"/>
              </w:rPr>
              <w:t>提高</w:t>
            </w:r>
            <w:r>
              <w:rPr>
                <w:color w:val="000000"/>
                <w:kern w:val="0"/>
              </w:rPr>
              <w:t>资源</w:t>
            </w:r>
            <w:r>
              <w:rPr>
                <w:rFonts w:hint="eastAsia"/>
                <w:color w:val="000000"/>
                <w:kern w:val="0"/>
              </w:rPr>
              <w:t>利用效率及</w:t>
            </w:r>
            <w:r>
              <w:rPr>
                <w:color w:val="000000"/>
                <w:kern w:val="0"/>
              </w:rPr>
              <w:t>循环利用的情况</w:t>
            </w:r>
          </w:p>
        </w:tc>
        <w:tc>
          <w:tcPr>
            <w:tcW w:w="1231" w:type="dxa"/>
            <w:tcBorders>
              <w:top w:val="nil"/>
              <w:left w:val="nil"/>
              <w:bottom w:val="single" w:color="auto" w:sz="8" w:space="0"/>
              <w:right w:val="single" w:color="auto" w:sz="8" w:space="0"/>
            </w:tcBorders>
            <w:vAlign w:val="center"/>
          </w:tcPr>
          <w:p w14:paraId="7A2FACCC">
            <w:pPr>
              <w:pStyle w:val="24"/>
              <w:spacing w:line="240" w:lineRule="auto"/>
              <w:ind w:firstLine="0" w:firstLineChars="0"/>
              <w:rPr>
                <w:color w:val="000000"/>
                <w:kern w:val="0"/>
              </w:rPr>
            </w:pPr>
          </w:p>
        </w:tc>
        <w:tc>
          <w:tcPr>
            <w:tcW w:w="1231" w:type="dxa"/>
            <w:tcBorders>
              <w:top w:val="nil"/>
              <w:left w:val="nil"/>
              <w:bottom w:val="single" w:color="auto" w:sz="8" w:space="0"/>
              <w:right w:val="single" w:color="auto" w:sz="8" w:space="0"/>
            </w:tcBorders>
            <w:vAlign w:val="center"/>
          </w:tcPr>
          <w:p w14:paraId="7234C0FB">
            <w:pPr>
              <w:pStyle w:val="24"/>
              <w:spacing w:line="240" w:lineRule="auto"/>
              <w:ind w:firstLine="0" w:firstLineChars="0"/>
              <w:rPr>
                <w:color w:val="000000"/>
                <w:kern w:val="0"/>
              </w:rPr>
            </w:pPr>
          </w:p>
        </w:tc>
        <w:tc>
          <w:tcPr>
            <w:tcW w:w="1232" w:type="dxa"/>
            <w:tcBorders>
              <w:top w:val="nil"/>
              <w:left w:val="nil"/>
              <w:bottom w:val="single" w:color="auto" w:sz="8" w:space="0"/>
              <w:right w:val="single" w:color="auto" w:sz="8" w:space="0"/>
            </w:tcBorders>
            <w:vAlign w:val="center"/>
          </w:tcPr>
          <w:p w14:paraId="55656EBE">
            <w:pPr>
              <w:pStyle w:val="24"/>
              <w:spacing w:line="240" w:lineRule="auto"/>
              <w:ind w:firstLine="0" w:firstLineChars="0"/>
              <w:rPr>
                <w:color w:val="000000"/>
                <w:kern w:val="0"/>
              </w:rPr>
            </w:pPr>
          </w:p>
        </w:tc>
      </w:tr>
      <w:tr w14:paraId="1C9878D8">
        <w:tblPrEx>
          <w:tblCellMar>
            <w:top w:w="0" w:type="dxa"/>
            <w:left w:w="108" w:type="dxa"/>
            <w:bottom w:w="0" w:type="dxa"/>
            <w:right w:w="108" w:type="dxa"/>
          </w:tblCellMar>
        </w:tblPrEx>
        <w:trPr>
          <w:trHeight w:val="283" w:hRule="atLeast"/>
        </w:trPr>
        <w:tc>
          <w:tcPr>
            <w:tcW w:w="729" w:type="dxa"/>
            <w:tcBorders>
              <w:top w:val="nil"/>
              <w:left w:val="single" w:color="auto" w:sz="8" w:space="0"/>
              <w:bottom w:val="single" w:color="auto" w:sz="8" w:space="0"/>
              <w:right w:val="single" w:color="auto" w:sz="8" w:space="0"/>
            </w:tcBorders>
            <w:vAlign w:val="center"/>
          </w:tcPr>
          <w:p w14:paraId="45E4ED30">
            <w:pPr>
              <w:pStyle w:val="24"/>
              <w:spacing w:line="240" w:lineRule="auto"/>
              <w:ind w:firstLine="0" w:firstLineChars="0"/>
              <w:rPr>
                <w:color w:val="000000"/>
                <w:kern w:val="0"/>
              </w:rPr>
            </w:pPr>
            <w:r>
              <w:rPr>
                <w:color w:val="000000"/>
                <w:kern w:val="0"/>
              </w:rPr>
              <w:t>6</w:t>
            </w:r>
          </w:p>
        </w:tc>
        <w:tc>
          <w:tcPr>
            <w:tcW w:w="4096" w:type="dxa"/>
            <w:tcBorders>
              <w:top w:val="nil"/>
              <w:left w:val="nil"/>
              <w:bottom w:val="single" w:color="auto" w:sz="8" w:space="0"/>
              <w:right w:val="single" w:color="auto" w:sz="8" w:space="0"/>
            </w:tcBorders>
            <w:vAlign w:val="center"/>
          </w:tcPr>
          <w:p w14:paraId="648A1615">
            <w:pPr>
              <w:pStyle w:val="24"/>
              <w:spacing w:line="240" w:lineRule="auto"/>
              <w:ind w:firstLine="0" w:firstLineChars="0"/>
              <w:jc w:val="both"/>
              <w:rPr>
                <w:color w:val="000000"/>
                <w:kern w:val="0"/>
              </w:rPr>
            </w:pPr>
            <w:r>
              <w:rPr>
                <w:color w:val="000000"/>
                <w:kern w:val="0"/>
              </w:rPr>
              <w:t>工艺导入时考虑了节能降耗</w:t>
            </w:r>
            <w:r>
              <w:rPr>
                <w:rFonts w:hint="eastAsia"/>
                <w:color w:val="000000"/>
                <w:kern w:val="0"/>
              </w:rPr>
              <w:t>减碳</w:t>
            </w:r>
          </w:p>
        </w:tc>
        <w:tc>
          <w:tcPr>
            <w:tcW w:w="1231" w:type="dxa"/>
            <w:tcBorders>
              <w:top w:val="nil"/>
              <w:left w:val="nil"/>
              <w:bottom w:val="single" w:color="auto" w:sz="8" w:space="0"/>
              <w:right w:val="single" w:color="auto" w:sz="8" w:space="0"/>
            </w:tcBorders>
            <w:vAlign w:val="center"/>
          </w:tcPr>
          <w:p w14:paraId="384839BD">
            <w:pPr>
              <w:pStyle w:val="24"/>
              <w:spacing w:line="240" w:lineRule="auto"/>
              <w:ind w:firstLine="0" w:firstLineChars="0"/>
              <w:rPr>
                <w:color w:val="000000"/>
                <w:kern w:val="0"/>
              </w:rPr>
            </w:pPr>
          </w:p>
        </w:tc>
        <w:tc>
          <w:tcPr>
            <w:tcW w:w="1231" w:type="dxa"/>
            <w:tcBorders>
              <w:top w:val="nil"/>
              <w:left w:val="nil"/>
              <w:bottom w:val="single" w:color="auto" w:sz="8" w:space="0"/>
              <w:right w:val="single" w:color="auto" w:sz="8" w:space="0"/>
            </w:tcBorders>
            <w:vAlign w:val="center"/>
          </w:tcPr>
          <w:p w14:paraId="698B7A15">
            <w:pPr>
              <w:pStyle w:val="24"/>
              <w:spacing w:line="240" w:lineRule="auto"/>
              <w:ind w:firstLine="0" w:firstLineChars="0"/>
              <w:rPr>
                <w:color w:val="000000"/>
                <w:kern w:val="0"/>
              </w:rPr>
            </w:pPr>
          </w:p>
        </w:tc>
        <w:tc>
          <w:tcPr>
            <w:tcW w:w="1232" w:type="dxa"/>
            <w:tcBorders>
              <w:top w:val="nil"/>
              <w:left w:val="nil"/>
              <w:bottom w:val="single" w:color="auto" w:sz="8" w:space="0"/>
              <w:right w:val="single" w:color="auto" w:sz="8" w:space="0"/>
            </w:tcBorders>
            <w:vAlign w:val="center"/>
          </w:tcPr>
          <w:p w14:paraId="2E91F16A">
            <w:pPr>
              <w:pStyle w:val="24"/>
              <w:spacing w:line="240" w:lineRule="auto"/>
              <w:ind w:firstLine="0" w:firstLineChars="0"/>
              <w:rPr>
                <w:color w:val="000000"/>
                <w:kern w:val="0"/>
              </w:rPr>
            </w:pPr>
          </w:p>
        </w:tc>
      </w:tr>
      <w:tr w14:paraId="33F4C00B">
        <w:tblPrEx>
          <w:tblCellMar>
            <w:top w:w="0" w:type="dxa"/>
            <w:left w:w="108" w:type="dxa"/>
            <w:bottom w:w="0" w:type="dxa"/>
            <w:right w:w="108" w:type="dxa"/>
          </w:tblCellMar>
        </w:tblPrEx>
        <w:trPr>
          <w:trHeight w:val="283" w:hRule="atLeast"/>
        </w:trPr>
        <w:tc>
          <w:tcPr>
            <w:tcW w:w="729" w:type="dxa"/>
            <w:tcBorders>
              <w:top w:val="nil"/>
              <w:left w:val="single" w:color="auto" w:sz="8" w:space="0"/>
              <w:bottom w:val="single" w:color="auto" w:sz="8" w:space="0"/>
              <w:right w:val="single" w:color="auto" w:sz="8" w:space="0"/>
            </w:tcBorders>
            <w:vAlign w:val="center"/>
          </w:tcPr>
          <w:p w14:paraId="1D80E7DE">
            <w:pPr>
              <w:pStyle w:val="24"/>
              <w:spacing w:line="240" w:lineRule="auto"/>
              <w:ind w:firstLine="0" w:firstLineChars="0"/>
              <w:rPr>
                <w:color w:val="000000"/>
                <w:kern w:val="0"/>
              </w:rPr>
            </w:pPr>
            <w:r>
              <w:rPr>
                <w:color w:val="000000"/>
                <w:kern w:val="0"/>
              </w:rPr>
              <w:t>7</w:t>
            </w:r>
          </w:p>
        </w:tc>
        <w:tc>
          <w:tcPr>
            <w:tcW w:w="4096" w:type="dxa"/>
            <w:tcBorders>
              <w:top w:val="nil"/>
              <w:left w:val="nil"/>
              <w:bottom w:val="single" w:color="auto" w:sz="8" w:space="0"/>
              <w:right w:val="single" w:color="auto" w:sz="8" w:space="0"/>
            </w:tcBorders>
            <w:vAlign w:val="center"/>
          </w:tcPr>
          <w:p w14:paraId="5A737F46">
            <w:pPr>
              <w:pStyle w:val="24"/>
              <w:spacing w:line="240" w:lineRule="auto"/>
              <w:ind w:firstLine="0" w:firstLineChars="0"/>
              <w:jc w:val="both"/>
              <w:rPr>
                <w:color w:val="000000"/>
                <w:kern w:val="0"/>
              </w:rPr>
            </w:pPr>
            <w:r>
              <w:rPr>
                <w:color w:val="000000"/>
                <w:kern w:val="0"/>
              </w:rPr>
              <w:t>主要生产工艺都有归类入档</w:t>
            </w:r>
          </w:p>
        </w:tc>
        <w:tc>
          <w:tcPr>
            <w:tcW w:w="1231" w:type="dxa"/>
            <w:tcBorders>
              <w:top w:val="nil"/>
              <w:left w:val="nil"/>
              <w:bottom w:val="single" w:color="auto" w:sz="8" w:space="0"/>
              <w:right w:val="single" w:color="auto" w:sz="8" w:space="0"/>
            </w:tcBorders>
            <w:vAlign w:val="center"/>
          </w:tcPr>
          <w:p w14:paraId="2FDF84C2">
            <w:pPr>
              <w:pStyle w:val="24"/>
              <w:spacing w:line="240" w:lineRule="auto"/>
              <w:ind w:firstLine="0" w:firstLineChars="0"/>
              <w:rPr>
                <w:color w:val="000000"/>
                <w:kern w:val="0"/>
              </w:rPr>
            </w:pPr>
          </w:p>
        </w:tc>
        <w:tc>
          <w:tcPr>
            <w:tcW w:w="1231" w:type="dxa"/>
            <w:tcBorders>
              <w:top w:val="nil"/>
              <w:left w:val="nil"/>
              <w:bottom w:val="single" w:color="auto" w:sz="8" w:space="0"/>
              <w:right w:val="single" w:color="auto" w:sz="8" w:space="0"/>
            </w:tcBorders>
            <w:vAlign w:val="center"/>
          </w:tcPr>
          <w:p w14:paraId="0E898932">
            <w:pPr>
              <w:pStyle w:val="24"/>
              <w:spacing w:line="240" w:lineRule="auto"/>
              <w:ind w:firstLine="0" w:firstLineChars="0"/>
              <w:rPr>
                <w:color w:val="000000"/>
                <w:kern w:val="0"/>
              </w:rPr>
            </w:pPr>
          </w:p>
        </w:tc>
        <w:tc>
          <w:tcPr>
            <w:tcW w:w="1232" w:type="dxa"/>
            <w:tcBorders>
              <w:top w:val="nil"/>
              <w:left w:val="nil"/>
              <w:bottom w:val="single" w:color="auto" w:sz="8" w:space="0"/>
              <w:right w:val="single" w:color="auto" w:sz="8" w:space="0"/>
            </w:tcBorders>
            <w:vAlign w:val="center"/>
          </w:tcPr>
          <w:p w14:paraId="22A6A7C0">
            <w:pPr>
              <w:pStyle w:val="24"/>
              <w:spacing w:line="240" w:lineRule="auto"/>
              <w:ind w:firstLine="0" w:firstLineChars="0"/>
              <w:rPr>
                <w:color w:val="000000"/>
                <w:kern w:val="0"/>
              </w:rPr>
            </w:pPr>
          </w:p>
        </w:tc>
      </w:tr>
      <w:tr w14:paraId="3F384C50">
        <w:tblPrEx>
          <w:tblCellMar>
            <w:top w:w="0" w:type="dxa"/>
            <w:left w:w="108" w:type="dxa"/>
            <w:bottom w:w="0" w:type="dxa"/>
            <w:right w:w="108" w:type="dxa"/>
          </w:tblCellMar>
        </w:tblPrEx>
        <w:trPr>
          <w:trHeight w:val="283" w:hRule="atLeast"/>
        </w:trPr>
        <w:tc>
          <w:tcPr>
            <w:tcW w:w="729" w:type="dxa"/>
            <w:tcBorders>
              <w:top w:val="nil"/>
              <w:left w:val="single" w:color="auto" w:sz="8" w:space="0"/>
              <w:bottom w:val="single" w:color="auto" w:sz="8" w:space="0"/>
              <w:right w:val="single" w:color="auto" w:sz="8" w:space="0"/>
            </w:tcBorders>
            <w:vAlign w:val="center"/>
          </w:tcPr>
          <w:p w14:paraId="6F7C50D0">
            <w:pPr>
              <w:pStyle w:val="24"/>
              <w:spacing w:line="240" w:lineRule="auto"/>
              <w:ind w:firstLine="0" w:firstLineChars="0"/>
              <w:rPr>
                <w:color w:val="000000"/>
                <w:kern w:val="0"/>
              </w:rPr>
            </w:pPr>
            <w:r>
              <w:rPr>
                <w:color w:val="000000"/>
                <w:kern w:val="0"/>
              </w:rPr>
              <w:t>8</w:t>
            </w:r>
          </w:p>
        </w:tc>
        <w:tc>
          <w:tcPr>
            <w:tcW w:w="4096" w:type="dxa"/>
            <w:tcBorders>
              <w:top w:val="nil"/>
              <w:left w:val="nil"/>
              <w:bottom w:val="single" w:color="auto" w:sz="8" w:space="0"/>
              <w:right w:val="single" w:color="auto" w:sz="8" w:space="0"/>
            </w:tcBorders>
            <w:shd w:val="clear" w:color="auto" w:fill="auto"/>
            <w:vAlign w:val="center"/>
          </w:tcPr>
          <w:p w14:paraId="1156090F">
            <w:pPr>
              <w:pStyle w:val="24"/>
              <w:spacing w:line="240" w:lineRule="auto"/>
              <w:ind w:firstLine="0" w:firstLineChars="0"/>
              <w:jc w:val="both"/>
              <w:rPr>
                <w:rFonts w:ascii="Times New Roman" w:hAnsi="Times New Roman" w:eastAsia="宋体" w:cs="黑体"/>
                <w:color w:val="000000"/>
                <w:kern w:val="0"/>
                <w:sz w:val="21"/>
                <w:szCs w:val="21"/>
                <w:lang w:val="en-US" w:eastAsia="zh-CN" w:bidi="ar-SA"/>
              </w:rPr>
            </w:pPr>
            <w:r>
              <w:rPr>
                <w:color w:val="000000"/>
                <w:kern w:val="0"/>
              </w:rPr>
              <w:t>主要工序都有效率指标要求（如运转率、合格率</w:t>
            </w:r>
            <w:r>
              <w:rPr>
                <w:rFonts w:hint="eastAsia"/>
                <w:color w:val="000000"/>
                <w:kern w:val="0"/>
              </w:rPr>
              <w:t>、转化率</w:t>
            </w:r>
            <w:r>
              <w:rPr>
                <w:color w:val="000000"/>
                <w:kern w:val="0"/>
              </w:rPr>
              <w:t>等）</w:t>
            </w:r>
          </w:p>
        </w:tc>
        <w:tc>
          <w:tcPr>
            <w:tcW w:w="1231" w:type="dxa"/>
            <w:tcBorders>
              <w:top w:val="nil"/>
              <w:left w:val="nil"/>
              <w:bottom w:val="single" w:color="auto" w:sz="8" w:space="0"/>
              <w:right w:val="single" w:color="auto" w:sz="8" w:space="0"/>
            </w:tcBorders>
            <w:vAlign w:val="center"/>
          </w:tcPr>
          <w:p w14:paraId="2A0A65A2">
            <w:pPr>
              <w:pStyle w:val="24"/>
              <w:spacing w:line="240" w:lineRule="auto"/>
              <w:ind w:firstLine="0" w:firstLineChars="0"/>
              <w:rPr>
                <w:color w:val="000000"/>
                <w:kern w:val="0"/>
              </w:rPr>
            </w:pPr>
          </w:p>
        </w:tc>
        <w:tc>
          <w:tcPr>
            <w:tcW w:w="1231" w:type="dxa"/>
            <w:tcBorders>
              <w:top w:val="nil"/>
              <w:left w:val="nil"/>
              <w:bottom w:val="single" w:color="auto" w:sz="8" w:space="0"/>
              <w:right w:val="single" w:color="auto" w:sz="8" w:space="0"/>
            </w:tcBorders>
            <w:vAlign w:val="center"/>
          </w:tcPr>
          <w:p w14:paraId="12F42A97">
            <w:pPr>
              <w:pStyle w:val="24"/>
              <w:spacing w:line="240" w:lineRule="auto"/>
              <w:ind w:firstLine="0" w:firstLineChars="0"/>
              <w:rPr>
                <w:color w:val="000000"/>
                <w:kern w:val="0"/>
              </w:rPr>
            </w:pPr>
          </w:p>
        </w:tc>
        <w:tc>
          <w:tcPr>
            <w:tcW w:w="1232" w:type="dxa"/>
            <w:tcBorders>
              <w:top w:val="nil"/>
              <w:left w:val="nil"/>
              <w:bottom w:val="single" w:color="auto" w:sz="8" w:space="0"/>
              <w:right w:val="single" w:color="auto" w:sz="8" w:space="0"/>
            </w:tcBorders>
            <w:vAlign w:val="center"/>
          </w:tcPr>
          <w:p w14:paraId="198A0EC5">
            <w:pPr>
              <w:pStyle w:val="24"/>
              <w:spacing w:line="240" w:lineRule="auto"/>
              <w:ind w:firstLine="0" w:firstLineChars="0"/>
              <w:rPr>
                <w:color w:val="000000"/>
                <w:kern w:val="0"/>
              </w:rPr>
            </w:pPr>
          </w:p>
        </w:tc>
      </w:tr>
      <w:tr w14:paraId="13F12149">
        <w:tblPrEx>
          <w:tblCellMar>
            <w:top w:w="0" w:type="dxa"/>
            <w:left w:w="108" w:type="dxa"/>
            <w:bottom w:w="0" w:type="dxa"/>
            <w:right w:w="108" w:type="dxa"/>
          </w:tblCellMar>
        </w:tblPrEx>
        <w:trPr>
          <w:trHeight w:val="283" w:hRule="atLeast"/>
        </w:trPr>
        <w:tc>
          <w:tcPr>
            <w:tcW w:w="729" w:type="dxa"/>
            <w:tcBorders>
              <w:top w:val="nil"/>
              <w:left w:val="single" w:color="auto" w:sz="8" w:space="0"/>
              <w:bottom w:val="single" w:color="auto" w:sz="8" w:space="0"/>
              <w:right w:val="single" w:color="auto" w:sz="8" w:space="0"/>
            </w:tcBorders>
            <w:vAlign w:val="center"/>
          </w:tcPr>
          <w:p w14:paraId="59F0CB02">
            <w:pPr>
              <w:pStyle w:val="24"/>
              <w:spacing w:line="240" w:lineRule="auto"/>
              <w:ind w:firstLine="0" w:firstLineChars="0"/>
              <w:rPr>
                <w:color w:val="000000"/>
                <w:kern w:val="0"/>
              </w:rPr>
            </w:pPr>
            <w:r>
              <w:rPr>
                <w:color w:val="000000"/>
                <w:kern w:val="0"/>
              </w:rPr>
              <w:t>9</w:t>
            </w:r>
          </w:p>
        </w:tc>
        <w:tc>
          <w:tcPr>
            <w:tcW w:w="4096" w:type="dxa"/>
            <w:tcBorders>
              <w:top w:val="nil"/>
              <w:left w:val="nil"/>
              <w:bottom w:val="single" w:color="auto" w:sz="8" w:space="0"/>
              <w:right w:val="single" w:color="auto" w:sz="8" w:space="0"/>
            </w:tcBorders>
            <w:shd w:val="clear" w:color="auto" w:fill="auto"/>
            <w:vAlign w:val="center"/>
          </w:tcPr>
          <w:p w14:paraId="243A0656">
            <w:pPr>
              <w:pStyle w:val="24"/>
              <w:spacing w:line="240" w:lineRule="auto"/>
              <w:ind w:firstLine="0" w:firstLineChars="0"/>
              <w:jc w:val="both"/>
              <w:rPr>
                <w:rFonts w:ascii="Times New Roman" w:hAnsi="Times New Roman" w:eastAsia="宋体" w:cs="黑体"/>
                <w:color w:val="000000"/>
                <w:kern w:val="0"/>
                <w:sz w:val="21"/>
                <w:szCs w:val="21"/>
                <w:lang w:val="en-US" w:eastAsia="zh-CN" w:bidi="ar-SA"/>
              </w:rPr>
            </w:pPr>
            <w:r>
              <w:rPr>
                <w:rFonts w:hint="eastAsia"/>
                <w:color w:val="000000"/>
                <w:kern w:val="0"/>
              </w:rPr>
              <w:t>车间</w:t>
            </w:r>
            <w:r>
              <w:rPr>
                <w:color w:val="000000"/>
                <w:kern w:val="0"/>
              </w:rPr>
              <w:t>生产布局合理</w:t>
            </w:r>
            <w:r>
              <w:rPr>
                <w:rFonts w:hint="eastAsia"/>
                <w:color w:val="000000"/>
                <w:kern w:val="0"/>
              </w:rPr>
              <w:t>，</w:t>
            </w:r>
            <w:r>
              <w:rPr>
                <w:rFonts w:cs="Times New Roman" w:eastAsiaTheme="majorEastAsia"/>
              </w:rPr>
              <w:t>无效传输路线过程</w:t>
            </w:r>
            <w:r>
              <w:rPr>
                <w:rFonts w:hint="eastAsia" w:cs="Times New Roman" w:eastAsiaTheme="majorEastAsia"/>
              </w:rPr>
              <w:t>较短</w:t>
            </w:r>
          </w:p>
        </w:tc>
        <w:tc>
          <w:tcPr>
            <w:tcW w:w="1231" w:type="dxa"/>
            <w:tcBorders>
              <w:top w:val="nil"/>
              <w:left w:val="nil"/>
              <w:bottom w:val="single" w:color="auto" w:sz="8" w:space="0"/>
              <w:right w:val="single" w:color="auto" w:sz="8" w:space="0"/>
            </w:tcBorders>
            <w:vAlign w:val="center"/>
          </w:tcPr>
          <w:p w14:paraId="759EB081">
            <w:pPr>
              <w:pStyle w:val="24"/>
              <w:spacing w:line="240" w:lineRule="auto"/>
              <w:ind w:firstLine="0" w:firstLineChars="0"/>
              <w:rPr>
                <w:color w:val="000000"/>
                <w:kern w:val="0"/>
              </w:rPr>
            </w:pPr>
          </w:p>
        </w:tc>
        <w:tc>
          <w:tcPr>
            <w:tcW w:w="1231" w:type="dxa"/>
            <w:tcBorders>
              <w:top w:val="nil"/>
              <w:left w:val="nil"/>
              <w:bottom w:val="single" w:color="auto" w:sz="8" w:space="0"/>
              <w:right w:val="single" w:color="auto" w:sz="8" w:space="0"/>
            </w:tcBorders>
            <w:vAlign w:val="center"/>
          </w:tcPr>
          <w:p w14:paraId="340FC248">
            <w:pPr>
              <w:pStyle w:val="24"/>
              <w:spacing w:line="240" w:lineRule="auto"/>
              <w:ind w:firstLine="0" w:firstLineChars="0"/>
              <w:rPr>
                <w:color w:val="000000"/>
                <w:kern w:val="0"/>
              </w:rPr>
            </w:pPr>
          </w:p>
        </w:tc>
        <w:tc>
          <w:tcPr>
            <w:tcW w:w="1232" w:type="dxa"/>
            <w:tcBorders>
              <w:top w:val="nil"/>
              <w:left w:val="nil"/>
              <w:bottom w:val="single" w:color="auto" w:sz="8" w:space="0"/>
              <w:right w:val="single" w:color="auto" w:sz="8" w:space="0"/>
            </w:tcBorders>
            <w:vAlign w:val="center"/>
          </w:tcPr>
          <w:p w14:paraId="2B77FB92">
            <w:pPr>
              <w:pStyle w:val="24"/>
              <w:spacing w:line="240" w:lineRule="auto"/>
              <w:ind w:firstLine="0" w:firstLineChars="0"/>
              <w:rPr>
                <w:color w:val="000000"/>
                <w:kern w:val="0"/>
              </w:rPr>
            </w:pPr>
          </w:p>
        </w:tc>
      </w:tr>
      <w:tr w14:paraId="4CEB94AC">
        <w:tblPrEx>
          <w:tblCellMar>
            <w:top w:w="0" w:type="dxa"/>
            <w:left w:w="108" w:type="dxa"/>
            <w:bottom w:w="0" w:type="dxa"/>
            <w:right w:w="108" w:type="dxa"/>
          </w:tblCellMar>
        </w:tblPrEx>
        <w:trPr>
          <w:trHeight w:val="283" w:hRule="atLeast"/>
        </w:trPr>
        <w:tc>
          <w:tcPr>
            <w:tcW w:w="729" w:type="dxa"/>
            <w:tcBorders>
              <w:top w:val="nil"/>
              <w:left w:val="single" w:color="auto" w:sz="8" w:space="0"/>
              <w:bottom w:val="single" w:color="auto" w:sz="8" w:space="0"/>
              <w:right w:val="single" w:color="auto" w:sz="8" w:space="0"/>
            </w:tcBorders>
            <w:vAlign w:val="center"/>
          </w:tcPr>
          <w:p w14:paraId="58C3C567">
            <w:pPr>
              <w:pStyle w:val="24"/>
              <w:spacing w:line="240" w:lineRule="auto"/>
              <w:ind w:firstLine="0" w:firstLineChars="0"/>
              <w:rPr>
                <w:color w:val="000000"/>
                <w:kern w:val="0"/>
              </w:rPr>
            </w:pPr>
            <w:r>
              <w:rPr>
                <w:color w:val="000000"/>
                <w:kern w:val="0"/>
              </w:rPr>
              <w:t>10</w:t>
            </w:r>
          </w:p>
        </w:tc>
        <w:tc>
          <w:tcPr>
            <w:tcW w:w="4096" w:type="dxa"/>
            <w:tcBorders>
              <w:top w:val="nil"/>
              <w:left w:val="nil"/>
              <w:bottom w:val="single" w:color="auto" w:sz="8" w:space="0"/>
              <w:right w:val="single" w:color="auto" w:sz="8" w:space="0"/>
            </w:tcBorders>
            <w:shd w:val="clear" w:color="auto" w:fill="auto"/>
            <w:vAlign w:val="center"/>
          </w:tcPr>
          <w:p w14:paraId="6A0196D0">
            <w:pPr>
              <w:pStyle w:val="24"/>
              <w:spacing w:line="240" w:lineRule="auto"/>
              <w:ind w:firstLine="0" w:firstLineChars="0"/>
              <w:jc w:val="both"/>
              <w:rPr>
                <w:rFonts w:ascii="Times New Roman" w:hAnsi="Times New Roman" w:eastAsia="宋体" w:cs="黑体"/>
                <w:color w:val="000000"/>
                <w:kern w:val="0"/>
                <w:sz w:val="21"/>
                <w:szCs w:val="21"/>
                <w:lang w:val="en-US" w:eastAsia="zh-CN" w:bidi="ar-SA"/>
              </w:rPr>
            </w:pPr>
            <w:r>
              <w:rPr>
                <w:rFonts w:cs="Times New Roman" w:eastAsiaTheme="majorEastAsia"/>
              </w:rPr>
              <w:t>反应及转化步骤</w:t>
            </w:r>
            <w:r>
              <w:rPr>
                <w:rFonts w:hint="eastAsia" w:cs="Times New Roman" w:eastAsiaTheme="majorEastAsia"/>
              </w:rPr>
              <w:t>较少</w:t>
            </w:r>
          </w:p>
        </w:tc>
        <w:tc>
          <w:tcPr>
            <w:tcW w:w="1231" w:type="dxa"/>
            <w:tcBorders>
              <w:top w:val="nil"/>
              <w:left w:val="nil"/>
              <w:bottom w:val="single" w:color="auto" w:sz="8" w:space="0"/>
              <w:right w:val="single" w:color="auto" w:sz="8" w:space="0"/>
            </w:tcBorders>
            <w:vAlign w:val="center"/>
          </w:tcPr>
          <w:p w14:paraId="16517946">
            <w:pPr>
              <w:pStyle w:val="24"/>
              <w:spacing w:line="240" w:lineRule="auto"/>
              <w:ind w:firstLine="0" w:firstLineChars="0"/>
              <w:rPr>
                <w:color w:val="000000"/>
                <w:kern w:val="0"/>
              </w:rPr>
            </w:pPr>
          </w:p>
        </w:tc>
        <w:tc>
          <w:tcPr>
            <w:tcW w:w="1231" w:type="dxa"/>
            <w:tcBorders>
              <w:top w:val="nil"/>
              <w:left w:val="nil"/>
              <w:bottom w:val="single" w:color="auto" w:sz="8" w:space="0"/>
              <w:right w:val="single" w:color="auto" w:sz="8" w:space="0"/>
            </w:tcBorders>
            <w:vAlign w:val="center"/>
          </w:tcPr>
          <w:p w14:paraId="7037242D">
            <w:pPr>
              <w:pStyle w:val="24"/>
              <w:spacing w:line="240" w:lineRule="auto"/>
              <w:ind w:firstLine="0" w:firstLineChars="0"/>
              <w:rPr>
                <w:color w:val="000000"/>
                <w:kern w:val="0"/>
              </w:rPr>
            </w:pPr>
          </w:p>
        </w:tc>
        <w:tc>
          <w:tcPr>
            <w:tcW w:w="1232" w:type="dxa"/>
            <w:tcBorders>
              <w:top w:val="nil"/>
              <w:left w:val="nil"/>
              <w:bottom w:val="single" w:color="auto" w:sz="8" w:space="0"/>
              <w:right w:val="single" w:color="auto" w:sz="8" w:space="0"/>
            </w:tcBorders>
            <w:vAlign w:val="center"/>
          </w:tcPr>
          <w:p w14:paraId="41A46CCC">
            <w:pPr>
              <w:pStyle w:val="24"/>
              <w:spacing w:line="240" w:lineRule="auto"/>
              <w:ind w:firstLine="0" w:firstLineChars="0"/>
              <w:rPr>
                <w:color w:val="000000"/>
                <w:kern w:val="0"/>
              </w:rPr>
            </w:pPr>
          </w:p>
        </w:tc>
      </w:tr>
      <w:tr w14:paraId="66D90693">
        <w:tblPrEx>
          <w:tblCellMar>
            <w:top w:w="0" w:type="dxa"/>
            <w:left w:w="108" w:type="dxa"/>
            <w:bottom w:w="0" w:type="dxa"/>
            <w:right w:w="108" w:type="dxa"/>
          </w:tblCellMar>
        </w:tblPrEx>
        <w:trPr>
          <w:trHeight w:val="283" w:hRule="atLeast"/>
        </w:trPr>
        <w:tc>
          <w:tcPr>
            <w:tcW w:w="729" w:type="dxa"/>
            <w:tcBorders>
              <w:top w:val="nil"/>
              <w:left w:val="single" w:color="auto" w:sz="8" w:space="0"/>
              <w:bottom w:val="single" w:color="auto" w:sz="8" w:space="0"/>
              <w:right w:val="single" w:color="auto" w:sz="8" w:space="0"/>
            </w:tcBorders>
            <w:vAlign w:val="center"/>
          </w:tcPr>
          <w:p w14:paraId="7D72698F">
            <w:pPr>
              <w:pStyle w:val="24"/>
              <w:spacing w:line="240" w:lineRule="auto"/>
              <w:ind w:firstLine="0" w:firstLineChars="0"/>
              <w:rPr>
                <w:color w:val="000000"/>
                <w:kern w:val="0"/>
              </w:rPr>
            </w:pPr>
            <w:r>
              <w:rPr>
                <w:color w:val="000000"/>
                <w:kern w:val="0"/>
              </w:rPr>
              <w:t>11</w:t>
            </w:r>
          </w:p>
        </w:tc>
        <w:tc>
          <w:tcPr>
            <w:tcW w:w="4096" w:type="dxa"/>
            <w:tcBorders>
              <w:top w:val="nil"/>
              <w:left w:val="nil"/>
              <w:bottom w:val="single" w:color="auto" w:sz="8" w:space="0"/>
              <w:right w:val="single" w:color="auto" w:sz="8" w:space="0"/>
            </w:tcBorders>
            <w:shd w:val="clear" w:color="auto" w:fill="auto"/>
            <w:vAlign w:val="center"/>
          </w:tcPr>
          <w:p w14:paraId="423E4428">
            <w:pPr>
              <w:pStyle w:val="24"/>
              <w:spacing w:line="240" w:lineRule="auto"/>
              <w:ind w:firstLine="0" w:firstLineChars="0"/>
              <w:jc w:val="both"/>
              <w:rPr>
                <w:rFonts w:ascii="Times New Roman" w:hAnsi="Times New Roman" w:cs="Times New Roman" w:eastAsiaTheme="majorEastAsia"/>
                <w:kern w:val="2"/>
                <w:sz w:val="21"/>
                <w:szCs w:val="21"/>
                <w:lang w:val="en-US" w:eastAsia="zh-CN" w:bidi="ar-SA"/>
              </w:rPr>
            </w:pPr>
            <w:r>
              <w:rPr>
                <w:rFonts w:hint="eastAsia" w:cs="Times New Roman" w:eastAsiaTheme="majorEastAsia"/>
              </w:rPr>
              <w:t>属于连续生产</w:t>
            </w:r>
          </w:p>
        </w:tc>
        <w:tc>
          <w:tcPr>
            <w:tcW w:w="1231" w:type="dxa"/>
            <w:tcBorders>
              <w:top w:val="nil"/>
              <w:left w:val="nil"/>
              <w:bottom w:val="single" w:color="auto" w:sz="8" w:space="0"/>
              <w:right w:val="single" w:color="auto" w:sz="8" w:space="0"/>
            </w:tcBorders>
            <w:vAlign w:val="center"/>
          </w:tcPr>
          <w:p w14:paraId="2705A20C">
            <w:pPr>
              <w:pStyle w:val="24"/>
              <w:spacing w:line="240" w:lineRule="auto"/>
              <w:ind w:firstLine="0" w:firstLineChars="0"/>
              <w:rPr>
                <w:color w:val="000000"/>
                <w:kern w:val="0"/>
              </w:rPr>
            </w:pPr>
          </w:p>
        </w:tc>
        <w:tc>
          <w:tcPr>
            <w:tcW w:w="1231" w:type="dxa"/>
            <w:tcBorders>
              <w:top w:val="nil"/>
              <w:left w:val="nil"/>
              <w:bottom w:val="single" w:color="auto" w:sz="8" w:space="0"/>
              <w:right w:val="single" w:color="auto" w:sz="8" w:space="0"/>
            </w:tcBorders>
            <w:vAlign w:val="center"/>
          </w:tcPr>
          <w:p w14:paraId="5AC29B01">
            <w:pPr>
              <w:pStyle w:val="24"/>
              <w:spacing w:line="240" w:lineRule="auto"/>
              <w:ind w:firstLine="0" w:firstLineChars="0"/>
              <w:rPr>
                <w:color w:val="000000"/>
                <w:kern w:val="0"/>
              </w:rPr>
            </w:pPr>
          </w:p>
        </w:tc>
        <w:tc>
          <w:tcPr>
            <w:tcW w:w="1232" w:type="dxa"/>
            <w:tcBorders>
              <w:top w:val="nil"/>
              <w:left w:val="nil"/>
              <w:bottom w:val="single" w:color="auto" w:sz="8" w:space="0"/>
              <w:right w:val="single" w:color="auto" w:sz="8" w:space="0"/>
            </w:tcBorders>
            <w:vAlign w:val="center"/>
          </w:tcPr>
          <w:p w14:paraId="57F8F06E">
            <w:pPr>
              <w:pStyle w:val="24"/>
              <w:spacing w:line="240" w:lineRule="auto"/>
              <w:ind w:firstLine="0" w:firstLineChars="0"/>
              <w:rPr>
                <w:color w:val="000000"/>
                <w:kern w:val="0"/>
              </w:rPr>
            </w:pPr>
          </w:p>
        </w:tc>
      </w:tr>
      <w:tr w14:paraId="28A465F1">
        <w:tblPrEx>
          <w:tblCellMar>
            <w:top w:w="0" w:type="dxa"/>
            <w:left w:w="108" w:type="dxa"/>
            <w:bottom w:w="0" w:type="dxa"/>
            <w:right w:w="108" w:type="dxa"/>
          </w:tblCellMar>
        </w:tblPrEx>
        <w:trPr>
          <w:trHeight w:val="283" w:hRule="atLeast"/>
        </w:trPr>
        <w:tc>
          <w:tcPr>
            <w:tcW w:w="729" w:type="dxa"/>
            <w:tcBorders>
              <w:top w:val="nil"/>
              <w:left w:val="single" w:color="auto" w:sz="8" w:space="0"/>
              <w:bottom w:val="single" w:color="auto" w:sz="8" w:space="0"/>
              <w:right w:val="single" w:color="auto" w:sz="8" w:space="0"/>
            </w:tcBorders>
            <w:vAlign w:val="center"/>
          </w:tcPr>
          <w:p w14:paraId="1BEF8022">
            <w:pPr>
              <w:pStyle w:val="24"/>
              <w:spacing w:line="240" w:lineRule="auto"/>
              <w:ind w:firstLine="0" w:firstLineChars="0"/>
              <w:rPr>
                <w:color w:val="000000"/>
                <w:kern w:val="0"/>
              </w:rPr>
            </w:pPr>
            <w:r>
              <w:rPr>
                <w:color w:val="000000"/>
                <w:kern w:val="0"/>
              </w:rPr>
              <w:t>12</w:t>
            </w:r>
          </w:p>
        </w:tc>
        <w:tc>
          <w:tcPr>
            <w:tcW w:w="4096" w:type="dxa"/>
            <w:tcBorders>
              <w:top w:val="nil"/>
              <w:left w:val="nil"/>
              <w:bottom w:val="single" w:color="auto" w:sz="8" w:space="0"/>
              <w:right w:val="single" w:color="auto" w:sz="8" w:space="0"/>
            </w:tcBorders>
            <w:shd w:val="clear" w:color="auto" w:fill="auto"/>
            <w:vAlign w:val="center"/>
          </w:tcPr>
          <w:p w14:paraId="314AAD92">
            <w:pPr>
              <w:pStyle w:val="24"/>
              <w:spacing w:line="240" w:lineRule="auto"/>
              <w:ind w:firstLine="0" w:firstLineChars="0"/>
              <w:jc w:val="both"/>
              <w:rPr>
                <w:rFonts w:ascii="Times New Roman" w:hAnsi="Times New Roman" w:cs="Times New Roman" w:eastAsiaTheme="majorEastAsia"/>
                <w:kern w:val="2"/>
                <w:sz w:val="21"/>
                <w:szCs w:val="21"/>
                <w:lang w:val="en-US" w:eastAsia="zh-CN" w:bidi="ar-SA"/>
              </w:rPr>
            </w:pPr>
            <w:r>
              <w:rPr>
                <w:rFonts w:hint="eastAsia" w:cs="Times New Roman" w:eastAsiaTheme="majorEastAsia"/>
              </w:rPr>
              <w:t>生产工艺稳定性强</w:t>
            </w:r>
          </w:p>
        </w:tc>
        <w:tc>
          <w:tcPr>
            <w:tcW w:w="1231" w:type="dxa"/>
            <w:tcBorders>
              <w:top w:val="nil"/>
              <w:left w:val="nil"/>
              <w:bottom w:val="single" w:color="auto" w:sz="8" w:space="0"/>
              <w:right w:val="single" w:color="auto" w:sz="8" w:space="0"/>
            </w:tcBorders>
            <w:vAlign w:val="center"/>
          </w:tcPr>
          <w:p w14:paraId="64D00D72">
            <w:pPr>
              <w:pStyle w:val="24"/>
              <w:spacing w:line="240" w:lineRule="auto"/>
              <w:ind w:firstLine="0" w:firstLineChars="0"/>
              <w:rPr>
                <w:color w:val="000000"/>
                <w:kern w:val="0"/>
              </w:rPr>
            </w:pPr>
          </w:p>
        </w:tc>
        <w:tc>
          <w:tcPr>
            <w:tcW w:w="1231" w:type="dxa"/>
            <w:tcBorders>
              <w:top w:val="nil"/>
              <w:left w:val="nil"/>
              <w:bottom w:val="single" w:color="auto" w:sz="8" w:space="0"/>
              <w:right w:val="single" w:color="auto" w:sz="8" w:space="0"/>
            </w:tcBorders>
            <w:vAlign w:val="center"/>
          </w:tcPr>
          <w:p w14:paraId="75215B8E">
            <w:pPr>
              <w:pStyle w:val="24"/>
              <w:spacing w:line="240" w:lineRule="auto"/>
              <w:ind w:firstLine="0" w:firstLineChars="0"/>
              <w:rPr>
                <w:color w:val="000000"/>
                <w:kern w:val="0"/>
              </w:rPr>
            </w:pPr>
          </w:p>
        </w:tc>
        <w:tc>
          <w:tcPr>
            <w:tcW w:w="1232" w:type="dxa"/>
            <w:tcBorders>
              <w:top w:val="nil"/>
              <w:left w:val="nil"/>
              <w:bottom w:val="single" w:color="auto" w:sz="8" w:space="0"/>
              <w:right w:val="single" w:color="auto" w:sz="8" w:space="0"/>
            </w:tcBorders>
            <w:vAlign w:val="center"/>
          </w:tcPr>
          <w:p w14:paraId="280B9C41">
            <w:pPr>
              <w:pStyle w:val="24"/>
              <w:spacing w:line="240" w:lineRule="auto"/>
              <w:ind w:firstLine="0" w:firstLineChars="0"/>
              <w:rPr>
                <w:color w:val="000000"/>
                <w:kern w:val="0"/>
              </w:rPr>
            </w:pPr>
          </w:p>
        </w:tc>
      </w:tr>
      <w:tr w14:paraId="7AEBD622">
        <w:tblPrEx>
          <w:tblCellMar>
            <w:top w:w="0" w:type="dxa"/>
            <w:left w:w="108" w:type="dxa"/>
            <w:bottom w:w="0" w:type="dxa"/>
            <w:right w:w="108" w:type="dxa"/>
          </w:tblCellMar>
        </w:tblPrEx>
        <w:trPr>
          <w:trHeight w:val="283" w:hRule="atLeast"/>
        </w:trPr>
        <w:tc>
          <w:tcPr>
            <w:tcW w:w="729" w:type="dxa"/>
            <w:tcBorders>
              <w:top w:val="nil"/>
              <w:left w:val="single" w:color="auto" w:sz="8" w:space="0"/>
              <w:bottom w:val="single" w:color="auto" w:sz="8" w:space="0"/>
              <w:right w:val="single" w:color="auto" w:sz="8" w:space="0"/>
            </w:tcBorders>
            <w:vAlign w:val="center"/>
          </w:tcPr>
          <w:p w14:paraId="67916FF8">
            <w:pPr>
              <w:pStyle w:val="24"/>
              <w:spacing w:line="240" w:lineRule="auto"/>
              <w:ind w:firstLine="0" w:firstLineChars="0"/>
              <w:rPr>
                <w:color w:val="000000"/>
                <w:kern w:val="0"/>
              </w:rPr>
            </w:pPr>
            <w:r>
              <w:rPr>
                <w:color w:val="000000"/>
                <w:kern w:val="0"/>
              </w:rPr>
              <w:t>13</w:t>
            </w:r>
          </w:p>
        </w:tc>
        <w:tc>
          <w:tcPr>
            <w:tcW w:w="4096" w:type="dxa"/>
            <w:tcBorders>
              <w:top w:val="nil"/>
              <w:left w:val="nil"/>
              <w:bottom w:val="single" w:color="auto" w:sz="8" w:space="0"/>
              <w:right w:val="single" w:color="auto" w:sz="8" w:space="0"/>
            </w:tcBorders>
            <w:shd w:val="clear" w:color="auto" w:fill="auto"/>
            <w:vAlign w:val="center"/>
          </w:tcPr>
          <w:p w14:paraId="29AAC9F4">
            <w:pPr>
              <w:pStyle w:val="24"/>
              <w:spacing w:line="240" w:lineRule="auto"/>
              <w:ind w:firstLine="0" w:firstLineChars="0"/>
              <w:jc w:val="both"/>
              <w:rPr>
                <w:rFonts w:ascii="Times New Roman" w:hAnsi="Times New Roman" w:cs="Times New Roman" w:eastAsiaTheme="majorEastAsia"/>
                <w:kern w:val="2"/>
                <w:sz w:val="21"/>
                <w:szCs w:val="21"/>
                <w:lang w:val="en-US" w:eastAsia="zh-CN" w:bidi="ar-SA"/>
              </w:rPr>
            </w:pPr>
            <w:r>
              <w:rPr>
                <w:color w:val="000000"/>
                <w:kern w:val="0"/>
              </w:rPr>
              <w:t>劳动分工方式合理</w:t>
            </w:r>
          </w:p>
        </w:tc>
        <w:tc>
          <w:tcPr>
            <w:tcW w:w="1231" w:type="dxa"/>
            <w:tcBorders>
              <w:top w:val="nil"/>
              <w:left w:val="nil"/>
              <w:bottom w:val="single" w:color="auto" w:sz="8" w:space="0"/>
              <w:right w:val="single" w:color="auto" w:sz="8" w:space="0"/>
            </w:tcBorders>
            <w:vAlign w:val="center"/>
          </w:tcPr>
          <w:p w14:paraId="3D1F8069">
            <w:pPr>
              <w:pStyle w:val="24"/>
              <w:spacing w:line="240" w:lineRule="auto"/>
              <w:ind w:firstLine="0" w:firstLineChars="0"/>
              <w:rPr>
                <w:color w:val="000000"/>
                <w:kern w:val="0"/>
              </w:rPr>
            </w:pPr>
          </w:p>
        </w:tc>
        <w:tc>
          <w:tcPr>
            <w:tcW w:w="1231" w:type="dxa"/>
            <w:tcBorders>
              <w:top w:val="nil"/>
              <w:left w:val="nil"/>
              <w:bottom w:val="single" w:color="auto" w:sz="8" w:space="0"/>
              <w:right w:val="single" w:color="auto" w:sz="8" w:space="0"/>
            </w:tcBorders>
            <w:vAlign w:val="center"/>
          </w:tcPr>
          <w:p w14:paraId="5BD4E322">
            <w:pPr>
              <w:pStyle w:val="24"/>
              <w:spacing w:line="240" w:lineRule="auto"/>
              <w:ind w:firstLine="0" w:firstLineChars="0"/>
              <w:rPr>
                <w:color w:val="000000"/>
                <w:kern w:val="0"/>
              </w:rPr>
            </w:pPr>
          </w:p>
        </w:tc>
        <w:tc>
          <w:tcPr>
            <w:tcW w:w="1232" w:type="dxa"/>
            <w:tcBorders>
              <w:top w:val="nil"/>
              <w:left w:val="nil"/>
              <w:bottom w:val="single" w:color="auto" w:sz="8" w:space="0"/>
              <w:right w:val="single" w:color="auto" w:sz="8" w:space="0"/>
            </w:tcBorders>
            <w:vAlign w:val="center"/>
          </w:tcPr>
          <w:p w14:paraId="00964C32">
            <w:pPr>
              <w:pStyle w:val="24"/>
              <w:spacing w:line="240" w:lineRule="auto"/>
              <w:ind w:firstLine="0" w:firstLineChars="0"/>
              <w:rPr>
                <w:color w:val="000000"/>
                <w:kern w:val="0"/>
              </w:rPr>
            </w:pPr>
          </w:p>
        </w:tc>
      </w:tr>
    </w:tbl>
    <w:p w14:paraId="1FCE719E">
      <w:pPr>
        <w:pStyle w:val="4"/>
        <w:adjustRightInd w:val="0"/>
        <w:snapToGrid w:val="0"/>
        <w:spacing w:before="156" w:beforeLines="50" w:after="0" w:line="240" w:lineRule="auto"/>
        <w:ind w:firstLine="0" w:firstLineChars="0"/>
        <w:jc w:val="center"/>
      </w:pPr>
      <w:r>
        <w:rPr>
          <w:rFonts w:hint="eastAsia"/>
        </w:rPr>
        <w:t>工作表</w:t>
      </w:r>
      <w:r>
        <w:rPr>
          <w:rFonts w:hint="eastAsia"/>
          <w:lang w:val="en-US" w:eastAsia="zh-CN"/>
        </w:rPr>
        <w:t>A.3</w:t>
      </w:r>
      <w:r>
        <w:rPr>
          <w:rFonts w:hint="eastAsia"/>
        </w:rPr>
        <w:t xml:space="preserve"> 设备工艺考察表</w:t>
      </w:r>
    </w:p>
    <w:tbl>
      <w:tblPr>
        <w:tblStyle w:val="11"/>
        <w:tblW w:w="8522" w:type="dxa"/>
        <w:tblInd w:w="0" w:type="dxa"/>
        <w:tblLayout w:type="fixed"/>
        <w:tblCellMar>
          <w:top w:w="0" w:type="dxa"/>
          <w:left w:w="108" w:type="dxa"/>
          <w:bottom w:w="0" w:type="dxa"/>
          <w:right w:w="108" w:type="dxa"/>
        </w:tblCellMar>
      </w:tblPr>
      <w:tblGrid>
        <w:gridCol w:w="635"/>
        <w:gridCol w:w="4206"/>
        <w:gridCol w:w="1227"/>
        <w:gridCol w:w="1227"/>
        <w:gridCol w:w="1227"/>
      </w:tblGrid>
      <w:tr w14:paraId="0E5C5A27">
        <w:tblPrEx>
          <w:tblCellMar>
            <w:top w:w="0" w:type="dxa"/>
            <w:left w:w="108" w:type="dxa"/>
            <w:bottom w:w="0" w:type="dxa"/>
            <w:right w:w="108" w:type="dxa"/>
          </w:tblCellMar>
        </w:tblPrEx>
        <w:trPr>
          <w:trHeight w:val="283" w:hRule="atLeast"/>
          <w:tblHeader/>
        </w:trPr>
        <w:tc>
          <w:tcPr>
            <w:tcW w:w="635" w:type="dxa"/>
            <w:vMerge w:val="restart"/>
            <w:tcBorders>
              <w:top w:val="single" w:color="auto" w:sz="8" w:space="0"/>
              <w:left w:val="single" w:color="auto" w:sz="8" w:space="0"/>
              <w:right w:val="single" w:color="auto" w:sz="8" w:space="0"/>
            </w:tcBorders>
            <w:vAlign w:val="center"/>
          </w:tcPr>
          <w:p w14:paraId="3D746F45">
            <w:pPr>
              <w:pStyle w:val="24"/>
              <w:spacing w:line="240" w:lineRule="auto"/>
              <w:ind w:firstLine="0" w:firstLineChars="0"/>
              <w:rPr>
                <w:b/>
                <w:color w:val="000000"/>
                <w:kern w:val="0"/>
              </w:rPr>
            </w:pPr>
            <w:r>
              <w:rPr>
                <w:b/>
                <w:color w:val="000000"/>
                <w:kern w:val="0"/>
              </w:rPr>
              <w:t>序号</w:t>
            </w:r>
          </w:p>
        </w:tc>
        <w:tc>
          <w:tcPr>
            <w:tcW w:w="4206" w:type="dxa"/>
            <w:vMerge w:val="restart"/>
            <w:tcBorders>
              <w:top w:val="single" w:color="auto" w:sz="8" w:space="0"/>
              <w:left w:val="nil"/>
              <w:right w:val="single" w:color="auto" w:sz="8" w:space="0"/>
            </w:tcBorders>
            <w:vAlign w:val="center"/>
          </w:tcPr>
          <w:p w14:paraId="6C1E0810">
            <w:pPr>
              <w:pStyle w:val="24"/>
              <w:spacing w:line="240" w:lineRule="auto"/>
              <w:ind w:firstLine="0" w:firstLineChars="0"/>
              <w:rPr>
                <w:b/>
                <w:color w:val="000000"/>
                <w:kern w:val="0"/>
              </w:rPr>
            </w:pPr>
            <w:r>
              <w:rPr>
                <w:b/>
                <w:color w:val="000000"/>
                <w:kern w:val="0"/>
              </w:rPr>
              <w:t>调查项目</w:t>
            </w:r>
          </w:p>
        </w:tc>
        <w:tc>
          <w:tcPr>
            <w:tcW w:w="3681" w:type="dxa"/>
            <w:gridSpan w:val="3"/>
            <w:tcBorders>
              <w:top w:val="single" w:color="auto" w:sz="8" w:space="0"/>
              <w:left w:val="nil"/>
              <w:bottom w:val="single" w:color="auto" w:sz="8" w:space="0"/>
              <w:right w:val="single" w:color="auto" w:sz="8" w:space="0"/>
            </w:tcBorders>
            <w:vAlign w:val="center"/>
          </w:tcPr>
          <w:p w14:paraId="0AC999F5">
            <w:pPr>
              <w:pStyle w:val="24"/>
              <w:spacing w:line="240" w:lineRule="auto"/>
              <w:ind w:firstLine="0" w:firstLineChars="0"/>
              <w:rPr>
                <w:b/>
                <w:color w:val="000000"/>
                <w:kern w:val="0"/>
              </w:rPr>
            </w:pPr>
            <w:r>
              <w:rPr>
                <w:b/>
                <w:color w:val="000000"/>
                <w:kern w:val="0"/>
              </w:rPr>
              <w:t>企业现状</w:t>
            </w:r>
          </w:p>
        </w:tc>
      </w:tr>
      <w:tr w14:paraId="2A605ABA">
        <w:tblPrEx>
          <w:tblCellMar>
            <w:top w:w="0" w:type="dxa"/>
            <w:left w:w="108" w:type="dxa"/>
            <w:bottom w:w="0" w:type="dxa"/>
            <w:right w:w="108" w:type="dxa"/>
          </w:tblCellMar>
        </w:tblPrEx>
        <w:trPr>
          <w:trHeight w:val="283" w:hRule="atLeast"/>
          <w:tblHeader/>
        </w:trPr>
        <w:tc>
          <w:tcPr>
            <w:tcW w:w="635" w:type="dxa"/>
            <w:vMerge w:val="continue"/>
            <w:tcBorders>
              <w:left w:val="single" w:color="auto" w:sz="8" w:space="0"/>
              <w:bottom w:val="single" w:color="auto" w:sz="8" w:space="0"/>
              <w:right w:val="single" w:color="auto" w:sz="8" w:space="0"/>
            </w:tcBorders>
            <w:vAlign w:val="center"/>
          </w:tcPr>
          <w:p w14:paraId="78D95D89">
            <w:pPr>
              <w:pStyle w:val="24"/>
              <w:spacing w:line="240" w:lineRule="auto"/>
              <w:ind w:firstLine="0" w:firstLineChars="0"/>
              <w:rPr>
                <w:b/>
                <w:color w:val="000000"/>
                <w:kern w:val="0"/>
              </w:rPr>
            </w:pPr>
          </w:p>
        </w:tc>
        <w:tc>
          <w:tcPr>
            <w:tcW w:w="4206" w:type="dxa"/>
            <w:vMerge w:val="continue"/>
            <w:tcBorders>
              <w:left w:val="nil"/>
              <w:bottom w:val="single" w:color="auto" w:sz="8" w:space="0"/>
              <w:right w:val="single" w:color="auto" w:sz="8" w:space="0"/>
            </w:tcBorders>
            <w:vAlign w:val="center"/>
          </w:tcPr>
          <w:p w14:paraId="6C173769">
            <w:pPr>
              <w:pStyle w:val="24"/>
              <w:spacing w:line="240" w:lineRule="auto"/>
              <w:ind w:firstLine="0" w:firstLineChars="0"/>
              <w:rPr>
                <w:b/>
                <w:color w:val="000000"/>
                <w:kern w:val="0"/>
              </w:rPr>
            </w:pPr>
          </w:p>
        </w:tc>
        <w:tc>
          <w:tcPr>
            <w:tcW w:w="1227" w:type="dxa"/>
            <w:tcBorders>
              <w:top w:val="single" w:color="auto" w:sz="8" w:space="0"/>
              <w:left w:val="nil"/>
              <w:bottom w:val="single" w:color="auto" w:sz="8" w:space="0"/>
              <w:right w:val="single" w:color="auto" w:sz="8" w:space="0"/>
            </w:tcBorders>
            <w:vAlign w:val="center"/>
          </w:tcPr>
          <w:p w14:paraId="6E236861">
            <w:pPr>
              <w:pStyle w:val="24"/>
              <w:spacing w:line="240" w:lineRule="auto"/>
              <w:ind w:firstLine="0" w:firstLineChars="0"/>
              <w:rPr>
                <w:b/>
                <w:color w:val="000000"/>
                <w:kern w:val="0"/>
              </w:rPr>
            </w:pPr>
            <w:r>
              <w:rPr>
                <w:b/>
                <w:color w:val="000000"/>
                <w:kern w:val="0"/>
              </w:rPr>
              <w:t>有/是</w:t>
            </w:r>
          </w:p>
        </w:tc>
        <w:tc>
          <w:tcPr>
            <w:tcW w:w="1227" w:type="dxa"/>
            <w:tcBorders>
              <w:top w:val="single" w:color="auto" w:sz="8" w:space="0"/>
              <w:left w:val="nil"/>
              <w:bottom w:val="single" w:color="auto" w:sz="8" w:space="0"/>
              <w:right w:val="single" w:color="auto" w:sz="8" w:space="0"/>
            </w:tcBorders>
            <w:vAlign w:val="center"/>
          </w:tcPr>
          <w:p w14:paraId="03D843CD">
            <w:pPr>
              <w:pStyle w:val="24"/>
              <w:spacing w:line="240" w:lineRule="auto"/>
              <w:ind w:firstLine="0" w:firstLineChars="0"/>
              <w:rPr>
                <w:b/>
                <w:color w:val="000000"/>
                <w:kern w:val="0"/>
              </w:rPr>
            </w:pPr>
            <w:r>
              <w:rPr>
                <w:b/>
                <w:color w:val="000000"/>
                <w:kern w:val="0"/>
              </w:rPr>
              <w:t>无/不是</w:t>
            </w:r>
          </w:p>
        </w:tc>
        <w:tc>
          <w:tcPr>
            <w:tcW w:w="1227" w:type="dxa"/>
            <w:tcBorders>
              <w:top w:val="single" w:color="auto" w:sz="8" w:space="0"/>
              <w:left w:val="nil"/>
              <w:bottom w:val="single" w:color="auto" w:sz="8" w:space="0"/>
              <w:right w:val="single" w:color="auto" w:sz="8" w:space="0"/>
            </w:tcBorders>
            <w:vAlign w:val="center"/>
          </w:tcPr>
          <w:p w14:paraId="6E774954">
            <w:pPr>
              <w:pStyle w:val="24"/>
              <w:spacing w:line="240" w:lineRule="auto"/>
              <w:ind w:firstLine="0" w:firstLineChars="0"/>
              <w:rPr>
                <w:b/>
                <w:color w:val="000000"/>
                <w:kern w:val="0"/>
              </w:rPr>
            </w:pPr>
            <w:r>
              <w:rPr>
                <w:b/>
                <w:color w:val="000000"/>
                <w:kern w:val="0"/>
              </w:rPr>
              <w:t>不适合</w:t>
            </w:r>
          </w:p>
        </w:tc>
      </w:tr>
      <w:tr w14:paraId="459F6C12">
        <w:tblPrEx>
          <w:tblCellMar>
            <w:top w:w="0" w:type="dxa"/>
            <w:left w:w="108" w:type="dxa"/>
            <w:bottom w:w="0" w:type="dxa"/>
            <w:right w:w="108" w:type="dxa"/>
          </w:tblCellMar>
        </w:tblPrEx>
        <w:trPr>
          <w:trHeight w:val="283" w:hRule="atLeast"/>
        </w:trPr>
        <w:tc>
          <w:tcPr>
            <w:tcW w:w="635" w:type="dxa"/>
            <w:tcBorders>
              <w:top w:val="nil"/>
              <w:left w:val="single" w:color="auto" w:sz="8" w:space="0"/>
              <w:bottom w:val="single" w:color="auto" w:sz="8" w:space="0"/>
              <w:right w:val="single" w:color="auto" w:sz="8" w:space="0"/>
            </w:tcBorders>
            <w:vAlign w:val="center"/>
          </w:tcPr>
          <w:p w14:paraId="19FDCB97">
            <w:pPr>
              <w:pStyle w:val="24"/>
              <w:adjustRightInd w:val="0"/>
              <w:snapToGrid w:val="0"/>
              <w:spacing w:line="240" w:lineRule="auto"/>
              <w:ind w:firstLine="0" w:firstLineChars="0"/>
              <w:rPr>
                <w:color w:val="000000"/>
                <w:kern w:val="0"/>
              </w:rPr>
            </w:pPr>
            <w:r>
              <w:rPr>
                <w:color w:val="000000"/>
                <w:kern w:val="0"/>
              </w:rPr>
              <w:t>1</w:t>
            </w:r>
          </w:p>
        </w:tc>
        <w:tc>
          <w:tcPr>
            <w:tcW w:w="4206" w:type="dxa"/>
            <w:tcBorders>
              <w:top w:val="nil"/>
              <w:left w:val="nil"/>
              <w:bottom w:val="single" w:color="auto" w:sz="8" w:space="0"/>
              <w:right w:val="single" w:color="auto" w:sz="8" w:space="0"/>
            </w:tcBorders>
            <w:vAlign w:val="center"/>
          </w:tcPr>
          <w:p w14:paraId="29989BAE">
            <w:pPr>
              <w:pStyle w:val="24"/>
              <w:spacing w:line="240" w:lineRule="auto"/>
              <w:ind w:firstLine="0" w:firstLineChars="0"/>
              <w:jc w:val="both"/>
              <w:rPr>
                <w:color w:val="000000"/>
                <w:kern w:val="0"/>
              </w:rPr>
            </w:pPr>
            <w:r>
              <w:rPr>
                <w:color w:val="000000"/>
                <w:kern w:val="0"/>
              </w:rPr>
              <w:t>主要设备有定期检修和维护计划</w:t>
            </w:r>
            <w:r>
              <w:rPr>
                <w:rFonts w:hint="eastAsia"/>
                <w:color w:val="000000"/>
                <w:kern w:val="0"/>
              </w:rPr>
              <w:t>，并严格按计划落实</w:t>
            </w:r>
          </w:p>
        </w:tc>
        <w:tc>
          <w:tcPr>
            <w:tcW w:w="1227" w:type="dxa"/>
            <w:tcBorders>
              <w:top w:val="nil"/>
              <w:left w:val="nil"/>
              <w:bottom w:val="single" w:color="auto" w:sz="8" w:space="0"/>
              <w:right w:val="single" w:color="auto" w:sz="8" w:space="0"/>
            </w:tcBorders>
            <w:vAlign w:val="center"/>
          </w:tcPr>
          <w:p w14:paraId="6A19A441">
            <w:pPr>
              <w:pStyle w:val="24"/>
              <w:spacing w:line="240" w:lineRule="auto"/>
              <w:ind w:firstLine="0" w:firstLineChars="0"/>
              <w:rPr>
                <w:color w:val="000000"/>
                <w:kern w:val="0"/>
              </w:rPr>
            </w:pPr>
          </w:p>
        </w:tc>
        <w:tc>
          <w:tcPr>
            <w:tcW w:w="1227" w:type="dxa"/>
            <w:tcBorders>
              <w:top w:val="nil"/>
              <w:left w:val="nil"/>
              <w:bottom w:val="single" w:color="auto" w:sz="8" w:space="0"/>
              <w:right w:val="single" w:color="auto" w:sz="8" w:space="0"/>
            </w:tcBorders>
            <w:vAlign w:val="center"/>
          </w:tcPr>
          <w:p w14:paraId="267381BB">
            <w:pPr>
              <w:pStyle w:val="24"/>
              <w:spacing w:line="240" w:lineRule="auto"/>
              <w:ind w:firstLine="0" w:firstLineChars="0"/>
              <w:rPr>
                <w:color w:val="000000"/>
                <w:kern w:val="0"/>
              </w:rPr>
            </w:pPr>
          </w:p>
        </w:tc>
        <w:tc>
          <w:tcPr>
            <w:tcW w:w="1227" w:type="dxa"/>
            <w:tcBorders>
              <w:top w:val="nil"/>
              <w:left w:val="nil"/>
              <w:bottom w:val="single" w:color="auto" w:sz="8" w:space="0"/>
              <w:right w:val="single" w:color="auto" w:sz="8" w:space="0"/>
            </w:tcBorders>
            <w:vAlign w:val="center"/>
          </w:tcPr>
          <w:p w14:paraId="5A444BD9">
            <w:pPr>
              <w:pStyle w:val="24"/>
              <w:spacing w:line="240" w:lineRule="auto"/>
              <w:ind w:firstLine="0" w:firstLineChars="0"/>
              <w:rPr>
                <w:color w:val="000000"/>
                <w:kern w:val="0"/>
              </w:rPr>
            </w:pPr>
          </w:p>
        </w:tc>
      </w:tr>
      <w:tr w14:paraId="17CB3ECD">
        <w:tblPrEx>
          <w:tblCellMar>
            <w:top w:w="0" w:type="dxa"/>
            <w:left w:w="108" w:type="dxa"/>
            <w:bottom w:w="0" w:type="dxa"/>
            <w:right w:w="108" w:type="dxa"/>
          </w:tblCellMar>
        </w:tblPrEx>
        <w:trPr>
          <w:trHeight w:val="283" w:hRule="atLeast"/>
        </w:trPr>
        <w:tc>
          <w:tcPr>
            <w:tcW w:w="635" w:type="dxa"/>
            <w:tcBorders>
              <w:top w:val="nil"/>
              <w:left w:val="single" w:color="auto" w:sz="8" w:space="0"/>
              <w:bottom w:val="single" w:color="auto" w:sz="8" w:space="0"/>
              <w:right w:val="single" w:color="auto" w:sz="8" w:space="0"/>
            </w:tcBorders>
            <w:vAlign w:val="center"/>
          </w:tcPr>
          <w:p w14:paraId="5F5463A3">
            <w:pPr>
              <w:pStyle w:val="24"/>
              <w:adjustRightInd w:val="0"/>
              <w:snapToGrid w:val="0"/>
              <w:spacing w:line="240" w:lineRule="auto"/>
              <w:ind w:firstLine="0" w:firstLineChars="0"/>
              <w:rPr>
                <w:color w:val="000000"/>
                <w:kern w:val="0"/>
              </w:rPr>
            </w:pPr>
            <w:r>
              <w:rPr>
                <w:color w:val="000000"/>
                <w:kern w:val="0"/>
              </w:rPr>
              <w:t>2</w:t>
            </w:r>
          </w:p>
        </w:tc>
        <w:tc>
          <w:tcPr>
            <w:tcW w:w="4206" w:type="dxa"/>
            <w:tcBorders>
              <w:top w:val="nil"/>
              <w:left w:val="nil"/>
              <w:bottom w:val="single" w:color="auto" w:sz="8" w:space="0"/>
              <w:right w:val="single" w:color="auto" w:sz="8" w:space="0"/>
            </w:tcBorders>
            <w:vAlign w:val="center"/>
          </w:tcPr>
          <w:p w14:paraId="30AAA24F">
            <w:pPr>
              <w:pStyle w:val="24"/>
              <w:spacing w:line="240" w:lineRule="auto"/>
              <w:ind w:firstLine="0" w:firstLineChars="0"/>
              <w:jc w:val="both"/>
              <w:rPr>
                <w:color w:val="000000"/>
                <w:kern w:val="0"/>
              </w:rPr>
            </w:pPr>
            <w:r>
              <w:rPr>
                <w:color w:val="000000"/>
                <w:kern w:val="0"/>
              </w:rPr>
              <w:t>没有国家各法规政策明令淘汰的工艺设备</w:t>
            </w:r>
          </w:p>
        </w:tc>
        <w:tc>
          <w:tcPr>
            <w:tcW w:w="1227" w:type="dxa"/>
            <w:tcBorders>
              <w:top w:val="nil"/>
              <w:left w:val="nil"/>
              <w:bottom w:val="single" w:color="auto" w:sz="8" w:space="0"/>
              <w:right w:val="single" w:color="auto" w:sz="8" w:space="0"/>
            </w:tcBorders>
            <w:vAlign w:val="center"/>
          </w:tcPr>
          <w:p w14:paraId="0E6FC50C">
            <w:pPr>
              <w:pStyle w:val="24"/>
              <w:spacing w:line="240" w:lineRule="auto"/>
              <w:ind w:firstLine="0" w:firstLineChars="0"/>
              <w:rPr>
                <w:color w:val="000000"/>
                <w:kern w:val="0"/>
              </w:rPr>
            </w:pPr>
          </w:p>
        </w:tc>
        <w:tc>
          <w:tcPr>
            <w:tcW w:w="1227" w:type="dxa"/>
            <w:tcBorders>
              <w:top w:val="nil"/>
              <w:left w:val="nil"/>
              <w:bottom w:val="single" w:color="auto" w:sz="8" w:space="0"/>
              <w:right w:val="single" w:color="auto" w:sz="8" w:space="0"/>
            </w:tcBorders>
            <w:vAlign w:val="center"/>
          </w:tcPr>
          <w:p w14:paraId="05E7095F">
            <w:pPr>
              <w:pStyle w:val="24"/>
              <w:spacing w:line="240" w:lineRule="auto"/>
              <w:ind w:firstLine="0" w:firstLineChars="0"/>
              <w:rPr>
                <w:color w:val="000000"/>
                <w:kern w:val="0"/>
              </w:rPr>
            </w:pPr>
          </w:p>
        </w:tc>
        <w:tc>
          <w:tcPr>
            <w:tcW w:w="1227" w:type="dxa"/>
            <w:tcBorders>
              <w:top w:val="nil"/>
              <w:left w:val="nil"/>
              <w:bottom w:val="single" w:color="auto" w:sz="8" w:space="0"/>
              <w:right w:val="single" w:color="auto" w:sz="8" w:space="0"/>
            </w:tcBorders>
            <w:vAlign w:val="center"/>
          </w:tcPr>
          <w:p w14:paraId="6BDE6874">
            <w:pPr>
              <w:pStyle w:val="24"/>
              <w:spacing w:line="240" w:lineRule="auto"/>
              <w:ind w:firstLine="0" w:firstLineChars="0"/>
              <w:rPr>
                <w:color w:val="000000"/>
                <w:kern w:val="0"/>
              </w:rPr>
            </w:pPr>
          </w:p>
        </w:tc>
      </w:tr>
      <w:tr w14:paraId="1828129E">
        <w:tblPrEx>
          <w:tblCellMar>
            <w:top w:w="0" w:type="dxa"/>
            <w:left w:w="108" w:type="dxa"/>
            <w:bottom w:w="0" w:type="dxa"/>
            <w:right w:w="108" w:type="dxa"/>
          </w:tblCellMar>
        </w:tblPrEx>
        <w:trPr>
          <w:trHeight w:val="283" w:hRule="atLeast"/>
        </w:trPr>
        <w:tc>
          <w:tcPr>
            <w:tcW w:w="635" w:type="dxa"/>
            <w:tcBorders>
              <w:top w:val="nil"/>
              <w:left w:val="single" w:color="auto" w:sz="8" w:space="0"/>
              <w:bottom w:val="single" w:color="auto" w:sz="8" w:space="0"/>
              <w:right w:val="single" w:color="auto" w:sz="8" w:space="0"/>
            </w:tcBorders>
            <w:vAlign w:val="center"/>
          </w:tcPr>
          <w:p w14:paraId="0A38D44E">
            <w:pPr>
              <w:pStyle w:val="24"/>
              <w:adjustRightInd w:val="0"/>
              <w:snapToGrid w:val="0"/>
              <w:spacing w:line="240" w:lineRule="auto"/>
              <w:ind w:firstLine="0" w:firstLineChars="0"/>
              <w:rPr>
                <w:color w:val="000000"/>
                <w:kern w:val="0"/>
              </w:rPr>
            </w:pPr>
            <w:r>
              <w:rPr>
                <w:rFonts w:hint="eastAsia"/>
                <w:color w:val="000000"/>
                <w:kern w:val="0"/>
              </w:rPr>
              <w:t>3</w:t>
            </w:r>
          </w:p>
        </w:tc>
        <w:tc>
          <w:tcPr>
            <w:tcW w:w="4206" w:type="dxa"/>
            <w:tcBorders>
              <w:top w:val="nil"/>
              <w:left w:val="nil"/>
              <w:bottom w:val="single" w:color="auto" w:sz="8" w:space="0"/>
              <w:right w:val="single" w:color="auto" w:sz="8" w:space="0"/>
            </w:tcBorders>
            <w:vAlign w:val="center"/>
          </w:tcPr>
          <w:p w14:paraId="747ED176">
            <w:pPr>
              <w:pStyle w:val="24"/>
              <w:spacing w:line="240" w:lineRule="auto"/>
              <w:ind w:firstLine="0" w:firstLineChars="0"/>
              <w:jc w:val="both"/>
              <w:rPr>
                <w:color w:val="000000"/>
                <w:kern w:val="0"/>
              </w:rPr>
            </w:pPr>
            <w:r>
              <w:rPr>
                <w:rFonts w:hint="eastAsia"/>
                <w:color w:val="000000"/>
                <w:kern w:val="0"/>
              </w:rPr>
              <w:t>设备不存在设计缺陷和磨损</w:t>
            </w:r>
          </w:p>
        </w:tc>
        <w:tc>
          <w:tcPr>
            <w:tcW w:w="1227" w:type="dxa"/>
            <w:tcBorders>
              <w:top w:val="nil"/>
              <w:left w:val="nil"/>
              <w:bottom w:val="single" w:color="auto" w:sz="8" w:space="0"/>
              <w:right w:val="single" w:color="auto" w:sz="8" w:space="0"/>
            </w:tcBorders>
            <w:vAlign w:val="center"/>
          </w:tcPr>
          <w:p w14:paraId="0D3EE3C8">
            <w:pPr>
              <w:pStyle w:val="24"/>
              <w:spacing w:line="240" w:lineRule="auto"/>
              <w:ind w:firstLine="0" w:firstLineChars="0"/>
              <w:rPr>
                <w:color w:val="000000"/>
                <w:kern w:val="0"/>
              </w:rPr>
            </w:pPr>
          </w:p>
        </w:tc>
        <w:tc>
          <w:tcPr>
            <w:tcW w:w="1227" w:type="dxa"/>
            <w:tcBorders>
              <w:top w:val="nil"/>
              <w:left w:val="nil"/>
              <w:bottom w:val="single" w:color="auto" w:sz="8" w:space="0"/>
              <w:right w:val="single" w:color="auto" w:sz="8" w:space="0"/>
            </w:tcBorders>
            <w:vAlign w:val="center"/>
          </w:tcPr>
          <w:p w14:paraId="241CE1E2">
            <w:pPr>
              <w:pStyle w:val="24"/>
              <w:spacing w:line="240" w:lineRule="auto"/>
              <w:ind w:firstLine="0" w:firstLineChars="0"/>
              <w:rPr>
                <w:color w:val="000000"/>
                <w:kern w:val="0"/>
              </w:rPr>
            </w:pPr>
          </w:p>
        </w:tc>
        <w:tc>
          <w:tcPr>
            <w:tcW w:w="1227" w:type="dxa"/>
            <w:tcBorders>
              <w:top w:val="nil"/>
              <w:left w:val="nil"/>
              <w:bottom w:val="single" w:color="auto" w:sz="8" w:space="0"/>
              <w:right w:val="single" w:color="auto" w:sz="8" w:space="0"/>
            </w:tcBorders>
            <w:vAlign w:val="center"/>
          </w:tcPr>
          <w:p w14:paraId="55D1EC2F">
            <w:pPr>
              <w:pStyle w:val="24"/>
              <w:spacing w:line="240" w:lineRule="auto"/>
              <w:ind w:firstLine="0" w:firstLineChars="0"/>
              <w:rPr>
                <w:color w:val="000000"/>
                <w:kern w:val="0"/>
              </w:rPr>
            </w:pPr>
          </w:p>
        </w:tc>
      </w:tr>
      <w:tr w14:paraId="7E856D31">
        <w:tblPrEx>
          <w:tblCellMar>
            <w:top w:w="0" w:type="dxa"/>
            <w:left w:w="108" w:type="dxa"/>
            <w:bottom w:w="0" w:type="dxa"/>
            <w:right w:w="108" w:type="dxa"/>
          </w:tblCellMar>
        </w:tblPrEx>
        <w:trPr>
          <w:trHeight w:val="283" w:hRule="atLeast"/>
        </w:trPr>
        <w:tc>
          <w:tcPr>
            <w:tcW w:w="635" w:type="dxa"/>
            <w:tcBorders>
              <w:top w:val="nil"/>
              <w:left w:val="single" w:color="auto" w:sz="8" w:space="0"/>
              <w:bottom w:val="single" w:color="auto" w:sz="8" w:space="0"/>
              <w:right w:val="single" w:color="auto" w:sz="8" w:space="0"/>
            </w:tcBorders>
            <w:vAlign w:val="center"/>
          </w:tcPr>
          <w:p w14:paraId="6F269B8D">
            <w:pPr>
              <w:pStyle w:val="24"/>
              <w:adjustRightInd w:val="0"/>
              <w:snapToGrid w:val="0"/>
              <w:spacing w:line="240" w:lineRule="auto"/>
              <w:ind w:firstLine="0" w:firstLineChars="0"/>
              <w:rPr>
                <w:color w:val="000000"/>
                <w:kern w:val="0"/>
              </w:rPr>
            </w:pPr>
            <w:r>
              <w:rPr>
                <w:rFonts w:hint="eastAsia"/>
                <w:color w:val="000000"/>
                <w:kern w:val="0"/>
              </w:rPr>
              <w:t>4</w:t>
            </w:r>
          </w:p>
        </w:tc>
        <w:tc>
          <w:tcPr>
            <w:tcW w:w="4206" w:type="dxa"/>
            <w:tcBorders>
              <w:top w:val="nil"/>
              <w:left w:val="nil"/>
              <w:bottom w:val="single" w:color="auto" w:sz="8" w:space="0"/>
              <w:right w:val="single" w:color="auto" w:sz="8" w:space="0"/>
            </w:tcBorders>
            <w:vAlign w:val="center"/>
          </w:tcPr>
          <w:p w14:paraId="309B8991">
            <w:pPr>
              <w:pStyle w:val="24"/>
              <w:spacing w:line="240" w:lineRule="auto"/>
              <w:ind w:firstLine="0" w:firstLineChars="0"/>
              <w:jc w:val="both"/>
              <w:rPr>
                <w:color w:val="000000"/>
                <w:kern w:val="0"/>
              </w:rPr>
            </w:pPr>
            <w:r>
              <w:rPr>
                <w:rFonts w:hint="eastAsia"/>
                <w:color w:val="000000"/>
                <w:kern w:val="0"/>
              </w:rPr>
              <w:t>设备老化程度不会导致效率降低或污染物产生增加</w:t>
            </w:r>
          </w:p>
        </w:tc>
        <w:tc>
          <w:tcPr>
            <w:tcW w:w="1227" w:type="dxa"/>
            <w:tcBorders>
              <w:top w:val="nil"/>
              <w:left w:val="nil"/>
              <w:bottom w:val="single" w:color="auto" w:sz="8" w:space="0"/>
              <w:right w:val="single" w:color="auto" w:sz="8" w:space="0"/>
            </w:tcBorders>
            <w:vAlign w:val="center"/>
          </w:tcPr>
          <w:p w14:paraId="5FFC1117">
            <w:pPr>
              <w:pStyle w:val="24"/>
              <w:spacing w:line="240" w:lineRule="auto"/>
              <w:ind w:firstLine="0" w:firstLineChars="0"/>
              <w:rPr>
                <w:color w:val="000000"/>
                <w:kern w:val="0"/>
              </w:rPr>
            </w:pPr>
          </w:p>
        </w:tc>
        <w:tc>
          <w:tcPr>
            <w:tcW w:w="1227" w:type="dxa"/>
            <w:tcBorders>
              <w:top w:val="nil"/>
              <w:left w:val="nil"/>
              <w:bottom w:val="single" w:color="auto" w:sz="8" w:space="0"/>
              <w:right w:val="single" w:color="auto" w:sz="8" w:space="0"/>
            </w:tcBorders>
            <w:vAlign w:val="center"/>
          </w:tcPr>
          <w:p w14:paraId="059B2D20">
            <w:pPr>
              <w:pStyle w:val="24"/>
              <w:spacing w:line="240" w:lineRule="auto"/>
              <w:ind w:firstLine="0" w:firstLineChars="0"/>
              <w:rPr>
                <w:color w:val="000000"/>
                <w:kern w:val="0"/>
              </w:rPr>
            </w:pPr>
          </w:p>
        </w:tc>
        <w:tc>
          <w:tcPr>
            <w:tcW w:w="1227" w:type="dxa"/>
            <w:tcBorders>
              <w:top w:val="nil"/>
              <w:left w:val="nil"/>
              <w:bottom w:val="single" w:color="auto" w:sz="8" w:space="0"/>
              <w:right w:val="single" w:color="auto" w:sz="8" w:space="0"/>
            </w:tcBorders>
            <w:vAlign w:val="center"/>
          </w:tcPr>
          <w:p w14:paraId="2A9BE672">
            <w:pPr>
              <w:pStyle w:val="24"/>
              <w:spacing w:line="240" w:lineRule="auto"/>
              <w:ind w:firstLine="0" w:firstLineChars="0"/>
              <w:rPr>
                <w:color w:val="000000"/>
                <w:kern w:val="0"/>
              </w:rPr>
            </w:pPr>
          </w:p>
        </w:tc>
      </w:tr>
      <w:tr w14:paraId="72EA6FA2">
        <w:tblPrEx>
          <w:tblCellMar>
            <w:top w:w="0" w:type="dxa"/>
            <w:left w:w="108" w:type="dxa"/>
            <w:bottom w:w="0" w:type="dxa"/>
            <w:right w:w="108" w:type="dxa"/>
          </w:tblCellMar>
        </w:tblPrEx>
        <w:trPr>
          <w:trHeight w:val="283" w:hRule="atLeast"/>
        </w:trPr>
        <w:tc>
          <w:tcPr>
            <w:tcW w:w="635" w:type="dxa"/>
            <w:tcBorders>
              <w:top w:val="nil"/>
              <w:left w:val="single" w:color="auto" w:sz="8" w:space="0"/>
              <w:bottom w:val="single" w:color="auto" w:sz="8" w:space="0"/>
              <w:right w:val="single" w:color="auto" w:sz="8" w:space="0"/>
            </w:tcBorders>
            <w:vAlign w:val="center"/>
          </w:tcPr>
          <w:p w14:paraId="18F346B1">
            <w:pPr>
              <w:pStyle w:val="24"/>
              <w:adjustRightInd w:val="0"/>
              <w:snapToGrid w:val="0"/>
              <w:spacing w:line="240" w:lineRule="auto"/>
              <w:ind w:firstLine="0" w:firstLineChars="0"/>
              <w:rPr>
                <w:color w:val="000000"/>
                <w:kern w:val="0"/>
              </w:rPr>
            </w:pPr>
            <w:r>
              <w:rPr>
                <w:rFonts w:hint="eastAsia"/>
                <w:color w:val="000000"/>
                <w:kern w:val="0"/>
              </w:rPr>
              <w:t>5</w:t>
            </w:r>
          </w:p>
        </w:tc>
        <w:tc>
          <w:tcPr>
            <w:tcW w:w="4206" w:type="dxa"/>
            <w:tcBorders>
              <w:top w:val="nil"/>
              <w:left w:val="nil"/>
              <w:bottom w:val="single" w:color="auto" w:sz="8" w:space="0"/>
              <w:right w:val="single" w:color="auto" w:sz="8" w:space="0"/>
            </w:tcBorders>
            <w:vAlign w:val="center"/>
          </w:tcPr>
          <w:p w14:paraId="08FC9E53">
            <w:pPr>
              <w:pStyle w:val="24"/>
              <w:spacing w:line="240" w:lineRule="auto"/>
              <w:ind w:firstLine="0" w:firstLineChars="0"/>
              <w:jc w:val="both"/>
              <w:rPr>
                <w:color w:val="000000"/>
                <w:kern w:val="0"/>
              </w:rPr>
            </w:pPr>
            <w:r>
              <w:rPr>
                <w:rFonts w:hint="eastAsia"/>
                <w:color w:val="000000"/>
                <w:kern w:val="0"/>
              </w:rPr>
              <w:t>设备</w:t>
            </w:r>
            <w:r>
              <w:rPr>
                <w:rFonts w:hint="eastAsia" w:cs="Times New Roman" w:eastAsiaTheme="majorEastAsia"/>
              </w:rPr>
              <w:t>处于良好工作状态</w:t>
            </w:r>
          </w:p>
        </w:tc>
        <w:tc>
          <w:tcPr>
            <w:tcW w:w="1227" w:type="dxa"/>
            <w:tcBorders>
              <w:top w:val="nil"/>
              <w:left w:val="nil"/>
              <w:bottom w:val="single" w:color="auto" w:sz="8" w:space="0"/>
              <w:right w:val="single" w:color="auto" w:sz="8" w:space="0"/>
            </w:tcBorders>
            <w:vAlign w:val="center"/>
          </w:tcPr>
          <w:p w14:paraId="470594DC">
            <w:pPr>
              <w:pStyle w:val="24"/>
              <w:spacing w:line="240" w:lineRule="auto"/>
              <w:ind w:firstLine="0" w:firstLineChars="0"/>
              <w:rPr>
                <w:color w:val="000000"/>
                <w:kern w:val="0"/>
              </w:rPr>
            </w:pPr>
          </w:p>
        </w:tc>
        <w:tc>
          <w:tcPr>
            <w:tcW w:w="1227" w:type="dxa"/>
            <w:tcBorders>
              <w:top w:val="nil"/>
              <w:left w:val="nil"/>
              <w:bottom w:val="single" w:color="auto" w:sz="8" w:space="0"/>
              <w:right w:val="single" w:color="auto" w:sz="8" w:space="0"/>
            </w:tcBorders>
            <w:vAlign w:val="center"/>
          </w:tcPr>
          <w:p w14:paraId="155631AE">
            <w:pPr>
              <w:pStyle w:val="24"/>
              <w:spacing w:line="240" w:lineRule="auto"/>
              <w:ind w:firstLine="0" w:firstLineChars="0"/>
              <w:rPr>
                <w:color w:val="000000"/>
                <w:kern w:val="0"/>
              </w:rPr>
            </w:pPr>
          </w:p>
        </w:tc>
        <w:tc>
          <w:tcPr>
            <w:tcW w:w="1227" w:type="dxa"/>
            <w:tcBorders>
              <w:top w:val="nil"/>
              <w:left w:val="nil"/>
              <w:bottom w:val="single" w:color="auto" w:sz="8" w:space="0"/>
              <w:right w:val="single" w:color="auto" w:sz="8" w:space="0"/>
            </w:tcBorders>
            <w:vAlign w:val="center"/>
          </w:tcPr>
          <w:p w14:paraId="426709EB">
            <w:pPr>
              <w:pStyle w:val="24"/>
              <w:spacing w:line="240" w:lineRule="auto"/>
              <w:ind w:firstLine="0" w:firstLineChars="0"/>
              <w:rPr>
                <w:color w:val="000000"/>
                <w:kern w:val="0"/>
              </w:rPr>
            </w:pPr>
          </w:p>
        </w:tc>
      </w:tr>
      <w:tr w14:paraId="4E8D5AE4">
        <w:tblPrEx>
          <w:tblCellMar>
            <w:top w:w="0" w:type="dxa"/>
            <w:left w:w="108" w:type="dxa"/>
            <w:bottom w:w="0" w:type="dxa"/>
            <w:right w:w="108" w:type="dxa"/>
          </w:tblCellMar>
        </w:tblPrEx>
        <w:trPr>
          <w:trHeight w:val="283" w:hRule="atLeast"/>
        </w:trPr>
        <w:tc>
          <w:tcPr>
            <w:tcW w:w="635" w:type="dxa"/>
            <w:tcBorders>
              <w:top w:val="nil"/>
              <w:left w:val="single" w:color="auto" w:sz="8" w:space="0"/>
              <w:bottom w:val="single" w:color="auto" w:sz="8" w:space="0"/>
              <w:right w:val="single" w:color="auto" w:sz="8" w:space="0"/>
            </w:tcBorders>
            <w:vAlign w:val="center"/>
          </w:tcPr>
          <w:p w14:paraId="484BC324">
            <w:pPr>
              <w:pStyle w:val="24"/>
              <w:adjustRightInd w:val="0"/>
              <w:snapToGrid w:val="0"/>
              <w:spacing w:line="240" w:lineRule="auto"/>
              <w:ind w:firstLine="0" w:firstLineChars="0"/>
              <w:rPr>
                <w:color w:val="000000"/>
                <w:kern w:val="0"/>
              </w:rPr>
            </w:pPr>
            <w:r>
              <w:rPr>
                <w:rFonts w:hint="eastAsia"/>
                <w:color w:val="000000"/>
                <w:kern w:val="0"/>
              </w:rPr>
              <w:t>6</w:t>
            </w:r>
          </w:p>
        </w:tc>
        <w:tc>
          <w:tcPr>
            <w:tcW w:w="4206" w:type="dxa"/>
            <w:tcBorders>
              <w:top w:val="nil"/>
              <w:left w:val="nil"/>
              <w:bottom w:val="single" w:color="auto" w:sz="8" w:space="0"/>
              <w:right w:val="single" w:color="auto" w:sz="8" w:space="0"/>
            </w:tcBorders>
            <w:vAlign w:val="center"/>
          </w:tcPr>
          <w:p w14:paraId="2A149E13">
            <w:pPr>
              <w:pStyle w:val="24"/>
              <w:spacing w:line="240" w:lineRule="auto"/>
              <w:ind w:firstLine="0" w:firstLineChars="0"/>
              <w:jc w:val="both"/>
              <w:rPr>
                <w:color w:val="000000"/>
                <w:kern w:val="0"/>
              </w:rPr>
            </w:pPr>
            <w:r>
              <w:rPr>
                <w:rFonts w:hint="eastAsia"/>
                <w:color w:val="000000"/>
                <w:kern w:val="0"/>
              </w:rPr>
              <w:t>设备生产过程产生的污染物已经最低</w:t>
            </w:r>
          </w:p>
        </w:tc>
        <w:tc>
          <w:tcPr>
            <w:tcW w:w="1227" w:type="dxa"/>
            <w:tcBorders>
              <w:top w:val="nil"/>
              <w:left w:val="nil"/>
              <w:bottom w:val="single" w:color="auto" w:sz="8" w:space="0"/>
              <w:right w:val="single" w:color="auto" w:sz="8" w:space="0"/>
            </w:tcBorders>
            <w:vAlign w:val="center"/>
          </w:tcPr>
          <w:p w14:paraId="1A6DB069">
            <w:pPr>
              <w:pStyle w:val="24"/>
              <w:spacing w:line="240" w:lineRule="auto"/>
              <w:ind w:firstLine="0" w:firstLineChars="0"/>
              <w:rPr>
                <w:color w:val="000000"/>
                <w:kern w:val="0"/>
              </w:rPr>
            </w:pPr>
          </w:p>
        </w:tc>
        <w:tc>
          <w:tcPr>
            <w:tcW w:w="1227" w:type="dxa"/>
            <w:tcBorders>
              <w:top w:val="nil"/>
              <w:left w:val="nil"/>
              <w:bottom w:val="single" w:color="auto" w:sz="8" w:space="0"/>
              <w:right w:val="single" w:color="auto" w:sz="8" w:space="0"/>
            </w:tcBorders>
            <w:vAlign w:val="center"/>
          </w:tcPr>
          <w:p w14:paraId="24E29190">
            <w:pPr>
              <w:pStyle w:val="24"/>
              <w:spacing w:line="240" w:lineRule="auto"/>
              <w:ind w:firstLine="0" w:firstLineChars="0"/>
              <w:rPr>
                <w:color w:val="000000"/>
                <w:kern w:val="0"/>
              </w:rPr>
            </w:pPr>
          </w:p>
        </w:tc>
        <w:tc>
          <w:tcPr>
            <w:tcW w:w="1227" w:type="dxa"/>
            <w:tcBorders>
              <w:top w:val="nil"/>
              <w:left w:val="nil"/>
              <w:bottom w:val="single" w:color="auto" w:sz="8" w:space="0"/>
              <w:right w:val="single" w:color="auto" w:sz="8" w:space="0"/>
            </w:tcBorders>
            <w:vAlign w:val="center"/>
          </w:tcPr>
          <w:p w14:paraId="1B488146">
            <w:pPr>
              <w:pStyle w:val="24"/>
              <w:spacing w:line="240" w:lineRule="auto"/>
              <w:ind w:firstLine="0" w:firstLineChars="0"/>
              <w:rPr>
                <w:color w:val="000000"/>
                <w:kern w:val="0"/>
              </w:rPr>
            </w:pPr>
          </w:p>
        </w:tc>
      </w:tr>
      <w:tr w14:paraId="19659263">
        <w:tblPrEx>
          <w:tblCellMar>
            <w:top w:w="0" w:type="dxa"/>
            <w:left w:w="108" w:type="dxa"/>
            <w:bottom w:w="0" w:type="dxa"/>
            <w:right w:w="108" w:type="dxa"/>
          </w:tblCellMar>
        </w:tblPrEx>
        <w:trPr>
          <w:trHeight w:val="283" w:hRule="atLeast"/>
        </w:trPr>
        <w:tc>
          <w:tcPr>
            <w:tcW w:w="635" w:type="dxa"/>
            <w:tcBorders>
              <w:top w:val="nil"/>
              <w:left w:val="single" w:color="auto" w:sz="8" w:space="0"/>
              <w:bottom w:val="single" w:color="auto" w:sz="8" w:space="0"/>
              <w:right w:val="single" w:color="auto" w:sz="8" w:space="0"/>
            </w:tcBorders>
            <w:vAlign w:val="center"/>
          </w:tcPr>
          <w:p w14:paraId="26D7FA94">
            <w:pPr>
              <w:pStyle w:val="24"/>
              <w:adjustRightInd w:val="0"/>
              <w:snapToGrid w:val="0"/>
              <w:spacing w:line="240" w:lineRule="auto"/>
              <w:ind w:firstLine="0" w:firstLineChars="0"/>
              <w:rPr>
                <w:color w:val="000000"/>
                <w:kern w:val="0"/>
              </w:rPr>
            </w:pPr>
            <w:r>
              <w:rPr>
                <w:rFonts w:hint="eastAsia"/>
                <w:color w:val="000000"/>
                <w:kern w:val="0"/>
              </w:rPr>
              <w:t>7</w:t>
            </w:r>
          </w:p>
        </w:tc>
        <w:tc>
          <w:tcPr>
            <w:tcW w:w="4206" w:type="dxa"/>
            <w:tcBorders>
              <w:top w:val="nil"/>
              <w:left w:val="nil"/>
              <w:bottom w:val="single" w:color="auto" w:sz="8" w:space="0"/>
              <w:right w:val="single" w:color="auto" w:sz="8" w:space="0"/>
            </w:tcBorders>
            <w:vAlign w:val="center"/>
          </w:tcPr>
          <w:p w14:paraId="340F9A10">
            <w:pPr>
              <w:pStyle w:val="24"/>
              <w:spacing w:line="240" w:lineRule="auto"/>
              <w:ind w:firstLine="0" w:firstLineChars="0"/>
              <w:jc w:val="both"/>
              <w:rPr>
                <w:color w:val="000000"/>
                <w:kern w:val="0"/>
              </w:rPr>
            </w:pPr>
            <w:r>
              <w:rPr>
                <w:color w:val="000000"/>
                <w:kern w:val="0"/>
              </w:rPr>
              <w:t>主要生产设备为行业较为先进高效的设备（能耗与物耗）</w:t>
            </w:r>
          </w:p>
        </w:tc>
        <w:tc>
          <w:tcPr>
            <w:tcW w:w="1227" w:type="dxa"/>
            <w:tcBorders>
              <w:top w:val="nil"/>
              <w:left w:val="nil"/>
              <w:bottom w:val="single" w:color="auto" w:sz="8" w:space="0"/>
              <w:right w:val="single" w:color="auto" w:sz="8" w:space="0"/>
            </w:tcBorders>
            <w:vAlign w:val="center"/>
          </w:tcPr>
          <w:p w14:paraId="292EFBCE">
            <w:pPr>
              <w:pStyle w:val="24"/>
              <w:spacing w:line="240" w:lineRule="auto"/>
              <w:ind w:firstLine="0" w:firstLineChars="0"/>
              <w:rPr>
                <w:color w:val="000000"/>
                <w:kern w:val="0"/>
              </w:rPr>
            </w:pPr>
          </w:p>
        </w:tc>
        <w:tc>
          <w:tcPr>
            <w:tcW w:w="1227" w:type="dxa"/>
            <w:tcBorders>
              <w:top w:val="nil"/>
              <w:left w:val="nil"/>
              <w:bottom w:val="single" w:color="auto" w:sz="8" w:space="0"/>
              <w:right w:val="single" w:color="auto" w:sz="8" w:space="0"/>
            </w:tcBorders>
            <w:vAlign w:val="center"/>
          </w:tcPr>
          <w:p w14:paraId="22ECDF72">
            <w:pPr>
              <w:pStyle w:val="24"/>
              <w:spacing w:line="240" w:lineRule="auto"/>
              <w:ind w:firstLine="0" w:firstLineChars="0"/>
              <w:rPr>
                <w:color w:val="000000"/>
                <w:kern w:val="0"/>
              </w:rPr>
            </w:pPr>
          </w:p>
        </w:tc>
        <w:tc>
          <w:tcPr>
            <w:tcW w:w="1227" w:type="dxa"/>
            <w:tcBorders>
              <w:top w:val="nil"/>
              <w:left w:val="nil"/>
              <w:bottom w:val="single" w:color="auto" w:sz="8" w:space="0"/>
              <w:right w:val="single" w:color="auto" w:sz="8" w:space="0"/>
            </w:tcBorders>
            <w:vAlign w:val="center"/>
          </w:tcPr>
          <w:p w14:paraId="67912218">
            <w:pPr>
              <w:pStyle w:val="24"/>
              <w:spacing w:line="240" w:lineRule="auto"/>
              <w:ind w:firstLine="0" w:firstLineChars="0"/>
              <w:rPr>
                <w:color w:val="000000"/>
                <w:kern w:val="0"/>
              </w:rPr>
            </w:pPr>
          </w:p>
        </w:tc>
      </w:tr>
      <w:tr w14:paraId="1B59AD5A">
        <w:tblPrEx>
          <w:tblCellMar>
            <w:top w:w="0" w:type="dxa"/>
            <w:left w:w="108" w:type="dxa"/>
            <w:bottom w:w="0" w:type="dxa"/>
            <w:right w:w="108" w:type="dxa"/>
          </w:tblCellMar>
        </w:tblPrEx>
        <w:trPr>
          <w:trHeight w:val="283" w:hRule="atLeast"/>
        </w:trPr>
        <w:tc>
          <w:tcPr>
            <w:tcW w:w="635" w:type="dxa"/>
            <w:tcBorders>
              <w:top w:val="nil"/>
              <w:left w:val="single" w:color="auto" w:sz="8" w:space="0"/>
              <w:bottom w:val="single" w:color="auto" w:sz="8" w:space="0"/>
              <w:right w:val="single" w:color="auto" w:sz="8" w:space="0"/>
            </w:tcBorders>
            <w:vAlign w:val="center"/>
          </w:tcPr>
          <w:p w14:paraId="3CDB6288">
            <w:pPr>
              <w:pStyle w:val="24"/>
              <w:adjustRightInd w:val="0"/>
              <w:snapToGrid w:val="0"/>
              <w:spacing w:line="240" w:lineRule="auto"/>
              <w:ind w:firstLine="0" w:firstLineChars="0"/>
              <w:rPr>
                <w:color w:val="000000"/>
                <w:kern w:val="0"/>
              </w:rPr>
            </w:pPr>
            <w:r>
              <w:rPr>
                <w:rFonts w:hint="eastAsia"/>
                <w:color w:val="000000"/>
                <w:kern w:val="0"/>
              </w:rPr>
              <w:t>8</w:t>
            </w:r>
          </w:p>
        </w:tc>
        <w:tc>
          <w:tcPr>
            <w:tcW w:w="4206" w:type="dxa"/>
            <w:tcBorders>
              <w:top w:val="nil"/>
              <w:left w:val="nil"/>
              <w:bottom w:val="single" w:color="auto" w:sz="8" w:space="0"/>
              <w:right w:val="single" w:color="auto" w:sz="8" w:space="0"/>
            </w:tcBorders>
            <w:vAlign w:val="center"/>
          </w:tcPr>
          <w:p w14:paraId="3E427F73">
            <w:pPr>
              <w:pStyle w:val="24"/>
              <w:spacing w:line="240" w:lineRule="auto"/>
              <w:ind w:firstLine="0" w:firstLineChars="0"/>
              <w:jc w:val="both"/>
              <w:rPr>
                <w:color w:val="000000"/>
                <w:kern w:val="0"/>
              </w:rPr>
            </w:pPr>
            <w:r>
              <w:rPr>
                <w:color w:val="000000"/>
                <w:kern w:val="0"/>
              </w:rPr>
              <w:t>大部分电机为一级或二级能效等级</w:t>
            </w:r>
          </w:p>
        </w:tc>
        <w:tc>
          <w:tcPr>
            <w:tcW w:w="1227" w:type="dxa"/>
            <w:tcBorders>
              <w:top w:val="nil"/>
              <w:left w:val="nil"/>
              <w:bottom w:val="single" w:color="auto" w:sz="8" w:space="0"/>
              <w:right w:val="single" w:color="auto" w:sz="8" w:space="0"/>
            </w:tcBorders>
            <w:vAlign w:val="center"/>
          </w:tcPr>
          <w:p w14:paraId="4B4E2CD8">
            <w:pPr>
              <w:pStyle w:val="24"/>
              <w:spacing w:line="240" w:lineRule="auto"/>
              <w:ind w:firstLine="0" w:firstLineChars="0"/>
              <w:rPr>
                <w:color w:val="000000"/>
                <w:kern w:val="0"/>
              </w:rPr>
            </w:pPr>
          </w:p>
        </w:tc>
        <w:tc>
          <w:tcPr>
            <w:tcW w:w="1227" w:type="dxa"/>
            <w:tcBorders>
              <w:top w:val="nil"/>
              <w:left w:val="nil"/>
              <w:bottom w:val="single" w:color="auto" w:sz="8" w:space="0"/>
              <w:right w:val="single" w:color="auto" w:sz="8" w:space="0"/>
            </w:tcBorders>
            <w:vAlign w:val="center"/>
          </w:tcPr>
          <w:p w14:paraId="6D8BF85C">
            <w:pPr>
              <w:pStyle w:val="24"/>
              <w:spacing w:line="240" w:lineRule="auto"/>
              <w:ind w:firstLine="0" w:firstLineChars="0"/>
              <w:rPr>
                <w:color w:val="000000"/>
                <w:kern w:val="0"/>
              </w:rPr>
            </w:pPr>
          </w:p>
        </w:tc>
        <w:tc>
          <w:tcPr>
            <w:tcW w:w="1227" w:type="dxa"/>
            <w:tcBorders>
              <w:top w:val="nil"/>
              <w:left w:val="nil"/>
              <w:bottom w:val="single" w:color="auto" w:sz="8" w:space="0"/>
              <w:right w:val="single" w:color="auto" w:sz="8" w:space="0"/>
            </w:tcBorders>
            <w:vAlign w:val="center"/>
          </w:tcPr>
          <w:p w14:paraId="03C04445">
            <w:pPr>
              <w:pStyle w:val="24"/>
              <w:spacing w:line="240" w:lineRule="auto"/>
              <w:ind w:firstLine="0" w:firstLineChars="0"/>
              <w:rPr>
                <w:color w:val="000000"/>
                <w:kern w:val="0"/>
              </w:rPr>
            </w:pPr>
          </w:p>
        </w:tc>
      </w:tr>
      <w:tr w14:paraId="142FBEA5">
        <w:tblPrEx>
          <w:tblCellMar>
            <w:top w:w="0" w:type="dxa"/>
            <w:left w:w="108" w:type="dxa"/>
            <w:bottom w:w="0" w:type="dxa"/>
            <w:right w:w="108" w:type="dxa"/>
          </w:tblCellMar>
        </w:tblPrEx>
        <w:trPr>
          <w:trHeight w:val="283" w:hRule="atLeast"/>
        </w:trPr>
        <w:tc>
          <w:tcPr>
            <w:tcW w:w="635" w:type="dxa"/>
            <w:tcBorders>
              <w:top w:val="nil"/>
              <w:left w:val="single" w:color="auto" w:sz="8" w:space="0"/>
              <w:bottom w:val="single" w:color="auto" w:sz="8" w:space="0"/>
              <w:right w:val="single" w:color="auto" w:sz="8" w:space="0"/>
            </w:tcBorders>
            <w:vAlign w:val="center"/>
          </w:tcPr>
          <w:p w14:paraId="1245E52C">
            <w:pPr>
              <w:pStyle w:val="24"/>
              <w:adjustRightInd w:val="0"/>
              <w:snapToGrid w:val="0"/>
              <w:spacing w:line="240" w:lineRule="auto"/>
              <w:ind w:firstLine="0" w:firstLineChars="0"/>
              <w:rPr>
                <w:color w:val="000000"/>
                <w:kern w:val="0"/>
              </w:rPr>
            </w:pPr>
            <w:r>
              <w:rPr>
                <w:rFonts w:hint="eastAsia"/>
                <w:color w:val="000000"/>
                <w:kern w:val="0"/>
              </w:rPr>
              <w:t>9</w:t>
            </w:r>
          </w:p>
        </w:tc>
        <w:tc>
          <w:tcPr>
            <w:tcW w:w="4206" w:type="dxa"/>
            <w:tcBorders>
              <w:top w:val="nil"/>
              <w:left w:val="nil"/>
              <w:bottom w:val="single" w:color="auto" w:sz="8" w:space="0"/>
              <w:right w:val="single" w:color="auto" w:sz="8" w:space="0"/>
            </w:tcBorders>
            <w:vAlign w:val="center"/>
          </w:tcPr>
          <w:p w14:paraId="4BE5D362">
            <w:pPr>
              <w:pStyle w:val="24"/>
              <w:spacing w:line="240" w:lineRule="auto"/>
              <w:ind w:firstLine="0" w:firstLineChars="0"/>
              <w:jc w:val="both"/>
              <w:rPr>
                <w:color w:val="000000"/>
                <w:kern w:val="0"/>
              </w:rPr>
            </w:pPr>
            <w:r>
              <w:rPr>
                <w:color w:val="000000"/>
                <w:kern w:val="0"/>
              </w:rPr>
              <w:t>有定期更新升级设备设施计划</w:t>
            </w:r>
          </w:p>
        </w:tc>
        <w:tc>
          <w:tcPr>
            <w:tcW w:w="1227" w:type="dxa"/>
            <w:tcBorders>
              <w:top w:val="nil"/>
              <w:left w:val="nil"/>
              <w:bottom w:val="single" w:color="auto" w:sz="8" w:space="0"/>
              <w:right w:val="single" w:color="auto" w:sz="8" w:space="0"/>
            </w:tcBorders>
            <w:vAlign w:val="center"/>
          </w:tcPr>
          <w:p w14:paraId="146B2FC1">
            <w:pPr>
              <w:pStyle w:val="24"/>
              <w:spacing w:line="240" w:lineRule="auto"/>
              <w:ind w:firstLine="0" w:firstLineChars="0"/>
              <w:rPr>
                <w:color w:val="000000"/>
                <w:kern w:val="0"/>
              </w:rPr>
            </w:pPr>
          </w:p>
        </w:tc>
        <w:tc>
          <w:tcPr>
            <w:tcW w:w="1227" w:type="dxa"/>
            <w:tcBorders>
              <w:top w:val="nil"/>
              <w:left w:val="nil"/>
              <w:bottom w:val="single" w:color="auto" w:sz="8" w:space="0"/>
              <w:right w:val="single" w:color="auto" w:sz="8" w:space="0"/>
            </w:tcBorders>
            <w:vAlign w:val="center"/>
          </w:tcPr>
          <w:p w14:paraId="59ADA31C">
            <w:pPr>
              <w:pStyle w:val="24"/>
              <w:spacing w:line="240" w:lineRule="auto"/>
              <w:ind w:firstLine="0" w:firstLineChars="0"/>
              <w:rPr>
                <w:color w:val="000000"/>
                <w:kern w:val="0"/>
              </w:rPr>
            </w:pPr>
          </w:p>
        </w:tc>
        <w:tc>
          <w:tcPr>
            <w:tcW w:w="1227" w:type="dxa"/>
            <w:tcBorders>
              <w:top w:val="nil"/>
              <w:left w:val="nil"/>
              <w:bottom w:val="single" w:color="auto" w:sz="8" w:space="0"/>
              <w:right w:val="single" w:color="auto" w:sz="8" w:space="0"/>
            </w:tcBorders>
            <w:vAlign w:val="center"/>
          </w:tcPr>
          <w:p w14:paraId="418E79F5">
            <w:pPr>
              <w:pStyle w:val="24"/>
              <w:spacing w:line="240" w:lineRule="auto"/>
              <w:ind w:firstLine="0" w:firstLineChars="0"/>
              <w:rPr>
                <w:color w:val="000000"/>
                <w:kern w:val="0"/>
              </w:rPr>
            </w:pPr>
          </w:p>
        </w:tc>
      </w:tr>
      <w:tr w14:paraId="21AF1ADD">
        <w:tblPrEx>
          <w:tblCellMar>
            <w:top w:w="0" w:type="dxa"/>
            <w:left w:w="108" w:type="dxa"/>
            <w:bottom w:w="0" w:type="dxa"/>
            <w:right w:w="108" w:type="dxa"/>
          </w:tblCellMar>
        </w:tblPrEx>
        <w:trPr>
          <w:trHeight w:val="283" w:hRule="atLeast"/>
        </w:trPr>
        <w:tc>
          <w:tcPr>
            <w:tcW w:w="635" w:type="dxa"/>
            <w:tcBorders>
              <w:top w:val="nil"/>
              <w:left w:val="single" w:color="auto" w:sz="8" w:space="0"/>
              <w:bottom w:val="single" w:color="auto" w:sz="4" w:space="0"/>
              <w:right w:val="single" w:color="auto" w:sz="8" w:space="0"/>
            </w:tcBorders>
            <w:vAlign w:val="center"/>
          </w:tcPr>
          <w:p w14:paraId="4E706176">
            <w:pPr>
              <w:pStyle w:val="24"/>
              <w:adjustRightInd w:val="0"/>
              <w:snapToGrid w:val="0"/>
              <w:spacing w:line="240" w:lineRule="auto"/>
              <w:ind w:firstLine="0" w:firstLineChars="0"/>
              <w:rPr>
                <w:color w:val="000000"/>
                <w:kern w:val="0"/>
              </w:rPr>
            </w:pPr>
            <w:r>
              <w:rPr>
                <w:rFonts w:hint="eastAsia"/>
                <w:color w:val="000000"/>
                <w:kern w:val="0"/>
              </w:rPr>
              <w:t>10</w:t>
            </w:r>
          </w:p>
        </w:tc>
        <w:tc>
          <w:tcPr>
            <w:tcW w:w="4206" w:type="dxa"/>
            <w:tcBorders>
              <w:top w:val="nil"/>
              <w:left w:val="nil"/>
              <w:bottom w:val="single" w:color="auto" w:sz="4" w:space="0"/>
              <w:right w:val="single" w:color="auto" w:sz="8" w:space="0"/>
            </w:tcBorders>
            <w:vAlign w:val="center"/>
          </w:tcPr>
          <w:p w14:paraId="6B707DEF">
            <w:pPr>
              <w:pStyle w:val="24"/>
              <w:spacing w:line="240" w:lineRule="auto"/>
              <w:ind w:firstLine="0" w:firstLineChars="0"/>
              <w:jc w:val="both"/>
              <w:rPr>
                <w:color w:val="000000"/>
                <w:kern w:val="0"/>
              </w:rPr>
            </w:pPr>
            <w:r>
              <w:rPr>
                <w:rFonts w:hint="eastAsia"/>
                <w:color w:val="000000"/>
                <w:kern w:val="0"/>
              </w:rPr>
              <w:t>设备自动化</w:t>
            </w:r>
            <w:r>
              <w:rPr>
                <w:rFonts w:hint="eastAsia" w:cs="Times New Roman" w:eastAsiaTheme="majorEastAsia"/>
              </w:rPr>
              <w:t>、智能化</w:t>
            </w:r>
            <w:r>
              <w:rPr>
                <w:rFonts w:hint="eastAsia"/>
                <w:color w:val="000000"/>
                <w:kern w:val="0"/>
              </w:rPr>
              <w:t>水平和先进水平无提升空间</w:t>
            </w:r>
          </w:p>
        </w:tc>
        <w:tc>
          <w:tcPr>
            <w:tcW w:w="1227" w:type="dxa"/>
            <w:tcBorders>
              <w:top w:val="nil"/>
              <w:left w:val="nil"/>
              <w:bottom w:val="single" w:color="auto" w:sz="4" w:space="0"/>
              <w:right w:val="single" w:color="auto" w:sz="8" w:space="0"/>
            </w:tcBorders>
            <w:vAlign w:val="center"/>
          </w:tcPr>
          <w:p w14:paraId="08D741CE">
            <w:pPr>
              <w:pStyle w:val="24"/>
              <w:spacing w:line="240" w:lineRule="auto"/>
              <w:ind w:firstLine="0" w:firstLineChars="0"/>
              <w:rPr>
                <w:color w:val="000000"/>
                <w:kern w:val="0"/>
              </w:rPr>
            </w:pPr>
          </w:p>
        </w:tc>
        <w:tc>
          <w:tcPr>
            <w:tcW w:w="1227" w:type="dxa"/>
            <w:tcBorders>
              <w:top w:val="nil"/>
              <w:left w:val="nil"/>
              <w:bottom w:val="single" w:color="auto" w:sz="4" w:space="0"/>
              <w:right w:val="single" w:color="auto" w:sz="8" w:space="0"/>
            </w:tcBorders>
            <w:vAlign w:val="center"/>
          </w:tcPr>
          <w:p w14:paraId="3A393E77">
            <w:pPr>
              <w:pStyle w:val="24"/>
              <w:spacing w:line="240" w:lineRule="auto"/>
              <w:ind w:firstLine="0" w:firstLineChars="0"/>
              <w:rPr>
                <w:color w:val="000000"/>
                <w:kern w:val="0"/>
              </w:rPr>
            </w:pPr>
          </w:p>
        </w:tc>
        <w:tc>
          <w:tcPr>
            <w:tcW w:w="1227" w:type="dxa"/>
            <w:tcBorders>
              <w:top w:val="nil"/>
              <w:left w:val="nil"/>
              <w:bottom w:val="single" w:color="auto" w:sz="4" w:space="0"/>
              <w:right w:val="single" w:color="auto" w:sz="8" w:space="0"/>
            </w:tcBorders>
            <w:vAlign w:val="center"/>
          </w:tcPr>
          <w:p w14:paraId="4B80D61E">
            <w:pPr>
              <w:pStyle w:val="24"/>
              <w:spacing w:line="240" w:lineRule="auto"/>
              <w:ind w:firstLine="0" w:firstLineChars="0"/>
              <w:rPr>
                <w:color w:val="000000"/>
                <w:kern w:val="0"/>
              </w:rPr>
            </w:pPr>
          </w:p>
        </w:tc>
      </w:tr>
      <w:tr w14:paraId="5481166A">
        <w:tblPrEx>
          <w:tblCellMar>
            <w:top w:w="0" w:type="dxa"/>
            <w:left w:w="108" w:type="dxa"/>
            <w:bottom w:w="0" w:type="dxa"/>
            <w:right w:w="108" w:type="dxa"/>
          </w:tblCellMar>
        </w:tblPrEx>
        <w:trPr>
          <w:trHeight w:val="283" w:hRule="atLeast"/>
        </w:trPr>
        <w:tc>
          <w:tcPr>
            <w:tcW w:w="635" w:type="dxa"/>
            <w:tcBorders>
              <w:top w:val="nil"/>
              <w:left w:val="single" w:color="auto" w:sz="8" w:space="0"/>
              <w:bottom w:val="single" w:color="auto" w:sz="4" w:space="0"/>
              <w:right w:val="single" w:color="auto" w:sz="8" w:space="0"/>
            </w:tcBorders>
            <w:vAlign w:val="center"/>
          </w:tcPr>
          <w:p w14:paraId="6F2A2AA6">
            <w:pPr>
              <w:pStyle w:val="24"/>
              <w:adjustRightInd w:val="0"/>
              <w:snapToGrid w:val="0"/>
              <w:spacing w:line="240" w:lineRule="auto"/>
              <w:ind w:firstLine="0" w:firstLineChars="0"/>
              <w:rPr>
                <w:color w:val="000000"/>
                <w:kern w:val="0"/>
              </w:rPr>
            </w:pPr>
            <w:r>
              <w:rPr>
                <w:rFonts w:hint="eastAsia"/>
                <w:color w:val="000000"/>
                <w:kern w:val="0"/>
              </w:rPr>
              <w:t>11</w:t>
            </w:r>
          </w:p>
        </w:tc>
        <w:tc>
          <w:tcPr>
            <w:tcW w:w="4206" w:type="dxa"/>
            <w:tcBorders>
              <w:top w:val="nil"/>
              <w:left w:val="nil"/>
              <w:bottom w:val="single" w:color="auto" w:sz="4" w:space="0"/>
              <w:right w:val="single" w:color="auto" w:sz="8" w:space="0"/>
            </w:tcBorders>
            <w:vAlign w:val="center"/>
          </w:tcPr>
          <w:p w14:paraId="3DCF4BE5">
            <w:pPr>
              <w:pStyle w:val="24"/>
              <w:spacing w:line="240" w:lineRule="auto"/>
              <w:ind w:firstLine="0" w:firstLineChars="0"/>
              <w:jc w:val="both"/>
              <w:rPr>
                <w:color w:val="000000"/>
                <w:kern w:val="0"/>
              </w:rPr>
            </w:pPr>
            <w:r>
              <w:rPr>
                <w:rFonts w:hint="eastAsia"/>
                <w:color w:val="000000"/>
                <w:kern w:val="0"/>
              </w:rPr>
              <w:t>生产设备之间匹配性高</w:t>
            </w:r>
          </w:p>
        </w:tc>
        <w:tc>
          <w:tcPr>
            <w:tcW w:w="1227" w:type="dxa"/>
            <w:tcBorders>
              <w:top w:val="nil"/>
              <w:left w:val="nil"/>
              <w:bottom w:val="single" w:color="auto" w:sz="4" w:space="0"/>
              <w:right w:val="single" w:color="auto" w:sz="8" w:space="0"/>
            </w:tcBorders>
            <w:vAlign w:val="center"/>
          </w:tcPr>
          <w:p w14:paraId="3383C8A6">
            <w:pPr>
              <w:pStyle w:val="24"/>
              <w:spacing w:line="240" w:lineRule="auto"/>
              <w:ind w:firstLine="0" w:firstLineChars="0"/>
              <w:rPr>
                <w:color w:val="000000"/>
                <w:kern w:val="0"/>
              </w:rPr>
            </w:pPr>
          </w:p>
        </w:tc>
        <w:tc>
          <w:tcPr>
            <w:tcW w:w="1227" w:type="dxa"/>
            <w:tcBorders>
              <w:top w:val="nil"/>
              <w:left w:val="nil"/>
              <w:bottom w:val="single" w:color="auto" w:sz="4" w:space="0"/>
              <w:right w:val="single" w:color="auto" w:sz="8" w:space="0"/>
            </w:tcBorders>
            <w:vAlign w:val="center"/>
          </w:tcPr>
          <w:p w14:paraId="59CBE50C">
            <w:pPr>
              <w:pStyle w:val="24"/>
              <w:spacing w:line="240" w:lineRule="auto"/>
              <w:ind w:firstLine="0" w:firstLineChars="0"/>
              <w:rPr>
                <w:color w:val="000000"/>
                <w:kern w:val="0"/>
              </w:rPr>
            </w:pPr>
          </w:p>
        </w:tc>
        <w:tc>
          <w:tcPr>
            <w:tcW w:w="1227" w:type="dxa"/>
            <w:tcBorders>
              <w:top w:val="nil"/>
              <w:left w:val="nil"/>
              <w:bottom w:val="single" w:color="auto" w:sz="4" w:space="0"/>
              <w:right w:val="single" w:color="auto" w:sz="8" w:space="0"/>
            </w:tcBorders>
            <w:vAlign w:val="center"/>
          </w:tcPr>
          <w:p w14:paraId="53A48E67">
            <w:pPr>
              <w:pStyle w:val="24"/>
              <w:spacing w:line="240" w:lineRule="auto"/>
              <w:ind w:firstLine="0" w:firstLineChars="0"/>
              <w:rPr>
                <w:color w:val="000000"/>
                <w:kern w:val="0"/>
              </w:rPr>
            </w:pPr>
          </w:p>
        </w:tc>
      </w:tr>
      <w:tr w14:paraId="026E1366">
        <w:tblPrEx>
          <w:tblCellMar>
            <w:top w:w="0" w:type="dxa"/>
            <w:left w:w="108" w:type="dxa"/>
            <w:bottom w:w="0" w:type="dxa"/>
            <w:right w:w="108" w:type="dxa"/>
          </w:tblCellMar>
        </w:tblPrEx>
        <w:trPr>
          <w:trHeight w:val="283" w:hRule="atLeast"/>
        </w:trPr>
        <w:tc>
          <w:tcPr>
            <w:tcW w:w="635" w:type="dxa"/>
            <w:tcBorders>
              <w:top w:val="nil"/>
              <w:left w:val="single" w:color="auto" w:sz="8" w:space="0"/>
              <w:bottom w:val="single" w:color="auto" w:sz="4" w:space="0"/>
              <w:right w:val="single" w:color="auto" w:sz="8" w:space="0"/>
            </w:tcBorders>
            <w:vAlign w:val="center"/>
          </w:tcPr>
          <w:p w14:paraId="675E6096">
            <w:pPr>
              <w:pStyle w:val="24"/>
              <w:adjustRightInd w:val="0"/>
              <w:snapToGrid w:val="0"/>
              <w:spacing w:line="240" w:lineRule="auto"/>
              <w:ind w:firstLine="0" w:firstLineChars="0"/>
              <w:rPr>
                <w:color w:val="000000"/>
                <w:kern w:val="0"/>
              </w:rPr>
            </w:pPr>
            <w:r>
              <w:rPr>
                <w:rFonts w:hint="eastAsia"/>
                <w:color w:val="000000"/>
                <w:kern w:val="0"/>
              </w:rPr>
              <w:t>12</w:t>
            </w:r>
          </w:p>
        </w:tc>
        <w:tc>
          <w:tcPr>
            <w:tcW w:w="4206" w:type="dxa"/>
            <w:tcBorders>
              <w:top w:val="nil"/>
              <w:left w:val="nil"/>
              <w:bottom w:val="single" w:color="auto" w:sz="4" w:space="0"/>
              <w:right w:val="single" w:color="auto" w:sz="8" w:space="0"/>
            </w:tcBorders>
            <w:vAlign w:val="center"/>
          </w:tcPr>
          <w:p w14:paraId="1C476C8F">
            <w:pPr>
              <w:pStyle w:val="24"/>
              <w:spacing w:line="240" w:lineRule="auto"/>
              <w:ind w:firstLine="0" w:firstLineChars="0"/>
              <w:jc w:val="both"/>
              <w:rPr>
                <w:color w:val="000000"/>
                <w:kern w:val="0"/>
              </w:rPr>
            </w:pPr>
            <w:r>
              <w:rPr>
                <w:rFonts w:hint="eastAsia"/>
                <w:color w:val="000000"/>
                <w:kern w:val="0"/>
              </w:rPr>
              <w:t>设备布局合理</w:t>
            </w:r>
          </w:p>
        </w:tc>
        <w:tc>
          <w:tcPr>
            <w:tcW w:w="1227" w:type="dxa"/>
            <w:tcBorders>
              <w:top w:val="nil"/>
              <w:left w:val="nil"/>
              <w:bottom w:val="single" w:color="auto" w:sz="4" w:space="0"/>
              <w:right w:val="single" w:color="auto" w:sz="8" w:space="0"/>
            </w:tcBorders>
            <w:vAlign w:val="center"/>
          </w:tcPr>
          <w:p w14:paraId="7FA1E532">
            <w:pPr>
              <w:pStyle w:val="24"/>
              <w:spacing w:line="240" w:lineRule="auto"/>
              <w:ind w:firstLine="0" w:firstLineChars="0"/>
              <w:rPr>
                <w:color w:val="000000"/>
                <w:kern w:val="0"/>
              </w:rPr>
            </w:pPr>
          </w:p>
        </w:tc>
        <w:tc>
          <w:tcPr>
            <w:tcW w:w="1227" w:type="dxa"/>
            <w:tcBorders>
              <w:top w:val="nil"/>
              <w:left w:val="nil"/>
              <w:bottom w:val="single" w:color="auto" w:sz="4" w:space="0"/>
              <w:right w:val="single" w:color="auto" w:sz="8" w:space="0"/>
            </w:tcBorders>
            <w:vAlign w:val="center"/>
          </w:tcPr>
          <w:p w14:paraId="2A5ACBFD">
            <w:pPr>
              <w:pStyle w:val="24"/>
              <w:spacing w:line="240" w:lineRule="auto"/>
              <w:ind w:firstLine="0" w:firstLineChars="0"/>
              <w:rPr>
                <w:color w:val="000000"/>
                <w:kern w:val="0"/>
              </w:rPr>
            </w:pPr>
          </w:p>
        </w:tc>
        <w:tc>
          <w:tcPr>
            <w:tcW w:w="1227" w:type="dxa"/>
            <w:tcBorders>
              <w:top w:val="nil"/>
              <w:left w:val="nil"/>
              <w:bottom w:val="single" w:color="auto" w:sz="4" w:space="0"/>
              <w:right w:val="single" w:color="auto" w:sz="8" w:space="0"/>
            </w:tcBorders>
            <w:vAlign w:val="center"/>
          </w:tcPr>
          <w:p w14:paraId="46677A04">
            <w:pPr>
              <w:pStyle w:val="24"/>
              <w:spacing w:line="240" w:lineRule="auto"/>
              <w:ind w:firstLine="0" w:firstLineChars="0"/>
              <w:rPr>
                <w:color w:val="000000"/>
                <w:kern w:val="0"/>
              </w:rPr>
            </w:pPr>
          </w:p>
        </w:tc>
      </w:tr>
      <w:tr w14:paraId="0BCB42AA">
        <w:tblPrEx>
          <w:tblCellMar>
            <w:top w:w="0" w:type="dxa"/>
            <w:left w:w="108" w:type="dxa"/>
            <w:bottom w:w="0" w:type="dxa"/>
            <w:right w:w="108" w:type="dxa"/>
          </w:tblCellMar>
        </w:tblPrEx>
        <w:trPr>
          <w:trHeight w:val="283" w:hRule="atLeast"/>
        </w:trPr>
        <w:tc>
          <w:tcPr>
            <w:tcW w:w="635" w:type="dxa"/>
            <w:tcBorders>
              <w:top w:val="single" w:color="auto" w:sz="4" w:space="0"/>
              <w:left w:val="single" w:color="auto" w:sz="8" w:space="0"/>
              <w:bottom w:val="single" w:color="auto" w:sz="4" w:space="0"/>
              <w:right w:val="single" w:color="auto" w:sz="8" w:space="0"/>
            </w:tcBorders>
            <w:vAlign w:val="center"/>
          </w:tcPr>
          <w:p w14:paraId="7A71F5DA">
            <w:pPr>
              <w:pStyle w:val="24"/>
              <w:adjustRightInd w:val="0"/>
              <w:snapToGrid w:val="0"/>
              <w:spacing w:line="240" w:lineRule="auto"/>
              <w:ind w:firstLine="0" w:firstLineChars="0"/>
              <w:rPr>
                <w:color w:val="000000"/>
                <w:kern w:val="0"/>
              </w:rPr>
            </w:pPr>
            <w:r>
              <w:rPr>
                <w:rFonts w:hint="eastAsia"/>
                <w:color w:val="000000"/>
                <w:kern w:val="0"/>
              </w:rPr>
              <w:t>13</w:t>
            </w:r>
          </w:p>
        </w:tc>
        <w:tc>
          <w:tcPr>
            <w:tcW w:w="4206" w:type="dxa"/>
            <w:tcBorders>
              <w:top w:val="single" w:color="auto" w:sz="4" w:space="0"/>
              <w:left w:val="nil"/>
              <w:bottom w:val="single" w:color="auto" w:sz="4" w:space="0"/>
              <w:right w:val="single" w:color="auto" w:sz="8" w:space="0"/>
            </w:tcBorders>
            <w:vAlign w:val="center"/>
          </w:tcPr>
          <w:p w14:paraId="0BDF9FB1">
            <w:pPr>
              <w:pStyle w:val="24"/>
              <w:spacing w:line="240" w:lineRule="auto"/>
              <w:ind w:firstLine="0" w:firstLineChars="0"/>
              <w:jc w:val="both"/>
              <w:rPr>
                <w:color w:val="000000"/>
                <w:kern w:val="0"/>
              </w:rPr>
            </w:pPr>
            <w:r>
              <w:rPr>
                <w:rFonts w:hint="eastAsia"/>
                <w:color w:val="000000"/>
                <w:kern w:val="0"/>
              </w:rPr>
              <w:t>公</w:t>
            </w:r>
            <w:r>
              <w:rPr>
                <w:rFonts w:hint="eastAsia"/>
                <w:color w:val="000000"/>
                <w:kern w:val="0"/>
                <w:lang w:val="en-US" w:eastAsia="zh-CN"/>
              </w:rPr>
              <w:t>用</w:t>
            </w:r>
            <w:r>
              <w:rPr>
                <w:rFonts w:hint="eastAsia"/>
                <w:color w:val="000000"/>
                <w:kern w:val="0"/>
              </w:rPr>
              <w:t>设备与</w:t>
            </w:r>
            <w:r>
              <w:rPr>
                <w:rFonts w:hint="eastAsia"/>
                <w:color w:val="000000"/>
                <w:kern w:val="0"/>
                <w:lang w:val="en-US" w:eastAsia="zh-CN"/>
              </w:rPr>
              <w:t>主体</w:t>
            </w:r>
            <w:r>
              <w:rPr>
                <w:rFonts w:hint="eastAsia"/>
                <w:color w:val="000000"/>
                <w:kern w:val="0"/>
              </w:rPr>
              <w:t>设备配置合理</w:t>
            </w:r>
          </w:p>
        </w:tc>
        <w:tc>
          <w:tcPr>
            <w:tcW w:w="1227" w:type="dxa"/>
            <w:tcBorders>
              <w:top w:val="single" w:color="auto" w:sz="4" w:space="0"/>
              <w:left w:val="nil"/>
              <w:bottom w:val="single" w:color="auto" w:sz="4" w:space="0"/>
              <w:right w:val="single" w:color="auto" w:sz="8" w:space="0"/>
            </w:tcBorders>
            <w:vAlign w:val="center"/>
          </w:tcPr>
          <w:p w14:paraId="7B416CED">
            <w:pPr>
              <w:pStyle w:val="24"/>
              <w:spacing w:line="240" w:lineRule="auto"/>
              <w:ind w:firstLine="0" w:firstLineChars="0"/>
              <w:rPr>
                <w:color w:val="000000"/>
                <w:kern w:val="0"/>
              </w:rPr>
            </w:pPr>
          </w:p>
        </w:tc>
        <w:tc>
          <w:tcPr>
            <w:tcW w:w="1227" w:type="dxa"/>
            <w:tcBorders>
              <w:top w:val="single" w:color="auto" w:sz="4" w:space="0"/>
              <w:left w:val="nil"/>
              <w:bottom w:val="single" w:color="auto" w:sz="4" w:space="0"/>
              <w:right w:val="single" w:color="auto" w:sz="8" w:space="0"/>
            </w:tcBorders>
            <w:vAlign w:val="center"/>
          </w:tcPr>
          <w:p w14:paraId="699DAD0B">
            <w:pPr>
              <w:pStyle w:val="24"/>
              <w:spacing w:line="240" w:lineRule="auto"/>
              <w:ind w:firstLine="0" w:firstLineChars="0"/>
              <w:rPr>
                <w:color w:val="000000"/>
                <w:kern w:val="0"/>
              </w:rPr>
            </w:pPr>
          </w:p>
        </w:tc>
        <w:tc>
          <w:tcPr>
            <w:tcW w:w="1227" w:type="dxa"/>
            <w:tcBorders>
              <w:top w:val="single" w:color="auto" w:sz="4" w:space="0"/>
              <w:left w:val="nil"/>
              <w:bottom w:val="single" w:color="auto" w:sz="4" w:space="0"/>
              <w:right w:val="single" w:color="auto" w:sz="8" w:space="0"/>
            </w:tcBorders>
            <w:vAlign w:val="center"/>
          </w:tcPr>
          <w:p w14:paraId="6931D8AB">
            <w:pPr>
              <w:pStyle w:val="24"/>
              <w:spacing w:line="240" w:lineRule="auto"/>
              <w:ind w:firstLine="0" w:firstLineChars="0"/>
              <w:rPr>
                <w:color w:val="000000"/>
                <w:kern w:val="0"/>
              </w:rPr>
            </w:pPr>
          </w:p>
        </w:tc>
      </w:tr>
      <w:tr w14:paraId="61A73159">
        <w:tblPrEx>
          <w:tblCellMar>
            <w:top w:w="0" w:type="dxa"/>
            <w:left w:w="108" w:type="dxa"/>
            <w:bottom w:w="0" w:type="dxa"/>
            <w:right w:w="108" w:type="dxa"/>
          </w:tblCellMar>
        </w:tblPrEx>
        <w:trPr>
          <w:trHeight w:val="283" w:hRule="atLeast"/>
        </w:trPr>
        <w:tc>
          <w:tcPr>
            <w:tcW w:w="635" w:type="dxa"/>
            <w:tcBorders>
              <w:top w:val="single" w:color="auto" w:sz="4" w:space="0"/>
              <w:left w:val="single" w:color="auto" w:sz="4" w:space="0"/>
              <w:bottom w:val="single" w:color="auto" w:sz="4" w:space="0"/>
              <w:right w:val="single" w:color="auto" w:sz="4" w:space="0"/>
            </w:tcBorders>
            <w:vAlign w:val="center"/>
          </w:tcPr>
          <w:p w14:paraId="3DCB5053">
            <w:pPr>
              <w:pStyle w:val="24"/>
              <w:adjustRightInd w:val="0"/>
              <w:snapToGrid w:val="0"/>
              <w:spacing w:line="240" w:lineRule="auto"/>
              <w:ind w:firstLine="0" w:firstLineChars="0"/>
              <w:rPr>
                <w:color w:val="000000"/>
                <w:kern w:val="0"/>
              </w:rPr>
            </w:pPr>
            <w:r>
              <w:rPr>
                <w:rFonts w:hint="eastAsia"/>
                <w:color w:val="000000"/>
                <w:kern w:val="0"/>
              </w:rPr>
              <w:t>14</w:t>
            </w:r>
          </w:p>
        </w:tc>
        <w:tc>
          <w:tcPr>
            <w:tcW w:w="4206" w:type="dxa"/>
            <w:tcBorders>
              <w:top w:val="single" w:color="auto" w:sz="4" w:space="0"/>
              <w:left w:val="single" w:color="auto" w:sz="4" w:space="0"/>
              <w:bottom w:val="single" w:color="auto" w:sz="4" w:space="0"/>
              <w:right w:val="single" w:color="auto" w:sz="4" w:space="0"/>
            </w:tcBorders>
            <w:vAlign w:val="center"/>
          </w:tcPr>
          <w:p w14:paraId="22768E5D">
            <w:pPr>
              <w:pStyle w:val="24"/>
              <w:spacing w:line="240" w:lineRule="auto"/>
              <w:ind w:firstLine="0" w:firstLineChars="0"/>
              <w:jc w:val="both"/>
              <w:rPr>
                <w:rFonts w:eastAsiaTheme="majorEastAsia"/>
                <w:color w:val="000000"/>
                <w:kern w:val="0"/>
              </w:rPr>
            </w:pPr>
            <w:r>
              <w:rPr>
                <w:rFonts w:hint="eastAsia" w:cs="Times New Roman" w:eastAsiaTheme="majorEastAsia"/>
              </w:rPr>
              <w:t>设备功能与工艺要求匹配</w:t>
            </w:r>
          </w:p>
        </w:tc>
        <w:tc>
          <w:tcPr>
            <w:tcW w:w="1227" w:type="dxa"/>
            <w:tcBorders>
              <w:top w:val="single" w:color="auto" w:sz="4" w:space="0"/>
              <w:left w:val="single" w:color="auto" w:sz="4" w:space="0"/>
              <w:bottom w:val="single" w:color="auto" w:sz="4" w:space="0"/>
              <w:right w:val="single" w:color="auto" w:sz="4" w:space="0"/>
            </w:tcBorders>
          </w:tcPr>
          <w:p w14:paraId="3601D04D">
            <w:pPr>
              <w:pStyle w:val="24"/>
              <w:spacing w:line="240" w:lineRule="auto"/>
              <w:ind w:firstLine="0" w:firstLineChars="0"/>
              <w:rPr>
                <w:color w:val="000000"/>
                <w:kern w:val="0"/>
              </w:rPr>
            </w:pPr>
          </w:p>
        </w:tc>
        <w:tc>
          <w:tcPr>
            <w:tcW w:w="1227" w:type="dxa"/>
            <w:tcBorders>
              <w:top w:val="single" w:color="auto" w:sz="4" w:space="0"/>
              <w:left w:val="single" w:color="auto" w:sz="4" w:space="0"/>
              <w:bottom w:val="single" w:color="auto" w:sz="4" w:space="0"/>
              <w:right w:val="single" w:color="auto" w:sz="4" w:space="0"/>
            </w:tcBorders>
          </w:tcPr>
          <w:p w14:paraId="2F9B63F1">
            <w:pPr>
              <w:pStyle w:val="24"/>
              <w:spacing w:line="240" w:lineRule="auto"/>
              <w:ind w:firstLine="0" w:firstLineChars="0"/>
              <w:rPr>
                <w:color w:val="000000"/>
                <w:kern w:val="0"/>
              </w:rPr>
            </w:pPr>
          </w:p>
        </w:tc>
        <w:tc>
          <w:tcPr>
            <w:tcW w:w="1227" w:type="dxa"/>
            <w:tcBorders>
              <w:top w:val="single" w:color="auto" w:sz="4" w:space="0"/>
              <w:left w:val="single" w:color="auto" w:sz="4" w:space="0"/>
              <w:bottom w:val="single" w:color="auto" w:sz="4" w:space="0"/>
              <w:right w:val="single" w:color="auto" w:sz="4" w:space="0"/>
            </w:tcBorders>
          </w:tcPr>
          <w:p w14:paraId="41762DB7">
            <w:pPr>
              <w:pStyle w:val="24"/>
              <w:spacing w:line="240" w:lineRule="auto"/>
              <w:ind w:firstLine="0" w:firstLineChars="0"/>
              <w:rPr>
                <w:color w:val="000000"/>
                <w:kern w:val="0"/>
              </w:rPr>
            </w:pPr>
          </w:p>
        </w:tc>
      </w:tr>
    </w:tbl>
    <w:p w14:paraId="74210EF0">
      <w:pPr>
        <w:pStyle w:val="4"/>
        <w:adjustRightInd w:val="0"/>
        <w:snapToGrid w:val="0"/>
        <w:spacing w:before="156" w:beforeLines="50" w:after="0" w:line="240" w:lineRule="auto"/>
        <w:ind w:firstLine="0" w:firstLineChars="0"/>
        <w:jc w:val="center"/>
      </w:pPr>
      <w:r>
        <w:rPr>
          <w:rFonts w:hint="eastAsia"/>
        </w:rPr>
        <w:t>工作表</w:t>
      </w:r>
      <w:r>
        <w:rPr>
          <w:rFonts w:hint="eastAsia"/>
          <w:lang w:val="en-US" w:eastAsia="zh-CN"/>
        </w:rPr>
        <w:t>A.4</w:t>
      </w:r>
      <w:r>
        <w:rPr>
          <w:rFonts w:hint="eastAsia"/>
        </w:rPr>
        <w:t xml:space="preserve"> 过程控制现场考察表</w:t>
      </w:r>
    </w:p>
    <w:tbl>
      <w:tblPr>
        <w:tblStyle w:val="11"/>
        <w:tblW w:w="8519" w:type="dxa"/>
        <w:tblInd w:w="0" w:type="dxa"/>
        <w:tblLayout w:type="fixed"/>
        <w:tblCellMar>
          <w:top w:w="0" w:type="dxa"/>
          <w:left w:w="108" w:type="dxa"/>
          <w:bottom w:w="0" w:type="dxa"/>
          <w:right w:w="108" w:type="dxa"/>
        </w:tblCellMar>
      </w:tblPr>
      <w:tblGrid>
        <w:gridCol w:w="656"/>
        <w:gridCol w:w="4170"/>
        <w:gridCol w:w="1231"/>
        <w:gridCol w:w="1231"/>
        <w:gridCol w:w="1231"/>
      </w:tblGrid>
      <w:tr w14:paraId="26FE4AD2">
        <w:tblPrEx>
          <w:tblCellMar>
            <w:top w:w="0" w:type="dxa"/>
            <w:left w:w="108" w:type="dxa"/>
            <w:bottom w:w="0" w:type="dxa"/>
            <w:right w:w="108" w:type="dxa"/>
          </w:tblCellMar>
        </w:tblPrEx>
        <w:trPr>
          <w:trHeight w:val="283" w:hRule="atLeast"/>
        </w:trPr>
        <w:tc>
          <w:tcPr>
            <w:tcW w:w="656" w:type="dxa"/>
            <w:vMerge w:val="restart"/>
            <w:tcBorders>
              <w:top w:val="single" w:color="auto" w:sz="8" w:space="0"/>
              <w:left w:val="single" w:color="auto" w:sz="8" w:space="0"/>
              <w:right w:val="single" w:color="auto" w:sz="8" w:space="0"/>
            </w:tcBorders>
            <w:vAlign w:val="center"/>
          </w:tcPr>
          <w:p w14:paraId="622EA366">
            <w:pPr>
              <w:pStyle w:val="24"/>
              <w:spacing w:line="240" w:lineRule="auto"/>
              <w:ind w:firstLine="0" w:firstLineChars="0"/>
              <w:rPr>
                <w:b/>
                <w:kern w:val="0"/>
              </w:rPr>
            </w:pPr>
            <w:r>
              <w:rPr>
                <w:b/>
                <w:kern w:val="0"/>
              </w:rPr>
              <w:t>序号</w:t>
            </w:r>
          </w:p>
        </w:tc>
        <w:tc>
          <w:tcPr>
            <w:tcW w:w="4170" w:type="dxa"/>
            <w:vMerge w:val="restart"/>
            <w:tcBorders>
              <w:top w:val="single" w:color="auto" w:sz="8" w:space="0"/>
              <w:left w:val="nil"/>
              <w:right w:val="single" w:color="auto" w:sz="8" w:space="0"/>
            </w:tcBorders>
            <w:vAlign w:val="center"/>
          </w:tcPr>
          <w:p w14:paraId="6A5780FC">
            <w:pPr>
              <w:pStyle w:val="24"/>
              <w:spacing w:line="240" w:lineRule="auto"/>
              <w:ind w:firstLine="0" w:firstLineChars="0"/>
              <w:rPr>
                <w:b/>
                <w:kern w:val="0"/>
              </w:rPr>
            </w:pPr>
            <w:r>
              <w:rPr>
                <w:b/>
                <w:kern w:val="0"/>
              </w:rPr>
              <w:t>调查项目</w:t>
            </w:r>
          </w:p>
        </w:tc>
        <w:tc>
          <w:tcPr>
            <w:tcW w:w="3693" w:type="dxa"/>
            <w:gridSpan w:val="3"/>
            <w:tcBorders>
              <w:top w:val="single" w:color="auto" w:sz="8" w:space="0"/>
              <w:left w:val="nil"/>
              <w:bottom w:val="single" w:color="auto" w:sz="8" w:space="0"/>
              <w:right w:val="single" w:color="auto" w:sz="8" w:space="0"/>
            </w:tcBorders>
            <w:vAlign w:val="center"/>
          </w:tcPr>
          <w:p w14:paraId="566E7CED">
            <w:pPr>
              <w:pStyle w:val="24"/>
              <w:spacing w:line="240" w:lineRule="auto"/>
              <w:ind w:firstLine="0" w:firstLineChars="0"/>
              <w:rPr>
                <w:b/>
                <w:kern w:val="0"/>
              </w:rPr>
            </w:pPr>
            <w:r>
              <w:rPr>
                <w:b/>
                <w:kern w:val="0"/>
              </w:rPr>
              <w:t>企业现状</w:t>
            </w:r>
          </w:p>
        </w:tc>
      </w:tr>
      <w:tr w14:paraId="5AF8D235">
        <w:tblPrEx>
          <w:tblCellMar>
            <w:top w:w="0" w:type="dxa"/>
            <w:left w:w="108" w:type="dxa"/>
            <w:bottom w:w="0" w:type="dxa"/>
            <w:right w:w="108" w:type="dxa"/>
          </w:tblCellMar>
        </w:tblPrEx>
        <w:trPr>
          <w:trHeight w:val="283" w:hRule="atLeast"/>
        </w:trPr>
        <w:tc>
          <w:tcPr>
            <w:tcW w:w="656" w:type="dxa"/>
            <w:vMerge w:val="continue"/>
            <w:tcBorders>
              <w:left w:val="single" w:color="auto" w:sz="8" w:space="0"/>
              <w:bottom w:val="single" w:color="auto" w:sz="8" w:space="0"/>
              <w:right w:val="single" w:color="auto" w:sz="8" w:space="0"/>
            </w:tcBorders>
            <w:vAlign w:val="center"/>
          </w:tcPr>
          <w:p w14:paraId="00DB4D93">
            <w:pPr>
              <w:pStyle w:val="24"/>
              <w:spacing w:line="240" w:lineRule="auto"/>
              <w:ind w:firstLine="0" w:firstLineChars="0"/>
              <w:rPr>
                <w:b/>
                <w:kern w:val="0"/>
              </w:rPr>
            </w:pPr>
          </w:p>
        </w:tc>
        <w:tc>
          <w:tcPr>
            <w:tcW w:w="4170" w:type="dxa"/>
            <w:vMerge w:val="continue"/>
            <w:tcBorders>
              <w:left w:val="nil"/>
              <w:bottom w:val="single" w:color="auto" w:sz="8" w:space="0"/>
              <w:right w:val="single" w:color="auto" w:sz="8" w:space="0"/>
            </w:tcBorders>
            <w:vAlign w:val="center"/>
          </w:tcPr>
          <w:p w14:paraId="62B210ED">
            <w:pPr>
              <w:pStyle w:val="24"/>
              <w:spacing w:line="240" w:lineRule="auto"/>
              <w:ind w:firstLine="0" w:firstLineChars="0"/>
              <w:rPr>
                <w:b/>
                <w:kern w:val="0"/>
              </w:rPr>
            </w:pPr>
          </w:p>
        </w:tc>
        <w:tc>
          <w:tcPr>
            <w:tcW w:w="1231" w:type="dxa"/>
            <w:tcBorders>
              <w:top w:val="single" w:color="auto" w:sz="8" w:space="0"/>
              <w:left w:val="nil"/>
              <w:bottom w:val="single" w:color="auto" w:sz="8" w:space="0"/>
              <w:right w:val="single" w:color="auto" w:sz="8" w:space="0"/>
            </w:tcBorders>
            <w:vAlign w:val="center"/>
          </w:tcPr>
          <w:p w14:paraId="13C04512">
            <w:pPr>
              <w:pStyle w:val="24"/>
              <w:spacing w:line="240" w:lineRule="auto"/>
              <w:ind w:firstLine="0" w:firstLineChars="0"/>
              <w:rPr>
                <w:b/>
                <w:kern w:val="0"/>
              </w:rPr>
            </w:pPr>
            <w:r>
              <w:rPr>
                <w:b/>
                <w:kern w:val="0"/>
              </w:rPr>
              <w:t>有/是</w:t>
            </w:r>
          </w:p>
        </w:tc>
        <w:tc>
          <w:tcPr>
            <w:tcW w:w="1231" w:type="dxa"/>
            <w:tcBorders>
              <w:top w:val="single" w:color="auto" w:sz="8" w:space="0"/>
              <w:left w:val="nil"/>
              <w:bottom w:val="single" w:color="auto" w:sz="8" w:space="0"/>
              <w:right w:val="single" w:color="auto" w:sz="8" w:space="0"/>
            </w:tcBorders>
            <w:vAlign w:val="center"/>
          </w:tcPr>
          <w:p w14:paraId="30A4CA03">
            <w:pPr>
              <w:pStyle w:val="24"/>
              <w:spacing w:line="240" w:lineRule="auto"/>
              <w:ind w:firstLine="0" w:firstLineChars="0"/>
              <w:rPr>
                <w:b/>
                <w:kern w:val="0"/>
              </w:rPr>
            </w:pPr>
            <w:r>
              <w:rPr>
                <w:b/>
                <w:kern w:val="0"/>
              </w:rPr>
              <w:t>无/不是</w:t>
            </w:r>
          </w:p>
        </w:tc>
        <w:tc>
          <w:tcPr>
            <w:tcW w:w="1231" w:type="dxa"/>
            <w:tcBorders>
              <w:top w:val="single" w:color="auto" w:sz="8" w:space="0"/>
              <w:left w:val="nil"/>
              <w:bottom w:val="single" w:color="auto" w:sz="8" w:space="0"/>
              <w:right w:val="single" w:color="auto" w:sz="8" w:space="0"/>
            </w:tcBorders>
            <w:vAlign w:val="center"/>
          </w:tcPr>
          <w:p w14:paraId="7AE30C18">
            <w:pPr>
              <w:pStyle w:val="24"/>
              <w:spacing w:line="240" w:lineRule="auto"/>
              <w:ind w:firstLine="0" w:firstLineChars="0"/>
              <w:rPr>
                <w:b/>
                <w:kern w:val="0"/>
              </w:rPr>
            </w:pPr>
            <w:r>
              <w:rPr>
                <w:b/>
                <w:kern w:val="0"/>
              </w:rPr>
              <w:t>不适合</w:t>
            </w:r>
          </w:p>
        </w:tc>
      </w:tr>
      <w:tr w14:paraId="2DC5EB26">
        <w:tblPrEx>
          <w:tblCellMar>
            <w:top w:w="0" w:type="dxa"/>
            <w:left w:w="108" w:type="dxa"/>
            <w:bottom w:w="0" w:type="dxa"/>
            <w:right w:w="108" w:type="dxa"/>
          </w:tblCellMar>
        </w:tblPrEx>
        <w:trPr>
          <w:trHeight w:val="283" w:hRule="atLeast"/>
        </w:trPr>
        <w:tc>
          <w:tcPr>
            <w:tcW w:w="656" w:type="dxa"/>
            <w:tcBorders>
              <w:left w:val="single" w:color="auto" w:sz="8" w:space="0"/>
              <w:bottom w:val="single" w:color="auto" w:sz="8" w:space="0"/>
              <w:right w:val="single" w:color="auto" w:sz="8" w:space="0"/>
            </w:tcBorders>
            <w:vAlign w:val="center"/>
          </w:tcPr>
          <w:p w14:paraId="12D68F8A">
            <w:pPr>
              <w:pStyle w:val="24"/>
              <w:spacing w:line="240" w:lineRule="auto"/>
              <w:ind w:firstLine="0" w:firstLineChars="0"/>
              <w:rPr>
                <w:kern w:val="0"/>
              </w:rPr>
            </w:pPr>
            <w:r>
              <w:rPr>
                <w:kern w:val="0"/>
              </w:rPr>
              <w:t>1</w:t>
            </w:r>
          </w:p>
        </w:tc>
        <w:tc>
          <w:tcPr>
            <w:tcW w:w="4170" w:type="dxa"/>
            <w:tcBorders>
              <w:left w:val="nil"/>
              <w:bottom w:val="single" w:color="auto" w:sz="8" w:space="0"/>
              <w:right w:val="single" w:color="auto" w:sz="8" w:space="0"/>
            </w:tcBorders>
            <w:vAlign w:val="center"/>
          </w:tcPr>
          <w:p w14:paraId="18657439">
            <w:pPr>
              <w:pStyle w:val="24"/>
              <w:spacing w:line="240" w:lineRule="auto"/>
              <w:ind w:firstLine="0" w:firstLineChars="0"/>
              <w:jc w:val="both"/>
              <w:rPr>
                <w:color w:val="000000"/>
                <w:kern w:val="0"/>
              </w:rPr>
            </w:pPr>
            <w:r>
              <w:rPr>
                <w:color w:val="000000"/>
                <w:kern w:val="0"/>
              </w:rPr>
              <w:t>具有</w:t>
            </w:r>
            <w:r>
              <w:rPr>
                <w:rFonts w:hint="eastAsia"/>
                <w:color w:val="000000"/>
                <w:kern w:val="0"/>
              </w:rPr>
              <w:t>符合要求的</w:t>
            </w:r>
            <w:r>
              <w:rPr>
                <w:color w:val="000000"/>
                <w:kern w:val="0"/>
              </w:rPr>
              <w:t>计量体系（电、汽、气）</w:t>
            </w:r>
          </w:p>
        </w:tc>
        <w:tc>
          <w:tcPr>
            <w:tcW w:w="1231" w:type="dxa"/>
            <w:tcBorders>
              <w:top w:val="single" w:color="auto" w:sz="8" w:space="0"/>
              <w:left w:val="nil"/>
              <w:bottom w:val="single" w:color="auto" w:sz="8" w:space="0"/>
              <w:right w:val="single" w:color="auto" w:sz="8" w:space="0"/>
            </w:tcBorders>
            <w:vAlign w:val="center"/>
          </w:tcPr>
          <w:p w14:paraId="35CDFB5B">
            <w:pPr>
              <w:pStyle w:val="24"/>
              <w:spacing w:line="240" w:lineRule="auto"/>
              <w:ind w:firstLine="0" w:firstLineChars="0"/>
              <w:rPr>
                <w:b/>
                <w:kern w:val="0"/>
              </w:rPr>
            </w:pPr>
          </w:p>
        </w:tc>
        <w:tc>
          <w:tcPr>
            <w:tcW w:w="1231" w:type="dxa"/>
            <w:tcBorders>
              <w:top w:val="single" w:color="auto" w:sz="8" w:space="0"/>
              <w:left w:val="nil"/>
              <w:bottom w:val="single" w:color="auto" w:sz="8" w:space="0"/>
              <w:right w:val="single" w:color="auto" w:sz="8" w:space="0"/>
            </w:tcBorders>
            <w:vAlign w:val="center"/>
          </w:tcPr>
          <w:p w14:paraId="7DE0C701">
            <w:pPr>
              <w:pStyle w:val="24"/>
              <w:spacing w:line="240" w:lineRule="auto"/>
              <w:ind w:firstLine="0" w:firstLineChars="0"/>
              <w:rPr>
                <w:b/>
                <w:kern w:val="0"/>
              </w:rPr>
            </w:pPr>
          </w:p>
        </w:tc>
        <w:tc>
          <w:tcPr>
            <w:tcW w:w="1231" w:type="dxa"/>
            <w:tcBorders>
              <w:top w:val="single" w:color="auto" w:sz="8" w:space="0"/>
              <w:left w:val="nil"/>
              <w:bottom w:val="single" w:color="auto" w:sz="8" w:space="0"/>
              <w:right w:val="single" w:color="auto" w:sz="8" w:space="0"/>
            </w:tcBorders>
            <w:vAlign w:val="center"/>
          </w:tcPr>
          <w:p w14:paraId="6D55F224">
            <w:pPr>
              <w:pStyle w:val="24"/>
              <w:spacing w:line="240" w:lineRule="auto"/>
              <w:ind w:firstLine="0" w:firstLineChars="0"/>
              <w:rPr>
                <w:b/>
                <w:kern w:val="0"/>
              </w:rPr>
            </w:pPr>
          </w:p>
        </w:tc>
      </w:tr>
      <w:tr w14:paraId="12B2FEE7">
        <w:tblPrEx>
          <w:tblCellMar>
            <w:top w:w="0" w:type="dxa"/>
            <w:left w:w="108" w:type="dxa"/>
            <w:bottom w:w="0" w:type="dxa"/>
            <w:right w:w="108" w:type="dxa"/>
          </w:tblCellMar>
        </w:tblPrEx>
        <w:trPr>
          <w:trHeight w:val="283" w:hRule="atLeast"/>
        </w:trPr>
        <w:tc>
          <w:tcPr>
            <w:tcW w:w="656" w:type="dxa"/>
            <w:tcBorders>
              <w:left w:val="single" w:color="auto" w:sz="8" w:space="0"/>
              <w:bottom w:val="single" w:color="auto" w:sz="8" w:space="0"/>
              <w:right w:val="single" w:color="auto" w:sz="8" w:space="0"/>
            </w:tcBorders>
            <w:vAlign w:val="center"/>
          </w:tcPr>
          <w:p w14:paraId="3047D000">
            <w:pPr>
              <w:pStyle w:val="24"/>
              <w:spacing w:line="240" w:lineRule="auto"/>
              <w:ind w:firstLine="0" w:firstLineChars="0"/>
              <w:rPr>
                <w:kern w:val="0"/>
              </w:rPr>
            </w:pPr>
            <w:r>
              <w:rPr>
                <w:kern w:val="0"/>
              </w:rPr>
              <w:t>2</w:t>
            </w:r>
          </w:p>
        </w:tc>
        <w:tc>
          <w:tcPr>
            <w:tcW w:w="4170" w:type="dxa"/>
            <w:tcBorders>
              <w:left w:val="nil"/>
              <w:bottom w:val="single" w:color="auto" w:sz="8" w:space="0"/>
              <w:right w:val="single" w:color="auto" w:sz="8" w:space="0"/>
            </w:tcBorders>
            <w:vAlign w:val="center"/>
          </w:tcPr>
          <w:p w14:paraId="44CC6474">
            <w:pPr>
              <w:pStyle w:val="24"/>
              <w:spacing w:line="240" w:lineRule="auto"/>
              <w:ind w:firstLine="0" w:firstLineChars="0"/>
              <w:jc w:val="both"/>
              <w:rPr>
                <w:color w:val="000000"/>
                <w:kern w:val="0"/>
              </w:rPr>
            </w:pPr>
            <w:r>
              <w:rPr>
                <w:color w:val="000000"/>
                <w:kern w:val="0"/>
              </w:rPr>
              <w:t>大耗水量（用水量≥1t/h）设备设有计量仪表</w:t>
            </w:r>
          </w:p>
        </w:tc>
        <w:tc>
          <w:tcPr>
            <w:tcW w:w="1231" w:type="dxa"/>
            <w:tcBorders>
              <w:top w:val="single" w:color="auto" w:sz="8" w:space="0"/>
              <w:left w:val="nil"/>
              <w:bottom w:val="single" w:color="auto" w:sz="8" w:space="0"/>
              <w:right w:val="single" w:color="auto" w:sz="8" w:space="0"/>
            </w:tcBorders>
            <w:vAlign w:val="center"/>
          </w:tcPr>
          <w:p w14:paraId="7BBDCDAF">
            <w:pPr>
              <w:pStyle w:val="24"/>
              <w:spacing w:line="240" w:lineRule="auto"/>
              <w:ind w:firstLine="0" w:firstLineChars="0"/>
              <w:rPr>
                <w:b/>
                <w:kern w:val="0"/>
              </w:rPr>
            </w:pPr>
          </w:p>
        </w:tc>
        <w:tc>
          <w:tcPr>
            <w:tcW w:w="1231" w:type="dxa"/>
            <w:tcBorders>
              <w:top w:val="single" w:color="auto" w:sz="8" w:space="0"/>
              <w:left w:val="nil"/>
              <w:bottom w:val="single" w:color="auto" w:sz="8" w:space="0"/>
              <w:right w:val="single" w:color="auto" w:sz="8" w:space="0"/>
            </w:tcBorders>
            <w:vAlign w:val="center"/>
          </w:tcPr>
          <w:p w14:paraId="42291A1E">
            <w:pPr>
              <w:pStyle w:val="24"/>
              <w:spacing w:line="240" w:lineRule="auto"/>
              <w:ind w:firstLine="0" w:firstLineChars="0"/>
              <w:rPr>
                <w:b/>
                <w:kern w:val="0"/>
              </w:rPr>
            </w:pPr>
          </w:p>
        </w:tc>
        <w:tc>
          <w:tcPr>
            <w:tcW w:w="1231" w:type="dxa"/>
            <w:tcBorders>
              <w:top w:val="single" w:color="auto" w:sz="8" w:space="0"/>
              <w:left w:val="nil"/>
              <w:bottom w:val="single" w:color="auto" w:sz="8" w:space="0"/>
              <w:right w:val="single" w:color="auto" w:sz="8" w:space="0"/>
            </w:tcBorders>
            <w:vAlign w:val="center"/>
          </w:tcPr>
          <w:p w14:paraId="0A83E50B">
            <w:pPr>
              <w:pStyle w:val="24"/>
              <w:spacing w:line="240" w:lineRule="auto"/>
              <w:ind w:firstLine="0" w:firstLineChars="0"/>
              <w:rPr>
                <w:b/>
                <w:kern w:val="0"/>
              </w:rPr>
            </w:pPr>
          </w:p>
        </w:tc>
      </w:tr>
      <w:tr w14:paraId="06FF23E7">
        <w:tblPrEx>
          <w:tblCellMar>
            <w:top w:w="0" w:type="dxa"/>
            <w:left w:w="108" w:type="dxa"/>
            <w:bottom w:w="0" w:type="dxa"/>
            <w:right w:w="108" w:type="dxa"/>
          </w:tblCellMar>
        </w:tblPrEx>
        <w:trPr>
          <w:trHeight w:val="283" w:hRule="atLeast"/>
        </w:trPr>
        <w:tc>
          <w:tcPr>
            <w:tcW w:w="656" w:type="dxa"/>
            <w:tcBorders>
              <w:left w:val="single" w:color="auto" w:sz="8" w:space="0"/>
              <w:bottom w:val="single" w:color="auto" w:sz="8" w:space="0"/>
              <w:right w:val="single" w:color="auto" w:sz="8" w:space="0"/>
            </w:tcBorders>
            <w:vAlign w:val="center"/>
          </w:tcPr>
          <w:p w14:paraId="392981A8">
            <w:pPr>
              <w:pStyle w:val="24"/>
              <w:spacing w:line="240" w:lineRule="auto"/>
              <w:ind w:firstLine="0" w:firstLineChars="0"/>
              <w:rPr>
                <w:kern w:val="0"/>
              </w:rPr>
            </w:pPr>
            <w:r>
              <w:rPr>
                <w:kern w:val="0"/>
              </w:rPr>
              <w:t>3</w:t>
            </w:r>
          </w:p>
        </w:tc>
        <w:tc>
          <w:tcPr>
            <w:tcW w:w="4170" w:type="dxa"/>
            <w:tcBorders>
              <w:left w:val="nil"/>
              <w:bottom w:val="single" w:color="auto" w:sz="8" w:space="0"/>
              <w:right w:val="single" w:color="auto" w:sz="8" w:space="0"/>
            </w:tcBorders>
            <w:vAlign w:val="center"/>
          </w:tcPr>
          <w:p w14:paraId="37026812">
            <w:pPr>
              <w:pStyle w:val="24"/>
              <w:spacing w:line="240" w:lineRule="auto"/>
              <w:ind w:firstLine="0" w:firstLineChars="0"/>
              <w:jc w:val="both"/>
              <w:rPr>
                <w:b/>
                <w:kern w:val="0"/>
              </w:rPr>
            </w:pPr>
            <w:r>
              <w:rPr>
                <w:color w:val="000000"/>
                <w:kern w:val="0"/>
              </w:rPr>
              <w:t>各用水点水耗统计记录完善</w:t>
            </w:r>
          </w:p>
        </w:tc>
        <w:tc>
          <w:tcPr>
            <w:tcW w:w="1231" w:type="dxa"/>
            <w:tcBorders>
              <w:top w:val="single" w:color="auto" w:sz="8" w:space="0"/>
              <w:left w:val="nil"/>
              <w:bottom w:val="single" w:color="auto" w:sz="8" w:space="0"/>
              <w:right w:val="single" w:color="auto" w:sz="8" w:space="0"/>
            </w:tcBorders>
            <w:vAlign w:val="center"/>
          </w:tcPr>
          <w:p w14:paraId="01DAB0C7">
            <w:pPr>
              <w:pStyle w:val="24"/>
              <w:spacing w:line="240" w:lineRule="auto"/>
              <w:ind w:firstLine="0" w:firstLineChars="0"/>
              <w:rPr>
                <w:b/>
                <w:kern w:val="0"/>
              </w:rPr>
            </w:pPr>
          </w:p>
        </w:tc>
        <w:tc>
          <w:tcPr>
            <w:tcW w:w="1231" w:type="dxa"/>
            <w:tcBorders>
              <w:top w:val="single" w:color="auto" w:sz="8" w:space="0"/>
              <w:left w:val="nil"/>
              <w:bottom w:val="single" w:color="auto" w:sz="8" w:space="0"/>
              <w:right w:val="single" w:color="auto" w:sz="8" w:space="0"/>
            </w:tcBorders>
            <w:vAlign w:val="center"/>
          </w:tcPr>
          <w:p w14:paraId="25529E6F">
            <w:pPr>
              <w:pStyle w:val="24"/>
              <w:spacing w:line="240" w:lineRule="auto"/>
              <w:ind w:firstLine="0" w:firstLineChars="0"/>
              <w:rPr>
                <w:b/>
                <w:kern w:val="0"/>
              </w:rPr>
            </w:pPr>
          </w:p>
        </w:tc>
        <w:tc>
          <w:tcPr>
            <w:tcW w:w="1231" w:type="dxa"/>
            <w:tcBorders>
              <w:top w:val="single" w:color="auto" w:sz="8" w:space="0"/>
              <w:left w:val="nil"/>
              <w:bottom w:val="single" w:color="auto" w:sz="8" w:space="0"/>
              <w:right w:val="single" w:color="auto" w:sz="8" w:space="0"/>
            </w:tcBorders>
            <w:vAlign w:val="center"/>
          </w:tcPr>
          <w:p w14:paraId="62FB8977">
            <w:pPr>
              <w:pStyle w:val="24"/>
              <w:spacing w:line="240" w:lineRule="auto"/>
              <w:ind w:firstLine="0" w:firstLineChars="0"/>
              <w:rPr>
                <w:b/>
                <w:kern w:val="0"/>
              </w:rPr>
            </w:pPr>
          </w:p>
        </w:tc>
      </w:tr>
      <w:tr w14:paraId="51C3A7F4">
        <w:tblPrEx>
          <w:tblCellMar>
            <w:top w:w="0" w:type="dxa"/>
            <w:left w:w="108" w:type="dxa"/>
            <w:bottom w:w="0" w:type="dxa"/>
            <w:right w:w="108" w:type="dxa"/>
          </w:tblCellMar>
        </w:tblPrEx>
        <w:trPr>
          <w:trHeight w:val="283" w:hRule="atLeast"/>
        </w:trPr>
        <w:tc>
          <w:tcPr>
            <w:tcW w:w="656" w:type="dxa"/>
            <w:tcBorders>
              <w:left w:val="single" w:color="auto" w:sz="8" w:space="0"/>
              <w:bottom w:val="single" w:color="auto" w:sz="8" w:space="0"/>
              <w:right w:val="single" w:color="auto" w:sz="8" w:space="0"/>
            </w:tcBorders>
            <w:vAlign w:val="center"/>
          </w:tcPr>
          <w:p w14:paraId="4445C748">
            <w:pPr>
              <w:pStyle w:val="24"/>
              <w:spacing w:line="240" w:lineRule="auto"/>
              <w:ind w:firstLine="0" w:firstLineChars="0"/>
              <w:rPr>
                <w:kern w:val="0"/>
              </w:rPr>
            </w:pPr>
            <w:r>
              <w:rPr>
                <w:kern w:val="0"/>
              </w:rPr>
              <w:t>4</w:t>
            </w:r>
          </w:p>
        </w:tc>
        <w:tc>
          <w:tcPr>
            <w:tcW w:w="4170" w:type="dxa"/>
            <w:tcBorders>
              <w:left w:val="nil"/>
              <w:bottom w:val="single" w:color="auto" w:sz="8" w:space="0"/>
              <w:right w:val="single" w:color="auto" w:sz="8" w:space="0"/>
            </w:tcBorders>
            <w:vAlign w:val="center"/>
          </w:tcPr>
          <w:p w14:paraId="34CEFE50">
            <w:pPr>
              <w:pStyle w:val="24"/>
              <w:spacing w:line="240" w:lineRule="auto"/>
              <w:ind w:firstLine="0" w:firstLineChars="0"/>
              <w:jc w:val="both"/>
              <w:rPr>
                <w:color w:val="000000"/>
                <w:kern w:val="0"/>
              </w:rPr>
            </w:pPr>
            <w:r>
              <w:rPr>
                <w:color w:val="000000"/>
                <w:kern w:val="0"/>
              </w:rPr>
              <w:t>冷热管道（热水、蒸汽、热油、冷冻水）与管件（法兰借口、阀门、疏水阀、容器）做到有效保温与相应的维护</w:t>
            </w:r>
          </w:p>
        </w:tc>
        <w:tc>
          <w:tcPr>
            <w:tcW w:w="1231" w:type="dxa"/>
            <w:tcBorders>
              <w:top w:val="single" w:color="auto" w:sz="8" w:space="0"/>
              <w:left w:val="nil"/>
              <w:bottom w:val="single" w:color="auto" w:sz="8" w:space="0"/>
              <w:right w:val="single" w:color="auto" w:sz="8" w:space="0"/>
            </w:tcBorders>
            <w:vAlign w:val="center"/>
          </w:tcPr>
          <w:p w14:paraId="08B6160B">
            <w:pPr>
              <w:pStyle w:val="24"/>
              <w:spacing w:line="240" w:lineRule="auto"/>
              <w:ind w:firstLine="0" w:firstLineChars="0"/>
              <w:rPr>
                <w:b/>
                <w:kern w:val="0"/>
              </w:rPr>
            </w:pPr>
          </w:p>
        </w:tc>
        <w:tc>
          <w:tcPr>
            <w:tcW w:w="1231" w:type="dxa"/>
            <w:tcBorders>
              <w:top w:val="single" w:color="auto" w:sz="8" w:space="0"/>
              <w:left w:val="nil"/>
              <w:bottom w:val="single" w:color="auto" w:sz="8" w:space="0"/>
              <w:right w:val="single" w:color="auto" w:sz="8" w:space="0"/>
            </w:tcBorders>
            <w:vAlign w:val="center"/>
          </w:tcPr>
          <w:p w14:paraId="620B083E">
            <w:pPr>
              <w:pStyle w:val="24"/>
              <w:spacing w:line="240" w:lineRule="auto"/>
              <w:ind w:firstLine="0" w:firstLineChars="0"/>
              <w:rPr>
                <w:b/>
                <w:kern w:val="0"/>
              </w:rPr>
            </w:pPr>
          </w:p>
        </w:tc>
        <w:tc>
          <w:tcPr>
            <w:tcW w:w="1231" w:type="dxa"/>
            <w:tcBorders>
              <w:top w:val="single" w:color="auto" w:sz="8" w:space="0"/>
              <w:left w:val="nil"/>
              <w:bottom w:val="single" w:color="auto" w:sz="8" w:space="0"/>
              <w:right w:val="single" w:color="auto" w:sz="8" w:space="0"/>
            </w:tcBorders>
            <w:vAlign w:val="center"/>
          </w:tcPr>
          <w:p w14:paraId="46C8963D">
            <w:pPr>
              <w:pStyle w:val="24"/>
              <w:spacing w:line="240" w:lineRule="auto"/>
              <w:ind w:firstLine="0" w:firstLineChars="0"/>
              <w:rPr>
                <w:b/>
                <w:kern w:val="0"/>
              </w:rPr>
            </w:pPr>
          </w:p>
        </w:tc>
      </w:tr>
      <w:tr w14:paraId="4FD3069E">
        <w:tblPrEx>
          <w:tblCellMar>
            <w:top w:w="0" w:type="dxa"/>
            <w:left w:w="108" w:type="dxa"/>
            <w:bottom w:w="0" w:type="dxa"/>
            <w:right w:w="108" w:type="dxa"/>
          </w:tblCellMar>
        </w:tblPrEx>
        <w:trPr>
          <w:trHeight w:val="283" w:hRule="atLeast"/>
        </w:trPr>
        <w:tc>
          <w:tcPr>
            <w:tcW w:w="656" w:type="dxa"/>
            <w:tcBorders>
              <w:left w:val="single" w:color="auto" w:sz="8" w:space="0"/>
              <w:bottom w:val="single" w:color="auto" w:sz="8" w:space="0"/>
              <w:right w:val="single" w:color="auto" w:sz="8" w:space="0"/>
            </w:tcBorders>
            <w:vAlign w:val="center"/>
          </w:tcPr>
          <w:p w14:paraId="334E34D4">
            <w:pPr>
              <w:pStyle w:val="24"/>
              <w:spacing w:line="240" w:lineRule="auto"/>
              <w:ind w:firstLine="0" w:firstLineChars="0"/>
              <w:rPr>
                <w:kern w:val="0"/>
              </w:rPr>
            </w:pPr>
            <w:r>
              <w:rPr>
                <w:kern w:val="0"/>
              </w:rPr>
              <w:t>5</w:t>
            </w:r>
          </w:p>
        </w:tc>
        <w:tc>
          <w:tcPr>
            <w:tcW w:w="4170" w:type="dxa"/>
            <w:tcBorders>
              <w:left w:val="nil"/>
              <w:bottom w:val="single" w:color="auto" w:sz="8" w:space="0"/>
              <w:right w:val="single" w:color="auto" w:sz="8" w:space="0"/>
            </w:tcBorders>
            <w:vAlign w:val="center"/>
          </w:tcPr>
          <w:p w14:paraId="4469D13D">
            <w:pPr>
              <w:pStyle w:val="24"/>
              <w:spacing w:line="240" w:lineRule="auto"/>
              <w:ind w:firstLine="0" w:firstLineChars="0"/>
              <w:jc w:val="both"/>
              <w:rPr>
                <w:color w:val="000000"/>
                <w:kern w:val="0"/>
              </w:rPr>
            </w:pPr>
            <w:r>
              <w:rPr>
                <w:color w:val="000000"/>
                <w:kern w:val="0"/>
              </w:rPr>
              <w:t>大功率（装机功率≥100kW）耗电设备设有计量仪表</w:t>
            </w:r>
          </w:p>
        </w:tc>
        <w:tc>
          <w:tcPr>
            <w:tcW w:w="1231" w:type="dxa"/>
            <w:tcBorders>
              <w:top w:val="single" w:color="auto" w:sz="8" w:space="0"/>
              <w:left w:val="nil"/>
              <w:bottom w:val="single" w:color="auto" w:sz="8" w:space="0"/>
              <w:right w:val="single" w:color="auto" w:sz="8" w:space="0"/>
            </w:tcBorders>
            <w:vAlign w:val="center"/>
          </w:tcPr>
          <w:p w14:paraId="21F7E8EE">
            <w:pPr>
              <w:pStyle w:val="24"/>
              <w:spacing w:line="240" w:lineRule="auto"/>
              <w:ind w:firstLine="0" w:firstLineChars="0"/>
              <w:rPr>
                <w:b/>
                <w:kern w:val="0"/>
              </w:rPr>
            </w:pPr>
          </w:p>
        </w:tc>
        <w:tc>
          <w:tcPr>
            <w:tcW w:w="1231" w:type="dxa"/>
            <w:tcBorders>
              <w:top w:val="single" w:color="auto" w:sz="8" w:space="0"/>
              <w:left w:val="nil"/>
              <w:bottom w:val="single" w:color="auto" w:sz="8" w:space="0"/>
              <w:right w:val="single" w:color="auto" w:sz="8" w:space="0"/>
            </w:tcBorders>
            <w:vAlign w:val="center"/>
          </w:tcPr>
          <w:p w14:paraId="2A8969DB">
            <w:pPr>
              <w:pStyle w:val="24"/>
              <w:spacing w:line="240" w:lineRule="auto"/>
              <w:ind w:firstLine="0" w:firstLineChars="0"/>
              <w:rPr>
                <w:b/>
                <w:kern w:val="0"/>
              </w:rPr>
            </w:pPr>
          </w:p>
        </w:tc>
        <w:tc>
          <w:tcPr>
            <w:tcW w:w="1231" w:type="dxa"/>
            <w:tcBorders>
              <w:top w:val="single" w:color="auto" w:sz="8" w:space="0"/>
              <w:left w:val="nil"/>
              <w:bottom w:val="single" w:color="auto" w:sz="8" w:space="0"/>
              <w:right w:val="single" w:color="auto" w:sz="8" w:space="0"/>
            </w:tcBorders>
            <w:vAlign w:val="center"/>
          </w:tcPr>
          <w:p w14:paraId="3F79652C">
            <w:pPr>
              <w:pStyle w:val="24"/>
              <w:spacing w:line="240" w:lineRule="auto"/>
              <w:ind w:firstLine="0" w:firstLineChars="0"/>
              <w:rPr>
                <w:b/>
                <w:kern w:val="0"/>
              </w:rPr>
            </w:pPr>
          </w:p>
        </w:tc>
      </w:tr>
      <w:tr w14:paraId="5AD7FC7F">
        <w:tblPrEx>
          <w:tblCellMar>
            <w:top w:w="0" w:type="dxa"/>
            <w:left w:w="108" w:type="dxa"/>
            <w:bottom w:w="0" w:type="dxa"/>
            <w:right w:w="108" w:type="dxa"/>
          </w:tblCellMar>
        </w:tblPrEx>
        <w:trPr>
          <w:trHeight w:val="283" w:hRule="atLeast"/>
        </w:trPr>
        <w:tc>
          <w:tcPr>
            <w:tcW w:w="656" w:type="dxa"/>
            <w:tcBorders>
              <w:left w:val="single" w:color="auto" w:sz="8" w:space="0"/>
              <w:bottom w:val="single" w:color="auto" w:sz="8" w:space="0"/>
              <w:right w:val="single" w:color="auto" w:sz="8" w:space="0"/>
            </w:tcBorders>
            <w:vAlign w:val="center"/>
          </w:tcPr>
          <w:p w14:paraId="4726122B">
            <w:pPr>
              <w:pStyle w:val="24"/>
              <w:spacing w:line="240" w:lineRule="auto"/>
              <w:ind w:firstLine="0" w:firstLineChars="0"/>
              <w:rPr>
                <w:kern w:val="0"/>
              </w:rPr>
            </w:pPr>
            <w:r>
              <w:rPr>
                <w:kern w:val="0"/>
              </w:rPr>
              <w:t>6</w:t>
            </w:r>
          </w:p>
        </w:tc>
        <w:tc>
          <w:tcPr>
            <w:tcW w:w="4170" w:type="dxa"/>
            <w:tcBorders>
              <w:left w:val="nil"/>
              <w:bottom w:val="single" w:color="auto" w:sz="8" w:space="0"/>
              <w:right w:val="single" w:color="auto" w:sz="8" w:space="0"/>
            </w:tcBorders>
            <w:vAlign w:val="center"/>
          </w:tcPr>
          <w:p w14:paraId="67214BD8">
            <w:pPr>
              <w:pStyle w:val="24"/>
              <w:spacing w:line="240" w:lineRule="auto"/>
              <w:ind w:firstLine="0" w:firstLineChars="0"/>
              <w:jc w:val="both"/>
              <w:rPr>
                <w:color w:val="000000"/>
                <w:kern w:val="0"/>
              </w:rPr>
            </w:pPr>
            <w:r>
              <w:rPr>
                <w:color w:val="000000"/>
                <w:kern w:val="0"/>
              </w:rPr>
              <w:t>制定并执行了计量管理制度（电、汽、气）</w:t>
            </w:r>
          </w:p>
        </w:tc>
        <w:tc>
          <w:tcPr>
            <w:tcW w:w="1231" w:type="dxa"/>
            <w:tcBorders>
              <w:top w:val="single" w:color="auto" w:sz="8" w:space="0"/>
              <w:left w:val="nil"/>
              <w:bottom w:val="single" w:color="auto" w:sz="8" w:space="0"/>
              <w:right w:val="single" w:color="auto" w:sz="8" w:space="0"/>
            </w:tcBorders>
            <w:vAlign w:val="center"/>
          </w:tcPr>
          <w:p w14:paraId="5E6E5D54">
            <w:pPr>
              <w:pStyle w:val="24"/>
              <w:spacing w:line="240" w:lineRule="auto"/>
              <w:ind w:firstLine="0" w:firstLineChars="0"/>
              <w:rPr>
                <w:b/>
                <w:kern w:val="0"/>
              </w:rPr>
            </w:pPr>
          </w:p>
        </w:tc>
        <w:tc>
          <w:tcPr>
            <w:tcW w:w="1231" w:type="dxa"/>
            <w:tcBorders>
              <w:top w:val="single" w:color="auto" w:sz="8" w:space="0"/>
              <w:left w:val="nil"/>
              <w:bottom w:val="single" w:color="auto" w:sz="8" w:space="0"/>
              <w:right w:val="single" w:color="auto" w:sz="8" w:space="0"/>
            </w:tcBorders>
            <w:vAlign w:val="center"/>
          </w:tcPr>
          <w:p w14:paraId="42ECCE9D">
            <w:pPr>
              <w:pStyle w:val="24"/>
              <w:spacing w:line="240" w:lineRule="auto"/>
              <w:ind w:firstLine="0" w:firstLineChars="0"/>
              <w:rPr>
                <w:b/>
                <w:kern w:val="0"/>
              </w:rPr>
            </w:pPr>
          </w:p>
        </w:tc>
        <w:tc>
          <w:tcPr>
            <w:tcW w:w="1231" w:type="dxa"/>
            <w:tcBorders>
              <w:top w:val="single" w:color="auto" w:sz="8" w:space="0"/>
              <w:left w:val="nil"/>
              <w:bottom w:val="single" w:color="auto" w:sz="8" w:space="0"/>
              <w:right w:val="single" w:color="auto" w:sz="8" w:space="0"/>
            </w:tcBorders>
            <w:vAlign w:val="center"/>
          </w:tcPr>
          <w:p w14:paraId="000C1C4D">
            <w:pPr>
              <w:pStyle w:val="24"/>
              <w:spacing w:line="240" w:lineRule="auto"/>
              <w:ind w:firstLine="0" w:firstLineChars="0"/>
              <w:rPr>
                <w:b/>
                <w:kern w:val="0"/>
              </w:rPr>
            </w:pPr>
          </w:p>
        </w:tc>
      </w:tr>
      <w:tr w14:paraId="0505E6F5">
        <w:tblPrEx>
          <w:tblCellMar>
            <w:top w:w="0" w:type="dxa"/>
            <w:left w:w="108" w:type="dxa"/>
            <w:bottom w:w="0" w:type="dxa"/>
            <w:right w:w="108" w:type="dxa"/>
          </w:tblCellMar>
        </w:tblPrEx>
        <w:trPr>
          <w:trHeight w:val="283" w:hRule="atLeast"/>
        </w:trPr>
        <w:tc>
          <w:tcPr>
            <w:tcW w:w="656" w:type="dxa"/>
            <w:tcBorders>
              <w:left w:val="single" w:color="auto" w:sz="8" w:space="0"/>
              <w:bottom w:val="single" w:color="auto" w:sz="8" w:space="0"/>
              <w:right w:val="single" w:color="auto" w:sz="8" w:space="0"/>
            </w:tcBorders>
            <w:vAlign w:val="center"/>
          </w:tcPr>
          <w:p w14:paraId="64F81E00">
            <w:pPr>
              <w:pStyle w:val="24"/>
              <w:spacing w:line="240" w:lineRule="auto"/>
              <w:ind w:firstLine="0" w:firstLineChars="0"/>
              <w:rPr>
                <w:kern w:val="0"/>
              </w:rPr>
            </w:pPr>
            <w:r>
              <w:rPr>
                <w:kern w:val="0"/>
              </w:rPr>
              <w:t>7</w:t>
            </w:r>
          </w:p>
        </w:tc>
        <w:tc>
          <w:tcPr>
            <w:tcW w:w="4170" w:type="dxa"/>
            <w:tcBorders>
              <w:left w:val="nil"/>
              <w:bottom w:val="single" w:color="auto" w:sz="8" w:space="0"/>
              <w:right w:val="single" w:color="auto" w:sz="8" w:space="0"/>
            </w:tcBorders>
            <w:vAlign w:val="center"/>
          </w:tcPr>
          <w:p w14:paraId="102749F2">
            <w:pPr>
              <w:pStyle w:val="24"/>
              <w:spacing w:line="240" w:lineRule="auto"/>
              <w:ind w:firstLine="0" w:firstLineChars="0"/>
              <w:jc w:val="both"/>
              <w:rPr>
                <w:color w:val="000000"/>
                <w:kern w:val="0"/>
              </w:rPr>
            </w:pPr>
            <w:r>
              <w:rPr>
                <w:color w:val="000000"/>
                <w:kern w:val="0"/>
              </w:rPr>
              <w:t>各耗能部位能源消耗统计记录完善</w:t>
            </w:r>
          </w:p>
        </w:tc>
        <w:tc>
          <w:tcPr>
            <w:tcW w:w="1231" w:type="dxa"/>
            <w:tcBorders>
              <w:top w:val="single" w:color="auto" w:sz="8" w:space="0"/>
              <w:left w:val="nil"/>
              <w:bottom w:val="single" w:color="auto" w:sz="8" w:space="0"/>
              <w:right w:val="single" w:color="auto" w:sz="8" w:space="0"/>
            </w:tcBorders>
            <w:vAlign w:val="center"/>
          </w:tcPr>
          <w:p w14:paraId="121BD4BA">
            <w:pPr>
              <w:pStyle w:val="24"/>
              <w:spacing w:line="240" w:lineRule="auto"/>
              <w:ind w:firstLine="0" w:firstLineChars="0"/>
              <w:rPr>
                <w:b/>
                <w:kern w:val="0"/>
              </w:rPr>
            </w:pPr>
          </w:p>
        </w:tc>
        <w:tc>
          <w:tcPr>
            <w:tcW w:w="1231" w:type="dxa"/>
            <w:tcBorders>
              <w:top w:val="single" w:color="auto" w:sz="8" w:space="0"/>
              <w:left w:val="nil"/>
              <w:bottom w:val="single" w:color="auto" w:sz="8" w:space="0"/>
              <w:right w:val="single" w:color="auto" w:sz="8" w:space="0"/>
            </w:tcBorders>
            <w:vAlign w:val="center"/>
          </w:tcPr>
          <w:p w14:paraId="7C30BA88">
            <w:pPr>
              <w:pStyle w:val="24"/>
              <w:spacing w:line="240" w:lineRule="auto"/>
              <w:ind w:firstLine="0" w:firstLineChars="0"/>
              <w:rPr>
                <w:b/>
                <w:kern w:val="0"/>
              </w:rPr>
            </w:pPr>
          </w:p>
        </w:tc>
        <w:tc>
          <w:tcPr>
            <w:tcW w:w="1231" w:type="dxa"/>
            <w:tcBorders>
              <w:top w:val="single" w:color="auto" w:sz="8" w:space="0"/>
              <w:left w:val="nil"/>
              <w:bottom w:val="single" w:color="auto" w:sz="8" w:space="0"/>
              <w:right w:val="single" w:color="auto" w:sz="8" w:space="0"/>
            </w:tcBorders>
            <w:vAlign w:val="center"/>
          </w:tcPr>
          <w:p w14:paraId="63D603DD">
            <w:pPr>
              <w:pStyle w:val="24"/>
              <w:spacing w:line="240" w:lineRule="auto"/>
              <w:ind w:firstLine="0" w:firstLineChars="0"/>
              <w:rPr>
                <w:b/>
                <w:kern w:val="0"/>
              </w:rPr>
            </w:pPr>
          </w:p>
        </w:tc>
      </w:tr>
      <w:tr w14:paraId="71DE5A3B">
        <w:tblPrEx>
          <w:tblCellMar>
            <w:top w:w="0" w:type="dxa"/>
            <w:left w:w="108" w:type="dxa"/>
            <w:bottom w:w="0" w:type="dxa"/>
            <w:right w:w="108" w:type="dxa"/>
          </w:tblCellMar>
        </w:tblPrEx>
        <w:trPr>
          <w:trHeight w:val="283" w:hRule="atLeast"/>
        </w:trPr>
        <w:tc>
          <w:tcPr>
            <w:tcW w:w="656" w:type="dxa"/>
            <w:tcBorders>
              <w:left w:val="single" w:color="auto" w:sz="8" w:space="0"/>
              <w:bottom w:val="single" w:color="auto" w:sz="8" w:space="0"/>
              <w:right w:val="single" w:color="auto" w:sz="8" w:space="0"/>
            </w:tcBorders>
            <w:vAlign w:val="center"/>
          </w:tcPr>
          <w:p w14:paraId="1037C7F1">
            <w:pPr>
              <w:pStyle w:val="24"/>
              <w:spacing w:line="240" w:lineRule="auto"/>
              <w:ind w:firstLine="0" w:firstLineChars="0"/>
              <w:rPr>
                <w:kern w:val="0"/>
              </w:rPr>
            </w:pPr>
            <w:r>
              <w:rPr>
                <w:kern w:val="0"/>
              </w:rPr>
              <w:t>8</w:t>
            </w:r>
          </w:p>
        </w:tc>
        <w:tc>
          <w:tcPr>
            <w:tcW w:w="4170" w:type="dxa"/>
            <w:tcBorders>
              <w:left w:val="nil"/>
              <w:bottom w:val="single" w:color="auto" w:sz="8" w:space="0"/>
              <w:right w:val="single" w:color="auto" w:sz="8" w:space="0"/>
            </w:tcBorders>
            <w:vAlign w:val="center"/>
          </w:tcPr>
          <w:p w14:paraId="3BFFD2B7">
            <w:pPr>
              <w:pStyle w:val="24"/>
              <w:spacing w:line="240" w:lineRule="auto"/>
              <w:ind w:firstLine="0" w:firstLineChars="0"/>
              <w:jc w:val="both"/>
              <w:rPr>
                <w:rFonts w:eastAsiaTheme="majorEastAsia"/>
                <w:kern w:val="0"/>
              </w:rPr>
            </w:pPr>
            <w:r>
              <w:rPr>
                <w:rFonts w:hint="eastAsia" w:cs="Times New Roman" w:eastAsiaTheme="majorEastAsia"/>
              </w:rPr>
              <w:t>各类仪表（包括原辅料、水、能源及生产工艺控制）安装的位置合理</w:t>
            </w:r>
            <w:r>
              <w:rPr>
                <w:rFonts w:hint="eastAsia" w:cs="Times New Roman" w:eastAsiaTheme="majorEastAsia"/>
                <w:lang w:eastAsia="zh-CN"/>
              </w:rPr>
              <w:t>，</w:t>
            </w:r>
            <w:r>
              <w:rPr>
                <w:rFonts w:hint="eastAsia" w:cs="Times New Roman" w:eastAsiaTheme="majorEastAsia"/>
              </w:rPr>
              <w:t>便于维护和校准</w:t>
            </w:r>
          </w:p>
        </w:tc>
        <w:tc>
          <w:tcPr>
            <w:tcW w:w="1231" w:type="dxa"/>
            <w:tcBorders>
              <w:top w:val="single" w:color="auto" w:sz="8" w:space="0"/>
              <w:left w:val="nil"/>
              <w:bottom w:val="single" w:color="auto" w:sz="8" w:space="0"/>
              <w:right w:val="single" w:color="auto" w:sz="8" w:space="0"/>
            </w:tcBorders>
            <w:vAlign w:val="center"/>
          </w:tcPr>
          <w:p w14:paraId="32B237EA">
            <w:pPr>
              <w:pStyle w:val="24"/>
              <w:spacing w:line="240" w:lineRule="auto"/>
              <w:ind w:firstLine="0" w:firstLineChars="0"/>
              <w:rPr>
                <w:b/>
                <w:kern w:val="0"/>
              </w:rPr>
            </w:pPr>
          </w:p>
        </w:tc>
        <w:tc>
          <w:tcPr>
            <w:tcW w:w="1231" w:type="dxa"/>
            <w:tcBorders>
              <w:top w:val="single" w:color="auto" w:sz="8" w:space="0"/>
              <w:left w:val="nil"/>
              <w:bottom w:val="single" w:color="auto" w:sz="8" w:space="0"/>
              <w:right w:val="single" w:color="auto" w:sz="8" w:space="0"/>
            </w:tcBorders>
            <w:vAlign w:val="center"/>
          </w:tcPr>
          <w:p w14:paraId="076FB184">
            <w:pPr>
              <w:pStyle w:val="24"/>
              <w:spacing w:line="240" w:lineRule="auto"/>
              <w:ind w:firstLine="0" w:firstLineChars="0"/>
              <w:rPr>
                <w:b/>
                <w:kern w:val="0"/>
              </w:rPr>
            </w:pPr>
          </w:p>
        </w:tc>
        <w:tc>
          <w:tcPr>
            <w:tcW w:w="1231" w:type="dxa"/>
            <w:tcBorders>
              <w:top w:val="single" w:color="auto" w:sz="8" w:space="0"/>
              <w:left w:val="nil"/>
              <w:bottom w:val="single" w:color="auto" w:sz="8" w:space="0"/>
              <w:right w:val="single" w:color="auto" w:sz="8" w:space="0"/>
            </w:tcBorders>
            <w:vAlign w:val="center"/>
          </w:tcPr>
          <w:p w14:paraId="5C2C71C1">
            <w:pPr>
              <w:pStyle w:val="24"/>
              <w:spacing w:line="240" w:lineRule="auto"/>
              <w:ind w:firstLine="0" w:firstLineChars="0"/>
              <w:rPr>
                <w:b/>
                <w:kern w:val="0"/>
              </w:rPr>
            </w:pPr>
          </w:p>
        </w:tc>
      </w:tr>
      <w:tr w14:paraId="601D068E">
        <w:tblPrEx>
          <w:tblCellMar>
            <w:top w:w="0" w:type="dxa"/>
            <w:left w:w="108" w:type="dxa"/>
            <w:bottom w:w="0" w:type="dxa"/>
            <w:right w:w="108" w:type="dxa"/>
          </w:tblCellMar>
        </w:tblPrEx>
        <w:trPr>
          <w:trHeight w:val="283" w:hRule="atLeast"/>
        </w:trPr>
        <w:tc>
          <w:tcPr>
            <w:tcW w:w="656" w:type="dxa"/>
            <w:tcBorders>
              <w:left w:val="single" w:color="auto" w:sz="8" w:space="0"/>
              <w:bottom w:val="single" w:color="auto" w:sz="8" w:space="0"/>
              <w:right w:val="single" w:color="auto" w:sz="8" w:space="0"/>
            </w:tcBorders>
            <w:vAlign w:val="center"/>
          </w:tcPr>
          <w:p w14:paraId="1DE26418">
            <w:pPr>
              <w:pStyle w:val="24"/>
              <w:spacing w:line="240" w:lineRule="auto"/>
              <w:ind w:firstLine="0" w:firstLineChars="0"/>
              <w:rPr>
                <w:kern w:val="0"/>
              </w:rPr>
            </w:pPr>
            <w:r>
              <w:rPr>
                <w:kern w:val="0"/>
              </w:rPr>
              <w:t>9</w:t>
            </w:r>
          </w:p>
        </w:tc>
        <w:tc>
          <w:tcPr>
            <w:tcW w:w="4170" w:type="dxa"/>
            <w:tcBorders>
              <w:left w:val="nil"/>
              <w:bottom w:val="single" w:color="auto" w:sz="8" w:space="0"/>
              <w:right w:val="single" w:color="auto" w:sz="8" w:space="0"/>
            </w:tcBorders>
            <w:vAlign w:val="center"/>
          </w:tcPr>
          <w:p w14:paraId="217CB7ED">
            <w:pPr>
              <w:pStyle w:val="24"/>
              <w:spacing w:line="240" w:lineRule="auto"/>
              <w:ind w:firstLine="0" w:firstLineChars="0"/>
              <w:jc w:val="both"/>
              <w:rPr>
                <w:kern w:val="0"/>
              </w:rPr>
            </w:pPr>
            <w:r>
              <w:rPr>
                <w:rFonts w:hint="eastAsia" w:cs="Times New Roman" w:eastAsiaTheme="majorEastAsia"/>
              </w:rPr>
              <w:t>仪表外壳、接线端子、管道接口等无损坏或腐蚀</w:t>
            </w:r>
          </w:p>
        </w:tc>
        <w:tc>
          <w:tcPr>
            <w:tcW w:w="1231" w:type="dxa"/>
            <w:tcBorders>
              <w:top w:val="single" w:color="auto" w:sz="8" w:space="0"/>
              <w:left w:val="nil"/>
              <w:bottom w:val="single" w:color="auto" w:sz="8" w:space="0"/>
              <w:right w:val="single" w:color="auto" w:sz="8" w:space="0"/>
            </w:tcBorders>
            <w:vAlign w:val="center"/>
          </w:tcPr>
          <w:p w14:paraId="4E3B24F1">
            <w:pPr>
              <w:pStyle w:val="24"/>
              <w:spacing w:line="240" w:lineRule="auto"/>
              <w:ind w:firstLine="0" w:firstLineChars="0"/>
              <w:rPr>
                <w:b/>
                <w:kern w:val="0"/>
              </w:rPr>
            </w:pPr>
          </w:p>
        </w:tc>
        <w:tc>
          <w:tcPr>
            <w:tcW w:w="1231" w:type="dxa"/>
            <w:tcBorders>
              <w:top w:val="single" w:color="auto" w:sz="8" w:space="0"/>
              <w:left w:val="nil"/>
              <w:bottom w:val="single" w:color="auto" w:sz="8" w:space="0"/>
              <w:right w:val="single" w:color="auto" w:sz="8" w:space="0"/>
            </w:tcBorders>
            <w:vAlign w:val="center"/>
          </w:tcPr>
          <w:p w14:paraId="55D2A5DF">
            <w:pPr>
              <w:pStyle w:val="24"/>
              <w:spacing w:line="240" w:lineRule="auto"/>
              <w:ind w:firstLine="0" w:firstLineChars="0"/>
              <w:rPr>
                <w:b/>
                <w:kern w:val="0"/>
              </w:rPr>
            </w:pPr>
          </w:p>
        </w:tc>
        <w:tc>
          <w:tcPr>
            <w:tcW w:w="1231" w:type="dxa"/>
            <w:tcBorders>
              <w:top w:val="single" w:color="auto" w:sz="8" w:space="0"/>
              <w:left w:val="nil"/>
              <w:bottom w:val="single" w:color="auto" w:sz="8" w:space="0"/>
              <w:right w:val="single" w:color="auto" w:sz="8" w:space="0"/>
            </w:tcBorders>
            <w:vAlign w:val="center"/>
          </w:tcPr>
          <w:p w14:paraId="37764BBC">
            <w:pPr>
              <w:pStyle w:val="24"/>
              <w:spacing w:line="240" w:lineRule="auto"/>
              <w:ind w:firstLine="0" w:firstLineChars="0"/>
              <w:rPr>
                <w:b/>
                <w:kern w:val="0"/>
              </w:rPr>
            </w:pPr>
          </w:p>
        </w:tc>
      </w:tr>
      <w:tr w14:paraId="4AC230E8">
        <w:tblPrEx>
          <w:tblCellMar>
            <w:top w:w="0" w:type="dxa"/>
            <w:left w:w="108" w:type="dxa"/>
            <w:bottom w:w="0" w:type="dxa"/>
            <w:right w:w="108" w:type="dxa"/>
          </w:tblCellMar>
        </w:tblPrEx>
        <w:trPr>
          <w:trHeight w:val="283" w:hRule="atLeast"/>
        </w:trPr>
        <w:tc>
          <w:tcPr>
            <w:tcW w:w="656" w:type="dxa"/>
            <w:tcBorders>
              <w:left w:val="single" w:color="auto" w:sz="8" w:space="0"/>
              <w:bottom w:val="single" w:color="auto" w:sz="8" w:space="0"/>
              <w:right w:val="single" w:color="auto" w:sz="8" w:space="0"/>
            </w:tcBorders>
            <w:vAlign w:val="center"/>
          </w:tcPr>
          <w:p w14:paraId="53E2596B">
            <w:pPr>
              <w:pStyle w:val="24"/>
              <w:spacing w:line="240" w:lineRule="auto"/>
              <w:ind w:firstLine="0" w:firstLineChars="0"/>
              <w:rPr>
                <w:kern w:val="0"/>
              </w:rPr>
            </w:pPr>
            <w:r>
              <w:rPr>
                <w:kern w:val="0"/>
              </w:rPr>
              <w:t>10</w:t>
            </w:r>
          </w:p>
        </w:tc>
        <w:tc>
          <w:tcPr>
            <w:tcW w:w="4170" w:type="dxa"/>
            <w:tcBorders>
              <w:left w:val="nil"/>
              <w:bottom w:val="single" w:color="auto" w:sz="8" w:space="0"/>
              <w:right w:val="single" w:color="auto" w:sz="8" w:space="0"/>
            </w:tcBorders>
            <w:vAlign w:val="center"/>
          </w:tcPr>
          <w:p w14:paraId="35CE7AF3">
            <w:pPr>
              <w:pStyle w:val="24"/>
              <w:spacing w:line="240" w:lineRule="auto"/>
              <w:ind w:firstLine="0" w:firstLineChars="0"/>
              <w:jc w:val="both"/>
              <w:rPr>
                <w:kern w:val="0"/>
              </w:rPr>
            </w:pPr>
            <w:r>
              <w:rPr>
                <w:rFonts w:hint="eastAsia" w:cs="Times New Roman" w:eastAsiaTheme="majorEastAsia"/>
              </w:rPr>
              <w:t>定期对关键仪表进行精度测试</w:t>
            </w:r>
          </w:p>
        </w:tc>
        <w:tc>
          <w:tcPr>
            <w:tcW w:w="1231" w:type="dxa"/>
            <w:tcBorders>
              <w:top w:val="single" w:color="auto" w:sz="8" w:space="0"/>
              <w:left w:val="nil"/>
              <w:bottom w:val="single" w:color="auto" w:sz="8" w:space="0"/>
              <w:right w:val="single" w:color="auto" w:sz="8" w:space="0"/>
            </w:tcBorders>
            <w:vAlign w:val="center"/>
          </w:tcPr>
          <w:p w14:paraId="1EF13CF7">
            <w:pPr>
              <w:pStyle w:val="24"/>
              <w:spacing w:line="240" w:lineRule="auto"/>
              <w:ind w:firstLine="0" w:firstLineChars="0"/>
              <w:rPr>
                <w:b/>
                <w:kern w:val="0"/>
              </w:rPr>
            </w:pPr>
          </w:p>
        </w:tc>
        <w:tc>
          <w:tcPr>
            <w:tcW w:w="1231" w:type="dxa"/>
            <w:tcBorders>
              <w:top w:val="single" w:color="auto" w:sz="8" w:space="0"/>
              <w:left w:val="nil"/>
              <w:bottom w:val="single" w:color="auto" w:sz="8" w:space="0"/>
              <w:right w:val="single" w:color="auto" w:sz="8" w:space="0"/>
            </w:tcBorders>
            <w:vAlign w:val="center"/>
          </w:tcPr>
          <w:p w14:paraId="2C2A1BF0">
            <w:pPr>
              <w:pStyle w:val="24"/>
              <w:spacing w:line="240" w:lineRule="auto"/>
              <w:ind w:firstLine="0" w:firstLineChars="0"/>
              <w:rPr>
                <w:b/>
                <w:kern w:val="0"/>
              </w:rPr>
            </w:pPr>
          </w:p>
        </w:tc>
        <w:tc>
          <w:tcPr>
            <w:tcW w:w="1231" w:type="dxa"/>
            <w:tcBorders>
              <w:top w:val="single" w:color="auto" w:sz="8" w:space="0"/>
              <w:left w:val="nil"/>
              <w:bottom w:val="single" w:color="auto" w:sz="8" w:space="0"/>
              <w:right w:val="single" w:color="auto" w:sz="8" w:space="0"/>
            </w:tcBorders>
            <w:vAlign w:val="center"/>
          </w:tcPr>
          <w:p w14:paraId="4D189852">
            <w:pPr>
              <w:pStyle w:val="24"/>
              <w:spacing w:line="240" w:lineRule="auto"/>
              <w:ind w:firstLine="0" w:firstLineChars="0"/>
              <w:rPr>
                <w:b/>
                <w:kern w:val="0"/>
              </w:rPr>
            </w:pPr>
          </w:p>
        </w:tc>
      </w:tr>
      <w:tr w14:paraId="306ADB11">
        <w:tblPrEx>
          <w:tblCellMar>
            <w:top w:w="0" w:type="dxa"/>
            <w:left w:w="108" w:type="dxa"/>
            <w:bottom w:w="0" w:type="dxa"/>
            <w:right w:w="108" w:type="dxa"/>
          </w:tblCellMar>
        </w:tblPrEx>
        <w:trPr>
          <w:trHeight w:val="283" w:hRule="atLeast"/>
        </w:trPr>
        <w:tc>
          <w:tcPr>
            <w:tcW w:w="656" w:type="dxa"/>
            <w:tcBorders>
              <w:left w:val="single" w:color="auto" w:sz="8" w:space="0"/>
              <w:bottom w:val="single" w:color="auto" w:sz="8" w:space="0"/>
              <w:right w:val="single" w:color="auto" w:sz="8" w:space="0"/>
            </w:tcBorders>
            <w:vAlign w:val="center"/>
          </w:tcPr>
          <w:p w14:paraId="4222B9C0">
            <w:pPr>
              <w:pStyle w:val="24"/>
              <w:spacing w:line="240" w:lineRule="auto"/>
              <w:ind w:firstLine="0" w:firstLineChars="0"/>
              <w:rPr>
                <w:kern w:val="0"/>
              </w:rPr>
            </w:pPr>
            <w:r>
              <w:rPr>
                <w:kern w:val="0"/>
              </w:rPr>
              <w:t>11</w:t>
            </w:r>
          </w:p>
        </w:tc>
        <w:tc>
          <w:tcPr>
            <w:tcW w:w="4170" w:type="dxa"/>
            <w:tcBorders>
              <w:left w:val="nil"/>
              <w:bottom w:val="single" w:color="auto" w:sz="8" w:space="0"/>
              <w:right w:val="single" w:color="auto" w:sz="8" w:space="0"/>
            </w:tcBorders>
            <w:vAlign w:val="center"/>
          </w:tcPr>
          <w:p w14:paraId="558E1994">
            <w:pPr>
              <w:pStyle w:val="24"/>
              <w:spacing w:line="240" w:lineRule="auto"/>
              <w:ind w:firstLine="0" w:firstLineChars="0"/>
              <w:jc w:val="both"/>
              <w:rPr>
                <w:kern w:val="0"/>
              </w:rPr>
            </w:pPr>
            <w:r>
              <w:rPr>
                <w:rFonts w:hint="eastAsia" w:cs="Times New Roman" w:eastAsiaTheme="majorEastAsia"/>
              </w:rPr>
              <w:t>仪表有日常维护记录</w:t>
            </w:r>
          </w:p>
        </w:tc>
        <w:tc>
          <w:tcPr>
            <w:tcW w:w="1231" w:type="dxa"/>
            <w:tcBorders>
              <w:top w:val="single" w:color="auto" w:sz="8" w:space="0"/>
              <w:left w:val="nil"/>
              <w:bottom w:val="single" w:color="auto" w:sz="8" w:space="0"/>
              <w:right w:val="single" w:color="auto" w:sz="8" w:space="0"/>
            </w:tcBorders>
            <w:vAlign w:val="center"/>
          </w:tcPr>
          <w:p w14:paraId="4FD8CD60">
            <w:pPr>
              <w:pStyle w:val="24"/>
              <w:spacing w:line="240" w:lineRule="auto"/>
              <w:ind w:firstLine="0" w:firstLineChars="0"/>
              <w:rPr>
                <w:b/>
                <w:kern w:val="0"/>
              </w:rPr>
            </w:pPr>
          </w:p>
        </w:tc>
        <w:tc>
          <w:tcPr>
            <w:tcW w:w="1231" w:type="dxa"/>
            <w:tcBorders>
              <w:top w:val="single" w:color="auto" w:sz="8" w:space="0"/>
              <w:left w:val="nil"/>
              <w:bottom w:val="single" w:color="auto" w:sz="8" w:space="0"/>
              <w:right w:val="single" w:color="auto" w:sz="8" w:space="0"/>
            </w:tcBorders>
            <w:vAlign w:val="center"/>
          </w:tcPr>
          <w:p w14:paraId="2AB9E313">
            <w:pPr>
              <w:pStyle w:val="24"/>
              <w:spacing w:line="240" w:lineRule="auto"/>
              <w:ind w:firstLine="0" w:firstLineChars="0"/>
              <w:rPr>
                <w:b/>
                <w:kern w:val="0"/>
              </w:rPr>
            </w:pPr>
          </w:p>
        </w:tc>
        <w:tc>
          <w:tcPr>
            <w:tcW w:w="1231" w:type="dxa"/>
            <w:tcBorders>
              <w:top w:val="single" w:color="auto" w:sz="8" w:space="0"/>
              <w:left w:val="nil"/>
              <w:bottom w:val="single" w:color="auto" w:sz="8" w:space="0"/>
              <w:right w:val="single" w:color="auto" w:sz="8" w:space="0"/>
            </w:tcBorders>
            <w:vAlign w:val="center"/>
          </w:tcPr>
          <w:p w14:paraId="4C2B6658">
            <w:pPr>
              <w:pStyle w:val="24"/>
              <w:spacing w:line="240" w:lineRule="auto"/>
              <w:ind w:firstLine="0" w:firstLineChars="0"/>
              <w:rPr>
                <w:b/>
                <w:kern w:val="0"/>
              </w:rPr>
            </w:pPr>
          </w:p>
        </w:tc>
      </w:tr>
      <w:tr w14:paraId="4EE71299">
        <w:tblPrEx>
          <w:tblCellMar>
            <w:top w:w="0" w:type="dxa"/>
            <w:left w:w="108" w:type="dxa"/>
            <w:bottom w:w="0" w:type="dxa"/>
            <w:right w:w="108" w:type="dxa"/>
          </w:tblCellMar>
        </w:tblPrEx>
        <w:trPr>
          <w:trHeight w:val="283" w:hRule="atLeast"/>
        </w:trPr>
        <w:tc>
          <w:tcPr>
            <w:tcW w:w="656" w:type="dxa"/>
            <w:tcBorders>
              <w:left w:val="single" w:color="auto" w:sz="8" w:space="0"/>
              <w:bottom w:val="single" w:color="auto" w:sz="8" w:space="0"/>
              <w:right w:val="single" w:color="auto" w:sz="8" w:space="0"/>
            </w:tcBorders>
            <w:vAlign w:val="center"/>
          </w:tcPr>
          <w:p w14:paraId="50A9F1BA">
            <w:pPr>
              <w:pStyle w:val="24"/>
              <w:spacing w:line="240" w:lineRule="auto"/>
              <w:ind w:firstLine="0" w:firstLineChars="0"/>
              <w:rPr>
                <w:b/>
                <w:kern w:val="0"/>
              </w:rPr>
            </w:pPr>
            <w:r>
              <w:rPr>
                <w:rFonts w:hint="eastAsia"/>
                <w:bCs/>
                <w:kern w:val="0"/>
              </w:rPr>
              <w:t>12</w:t>
            </w:r>
          </w:p>
        </w:tc>
        <w:tc>
          <w:tcPr>
            <w:tcW w:w="4170" w:type="dxa"/>
            <w:tcBorders>
              <w:left w:val="nil"/>
              <w:bottom w:val="single" w:color="auto" w:sz="8" w:space="0"/>
              <w:right w:val="single" w:color="auto" w:sz="8" w:space="0"/>
            </w:tcBorders>
            <w:shd w:val="clear" w:color="auto" w:fill="auto"/>
            <w:vAlign w:val="center"/>
          </w:tcPr>
          <w:p w14:paraId="02927234">
            <w:pPr>
              <w:pStyle w:val="24"/>
              <w:spacing w:line="240" w:lineRule="auto"/>
              <w:ind w:firstLine="0" w:firstLineChars="0"/>
              <w:jc w:val="both"/>
              <w:rPr>
                <w:rFonts w:ascii="Times New Roman" w:hAnsi="Times New Roman" w:cs="Times New Roman" w:eastAsiaTheme="majorEastAsia"/>
                <w:kern w:val="2"/>
                <w:sz w:val="21"/>
                <w:szCs w:val="21"/>
                <w:lang w:val="en-US" w:eastAsia="zh-CN" w:bidi="ar-SA"/>
              </w:rPr>
            </w:pPr>
            <w:r>
              <w:rPr>
                <w:rFonts w:hint="eastAsia" w:cs="Times New Roman" w:eastAsiaTheme="majorEastAsia"/>
              </w:rPr>
              <w:t>各个工序的过程参数（如温度、压力、流速、浓度、停留时间等）处在最优状态</w:t>
            </w:r>
          </w:p>
        </w:tc>
        <w:tc>
          <w:tcPr>
            <w:tcW w:w="1231" w:type="dxa"/>
            <w:tcBorders>
              <w:top w:val="single" w:color="auto" w:sz="8" w:space="0"/>
              <w:left w:val="nil"/>
              <w:bottom w:val="single" w:color="auto" w:sz="8" w:space="0"/>
              <w:right w:val="single" w:color="auto" w:sz="8" w:space="0"/>
            </w:tcBorders>
            <w:vAlign w:val="center"/>
          </w:tcPr>
          <w:p w14:paraId="09508A30">
            <w:pPr>
              <w:pStyle w:val="24"/>
              <w:spacing w:line="240" w:lineRule="auto"/>
              <w:ind w:firstLine="0" w:firstLineChars="0"/>
              <w:rPr>
                <w:b/>
                <w:kern w:val="0"/>
              </w:rPr>
            </w:pPr>
          </w:p>
        </w:tc>
        <w:tc>
          <w:tcPr>
            <w:tcW w:w="1231" w:type="dxa"/>
            <w:tcBorders>
              <w:top w:val="single" w:color="auto" w:sz="8" w:space="0"/>
              <w:left w:val="nil"/>
              <w:bottom w:val="single" w:color="auto" w:sz="8" w:space="0"/>
              <w:right w:val="single" w:color="auto" w:sz="8" w:space="0"/>
            </w:tcBorders>
            <w:vAlign w:val="center"/>
          </w:tcPr>
          <w:p w14:paraId="45295D2F">
            <w:pPr>
              <w:pStyle w:val="24"/>
              <w:spacing w:line="240" w:lineRule="auto"/>
              <w:ind w:firstLine="0" w:firstLineChars="0"/>
              <w:rPr>
                <w:b/>
                <w:kern w:val="0"/>
              </w:rPr>
            </w:pPr>
          </w:p>
        </w:tc>
        <w:tc>
          <w:tcPr>
            <w:tcW w:w="1231" w:type="dxa"/>
            <w:tcBorders>
              <w:top w:val="single" w:color="auto" w:sz="8" w:space="0"/>
              <w:left w:val="nil"/>
              <w:bottom w:val="single" w:color="auto" w:sz="8" w:space="0"/>
              <w:right w:val="single" w:color="auto" w:sz="8" w:space="0"/>
            </w:tcBorders>
            <w:vAlign w:val="center"/>
          </w:tcPr>
          <w:p w14:paraId="4C7E6001">
            <w:pPr>
              <w:pStyle w:val="24"/>
              <w:spacing w:line="240" w:lineRule="auto"/>
              <w:ind w:firstLine="0" w:firstLineChars="0"/>
              <w:rPr>
                <w:b/>
                <w:kern w:val="0"/>
              </w:rPr>
            </w:pPr>
          </w:p>
        </w:tc>
      </w:tr>
      <w:tr w14:paraId="117B3258">
        <w:tblPrEx>
          <w:tblCellMar>
            <w:top w:w="0" w:type="dxa"/>
            <w:left w:w="108" w:type="dxa"/>
            <w:bottom w:w="0" w:type="dxa"/>
            <w:right w:w="108" w:type="dxa"/>
          </w:tblCellMar>
        </w:tblPrEx>
        <w:trPr>
          <w:trHeight w:val="283" w:hRule="atLeast"/>
        </w:trPr>
        <w:tc>
          <w:tcPr>
            <w:tcW w:w="656" w:type="dxa"/>
            <w:tcBorders>
              <w:top w:val="nil"/>
              <w:left w:val="single" w:color="auto" w:sz="8" w:space="0"/>
              <w:bottom w:val="single" w:color="auto" w:sz="8" w:space="0"/>
              <w:right w:val="single" w:color="auto" w:sz="8" w:space="0"/>
            </w:tcBorders>
            <w:vAlign w:val="center"/>
          </w:tcPr>
          <w:p w14:paraId="15D68C4C">
            <w:pPr>
              <w:pStyle w:val="24"/>
              <w:spacing w:line="240" w:lineRule="auto"/>
              <w:ind w:firstLine="0" w:firstLineChars="0"/>
              <w:rPr>
                <w:kern w:val="0"/>
              </w:rPr>
            </w:pPr>
            <w:r>
              <w:rPr>
                <w:rFonts w:hint="eastAsia"/>
                <w:kern w:val="0"/>
              </w:rPr>
              <w:t>13</w:t>
            </w:r>
          </w:p>
        </w:tc>
        <w:tc>
          <w:tcPr>
            <w:tcW w:w="4170" w:type="dxa"/>
            <w:tcBorders>
              <w:top w:val="nil"/>
              <w:left w:val="nil"/>
              <w:bottom w:val="single" w:color="auto" w:sz="8" w:space="0"/>
              <w:right w:val="single" w:color="auto" w:sz="8" w:space="0"/>
            </w:tcBorders>
            <w:shd w:val="clear" w:color="auto" w:fill="auto"/>
            <w:vAlign w:val="center"/>
          </w:tcPr>
          <w:p w14:paraId="310B3185">
            <w:pPr>
              <w:pStyle w:val="24"/>
              <w:spacing w:line="240" w:lineRule="auto"/>
              <w:ind w:firstLine="0" w:firstLineChars="0"/>
              <w:jc w:val="both"/>
              <w:rPr>
                <w:rFonts w:ascii="Times New Roman" w:hAnsi="Times New Roman" w:cs="Times New Roman" w:eastAsiaTheme="majorEastAsia"/>
                <w:kern w:val="2"/>
                <w:sz w:val="21"/>
                <w:szCs w:val="21"/>
                <w:lang w:val="en-US" w:eastAsia="zh-CN" w:bidi="ar-SA"/>
              </w:rPr>
            </w:pPr>
            <w:r>
              <w:rPr>
                <w:kern w:val="0"/>
              </w:rPr>
              <w:t>各个工序的过程参数有及时有效的监控机制</w:t>
            </w:r>
            <w:r>
              <w:rPr>
                <w:rFonts w:hint="eastAsia"/>
                <w:kern w:val="0"/>
                <w:lang w:eastAsia="zh-CN"/>
              </w:rPr>
              <w:t>，</w:t>
            </w:r>
            <w:r>
              <w:rPr>
                <w:rFonts w:hint="eastAsia"/>
                <w:kern w:val="0"/>
              </w:rPr>
              <w:t>能及时发现</w:t>
            </w:r>
            <w:r>
              <w:rPr>
                <w:kern w:val="0"/>
              </w:rPr>
              <w:t>过程参数</w:t>
            </w:r>
            <w:r>
              <w:rPr>
                <w:rFonts w:hint="eastAsia"/>
                <w:kern w:val="0"/>
                <w:lang w:val="en-US" w:eastAsia="zh-CN"/>
              </w:rPr>
              <w:t>异常现象</w:t>
            </w:r>
          </w:p>
        </w:tc>
        <w:tc>
          <w:tcPr>
            <w:tcW w:w="1231" w:type="dxa"/>
            <w:tcBorders>
              <w:top w:val="nil"/>
              <w:left w:val="nil"/>
              <w:bottom w:val="single" w:color="auto" w:sz="8" w:space="0"/>
              <w:right w:val="single" w:color="auto" w:sz="8" w:space="0"/>
            </w:tcBorders>
            <w:vAlign w:val="center"/>
          </w:tcPr>
          <w:p w14:paraId="066E31C4">
            <w:pPr>
              <w:pStyle w:val="24"/>
              <w:spacing w:line="240" w:lineRule="auto"/>
              <w:ind w:firstLine="0" w:firstLineChars="0"/>
              <w:rPr>
                <w:kern w:val="0"/>
              </w:rPr>
            </w:pPr>
          </w:p>
        </w:tc>
        <w:tc>
          <w:tcPr>
            <w:tcW w:w="1231" w:type="dxa"/>
            <w:tcBorders>
              <w:top w:val="nil"/>
              <w:left w:val="nil"/>
              <w:bottom w:val="single" w:color="auto" w:sz="8" w:space="0"/>
              <w:right w:val="single" w:color="auto" w:sz="8" w:space="0"/>
            </w:tcBorders>
            <w:vAlign w:val="center"/>
          </w:tcPr>
          <w:p w14:paraId="089A320B">
            <w:pPr>
              <w:pStyle w:val="24"/>
              <w:spacing w:line="240" w:lineRule="auto"/>
              <w:ind w:firstLine="0" w:firstLineChars="0"/>
              <w:rPr>
                <w:kern w:val="0"/>
              </w:rPr>
            </w:pPr>
          </w:p>
        </w:tc>
        <w:tc>
          <w:tcPr>
            <w:tcW w:w="1231" w:type="dxa"/>
            <w:tcBorders>
              <w:top w:val="nil"/>
              <w:left w:val="nil"/>
              <w:bottom w:val="single" w:color="auto" w:sz="8" w:space="0"/>
              <w:right w:val="single" w:color="auto" w:sz="8" w:space="0"/>
            </w:tcBorders>
            <w:vAlign w:val="center"/>
          </w:tcPr>
          <w:p w14:paraId="0ECE650B">
            <w:pPr>
              <w:pStyle w:val="24"/>
              <w:spacing w:line="240" w:lineRule="auto"/>
              <w:ind w:firstLine="0" w:firstLineChars="0"/>
              <w:rPr>
                <w:kern w:val="0"/>
              </w:rPr>
            </w:pPr>
          </w:p>
        </w:tc>
      </w:tr>
      <w:tr w14:paraId="22BD88E7">
        <w:tblPrEx>
          <w:tblCellMar>
            <w:top w:w="0" w:type="dxa"/>
            <w:left w:w="108" w:type="dxa"/>
            <w:bottom w:w="0" w:type="dxa"/>
            <w:right w:w="108" w:type="dxa"/>
          </w:tblCellMar>
        </w:tblPrEx>
        <w:trPr>
          <w:trHeight w:val="283" w:hRule="atLeast"/>
        </w:trPr>
        <w:tc>
          <w:tcPr>
            <w:tcW w:w="656" w:type="dxa"/>
            <w:tcBorders>
              <w:top w:val="nil"/>
              <w:left w:val="single" w:color="auto" w:sz="8" w:space="0"/>
              <w:bottom w:val="single" w:color="auto" w:sz="8" w:space="0"/>
              <w:right w:val="single" w:color="auto" w:sz="8" w:space="0"/>
            </w:tcBorders>
            <w:vAlign w:val="center"/>
          </w:tcPr>
          <w:p w14:paraId="1C8B3E3F">
            <w:pPr>
              <w:pStyle w:val="24"/>
              <w:spacing w:line="240" w:lineRule="auto"/>
              <w:ind w:firstLine="0" w:firstLineChars="0"/>
              <w:rPr>
                <w:kern w:val="0"/>
              </w:rPr>
            </w:pPr>
            <w:r>
              <w:rPr>
                <w:rFonts w:hint="eastAsia"/>
                <w:kern w:val="0"/>
              </w:rPr>
              <w:t>14</w:t>
            </w:r>
          </w:p>
        </w:tc>
        <w:tc>
          <w:tcPr>
            <w:tcW w:w="4170" w:type="dxa"/>
            <w:tcBorders>
              <w:top w:val="nil"/>
              <w:left w:val="nil"/>
              <w:bottom w:val="single" w:color="auto" w:sz="8" w:space="0"/>
              <w:right w:val="single" w:color="auto" w:sz="8" w:space="0"/>
            </w:tcBorders>
            <w:shd w:val="clear" w:color="auto" w:fill="auto"/>
            <w:vAlign w:val="center"/>
          </w:tcPr>
          <w:p w14:paraId="65E48164">
            <w:pPr>
              <w:pStyle w:val="24"/>
              <w:spacing w:line="240" w:lineRule="auto"/>
              <w:ind w:firstLine="0" w:firstLineChars="0"/>
              <w:jc w:val="both"/>
              <w:rPr>
                <w:rFonts w:hint="default" w:ascii="Times New Roman" w:hAnsi="Times New Roman" w:eastAsia="宋体" w:cs="黑体"/>
                <w:kern w:val="0"/>
                <w:sz w:val="21"/>
                <w:szCs w:val="21"/>
                <w:lang w:val="en-US" w:eastAsia="zh-CN" w:bidi="ar-SA"/>
              </w:rPr>
            </w:pPr>
            <w:r>
              <w:rPr>
                <w:kern w:val="0"/>
              </w:rPr>
              <w:t>工序</w:t>
            </w:r>
            <w:r>
              <w:rPr>
                <w:rFonts w:hint="eastAsia"/>
                <w:kern w:val="0"/>
              </w:rPr>
              <w:t>部分主要</w:t>
            </w:r>
            <w:r>
              <w:rPr>
                <w:kern w:val="0"/>
              </w:rPr>
              <w:t>过程参数</w:t>
            </w:r>
            <w:r>
              <w:rPr>
                <w:rFonts w:hint="eastAsia"/>
                <w:kern w:val="0"/>
              </w:rPr>
              <w:t>需要手动调节</w:t>
            </w:r>
          </w:p>
        </w:tc>
        <w:tc>
          <w:tcPr>
            <w:tcW w:w="1231" w:type="dxa"/>
            <w:tcBorders>
              <w:top w:val="nil"/>
              <w:left w:val="nil"/>
              <w:bottom w:val="single" w:color="auto" w:sz="8" w:space="0"/>
              <w:right w:val="single" w:color="auto" w:sz="8" w:space="0"/>
            </w:tcBorders>
            <w:vAlign w:val="center"/>
          </w:tcPr>
          <w:p w14:paraId="3CA8B724">
            <w:pPr>
              <w:pStyle w:val="24"/>
              <w:spacing w:line="240" w:lineRule="auto"/>
              <w:ind w:firstLine="0" w:firstLineChars="0"/>
              <w:rPr>
                <w:kern w:val="0"/>
              </w:rPr>
            </w:pPr>
          </w:p>
        </w:tc>
        <w:tc>
          <w:tcPr>
            <w:tcW w:w="1231" w:type="dxa"/>
            <w:tcBorders>
              <w:top w:val="nil"/>
              <w:left w:val="nil"/>
              <w:bottom w:val="single" w:color="auto" w:sz="8" w:space="0"/>
              <w:right w:val="single" w:color="auto" w:sz="8" w:space="0"/>
            </w:tcBorders>
            <w:vAlign w:val="center"/>
          </w:tcPr>
          <w:p w14:paraId="6EAC49CE">
            <w:pPr>
              <w:pStyle w:val="24"/>
              <w:spacing w:line="240" w:lineRule="auto"/>
              <w:ind w:firstLine="0" w:firstLineChars="0"/>
              <w:rPr>
                <w:kern w:val="0"/>
              </w:rPr>
            </w:pPr>
          </w:p>
        </w:tc>
        <w:tc>
          <w:tcPr>
            <w:tcW w:w="1231" w:type="dxa"/>
            <w:tcBorders>
              <w:top w:val="nil"/>
              <w:left w:val="nil"/>
              <w:bottom w:val="single" w:color="auto" w:sz="8" w:space="0"/>
              <w:right w:val="single" w:color="auto" w:sz="8" w:space="0"/>
            </w:tcBorders>
            <w:vAlign w:val="center"/>
          </w:tcPr>
          <w:p w14:paraId="4451467D">
            <w:pPr>
              <w:pStyle w:val="24"/>
              <w:spacing w:line="240" w:lineRule="auto"/>
              <w:ind w:firstLine="0" w:firstLineChars="0"/>
              <w:rPr>
                <w:kern w:val="0"/>
              </w:rPr>
            </w:pPr>
          </w:p>
        </w:tc>
      </w:tr>
      <w:tr w14:paraId="585FB39F">
        <w:tblPrEx>
          <w:tblCellMar>
            <w:top w:w="0" w:type="dxa"/>
            <w:left w:w="108" w:type="dxa"/>
            <w:bottom w:w="0" w:type="dxa"/>
            <w:right w:w="108" w:type="dxa"/>
          </w:tblCellMar>
        </w:tblPrEx>
        <w:trPr>
          <w:trHeight w:val="283" w:hRule="atLeast"/>
        </w:trPr>
        <w:tc>
          <w:tcPr>
            <w:tcW w:w="656" w:type="dxa"/>
            <w:tcBorders>
              <w:top w:val="nil"/>
              <w:left w:val="single" w:color="auto" w:sz="8" w:space="0"/>
              <w:bottom w:val="single" w:color="auto" w:sz="8" w:space="0"/>
              <w:right w:val="single" w:color="auto" w:sz="8" w:space="0"/>
            </w:tcBorders>
            <w:vAlign w:val="center"/>
          </w:tcPr>
          <w:p w14:paraId="485804C9">
            <w:pPr>
              <w:pStyle w:val="24"/>
              <w:spacing w:line="240" w:lineRule="auto"/>
              <w:ind w:firstLine="0" w:firstLineChars="0"/>
              <w:rPr>
                <w:kern w:val="0"/>
              </w:rPr>
            </w:pPr>
            <w:r>
              <w:rPr>
                <w:rFonts w:hint="eastAsia"/>
                <w:kern w:val="0"/>
              </w:rPr>
              <w:t>15</w:t>
            </w:r>
          </w:p>
        </w:tc>
        <w:tc>
          <w:tcPr>
            <w:tcW w:w="4170" w:type="dxa"/>
            <w:tcBorders>
              <w:top w:val="nil"/>
              <w:left w:val="nil"/>
              <w:bottom w:val="single" w:color="auto" w:sz="8" w:space="0"/>
              <w:right w:val="single" w:color="auto" w:sz="8" w:space="0"/>
            </w:tcBorders>
            <w:shd w:val="clear" w:color="auto" w:fill="auto"/>
            <w:vAlign w:val="center"/>
          </w:tcPr>
          <w:p w14:paraId="034276E7">
            <w:pPr>
              <w:pStyle w:val="24"/>
              <w:spacing w:line="240" w:lineRule="auto"/>
              <w:ind w:firstLine="0" w:firstLineChars="0"/>
              <w:jc w:val="both"/>
              <w:rPr>
                <w:rFonts w:hint="default" w:ascii="Times New Roman" w:hAnsi="Times New Roman" w:eastAsia="宋体" w:cs="黑体"/>
                <w:kern w:val="0"/>
                <w:sz w:val="21"/>
                <w:szCs w:val="21"/>
                <w:lang w:val="en-US" w:eastAsia="zh-CN" w:bidi="ar-SA"/>
              </w:rPr>
            </w:pPr>
            <w:r>
              <w:rPr>
                <w:rFonts w:hint="eastAsia" w:cs="Times New Roman" w:eastAsiaTheme="majorEastAsia"/>
              </w:rPr>
              <w:t>主要生产工序操作人员严格按照作业指导文件执行</w:t>
            </w:r>
          </w:p>
        </w:tc>
        <w:tc>
          <w:tcPr>
            <w:tcW w:w="1231" w:type="dxa"/>
            <w:tcBorders>
              <w:top w:val="nil"/>
              <w:left w:val="nil"/>
              <w:bottom w:val="single" w:color="auto" w:sz="8" w:space="0"/>
              <w:right w:val="single" w:color="auto" w:sz="8" w:space="0"/>
            </w:tcBorders>
            <w:vAlign w:val="center"/>
          </w:tcPr>
          <w:p w14:paraId="6322453A">
            <w:pPr>
              <w:pStyle w:val="24"/>
              <w:spacing w:line="240" w:lineRule="auto"/>
              <w:ind w:firstLine="0" w:firstLineChars="0"/>
              <w:rPr>
                <w:kern w:val="0"/>
              </w:rPr>
            </w:pPr>
          </w:p>
        </w:tc>
        <w:tc>
          <w:tcPr>
            <w:tcW w:w="1231" w:type="dxa"/>
            <w:tcBorders>
              <w:top w:val="nil"/>
              <w:left w:val="nil"/>
              <w:bottom w:val="single" w:color="auto" w:sz="8" w:space="0"/>
              <w:right w:val="single" w:color="auto" w:sz="8" w:space="0"/>
            </w:tcBorders>
            <w:vAlign w:val="center"/>
          </w:tcPr>
          <w:p w14:paraId="573FE04D">
            <w:pPr>
              <w:pStyle w:val="24"/>
              <w:spacing w:line="240" w:lineRule="auto"/>
              <w:ind w:firstLine="0" w:firstLineChars="0"/>
              <w:rPr>
                <w:kern w:val="0"/>
              </w:rPr>
            </w:pPr>
          </w:p>
        </w:tc>
        <w:tc>
          <w:tcPr>
            <w:tcW w:w="1231" w:type="dxa"/>
            <w:tcBorders>
              <w:top w:val="nil"/>
              <w:left w:val="nil"/>
              <w:bottom w:val="single" w:color="auto" w:sz="8" w:space="0"/>
              <w:right w:val="single" w:color="auto" w:sz="8" w:space="0"/>
            </w:tcBorders>
            <w:vAlign w:val="center"/>
          </w:tcPr>
          <w:p w14:paraId="6F51F8F6">
            <w:pPr>
              <w:pStyle w:val="24"/>
              <w:spacing w:line="240" w:lineRule="auto"/>
              <w:ind w:firstLine="0" w:firstLineChars="0"/>
              <w:rPr>
                <w:kern w:val="0"/>
              </w:rPr>
            </w:pPr>
          </w:p>
        </w:tc>
      </w:tr>
      <w:tr w14:paraId="08BA7125">
        <w:tblPrEx>
          <w:tblCellMar>
            <w:top w:w="0" w:type="dxa"/>
            <w:left w:w="108" w:type="dxa"/>
            <w:bottom w:w="0" w:type="dxa"/>
            <w:right w:w="108" w:type="dxa"/>
          </w:tblCellMar>
        </w:tblPrEx>
        <w:trPr>
          <w:trHeight w:val="283" w:hRule="atLeast"/>
        </w:trPr>
        <w:tc>
          <w:tcPr>
            <w:tcW w:w="656" w:type="dxa"/>
            <w:tcBorders>
              <w:top w:val="nil"/>
              <w:left w:val="single" w:color="auto" w:sz="8" w:space="0"/>
              <w:bottom w:val="single" w:color="auto" w:sz="8" w:space="0"/>
              <w:right w:val="single" w:color="auto" w:sz="8" w:space="0"/>
            </w:tcBorders>
            <w:vAlign w:val="center"/>
          </w:tcPr>
          <w:p w14:paraId="2F1B060D">
            <w:pPr>
              <w:pStyle w:val="24"/>
              <w:spacing w:line="240" w:lineRule="auto"/>
              <w:ind w:firstLine="0" w:firstLineChars="0"/>
              <w:rPr>
                <w:kern w:val="0"/>
              </w:rPr>
            </w:pPr>
            <w:r>
              <w:rPr>
                <w:rFonts w:hint="eastAsia"/>
                <w:kern w:val="0"/>
              </w:rPr>
              <w:t>16</w:t>
            </w:r>
          </w:p>
        </w:tc>
        <w:tc>
          <w:tcPr>
            <w:tcW w:w="4170" w:type="dxa"/>
            <w:tcBorders>
              <w:top w:val="nil"/>
              <w:left w:val="nil"/>
              <w:bottom w:val="single" w:color="auto" w:sz="8" w:space="0"/>
              <w:right w:val="single" w:color="auto" w:sz="8" w:space="0"/>
            </w:tcBorders>
            <w:shd w:val="clear" w:color="auto" w:fill="auto"/>
            <w:vAlign w:val="center"/>
          </w:tcPr>
          <w:p w14:paraId="268458D8">
            <w:pPr>
              <w:pStyle w:val="24"/>
              <w:spacing w:line="240" w:lineRule="auto"/>
              <w:ind w:firstLine="0" w:firstLineChars="0"/>
              <w:jc w:val="both"/>
              <w:rPr>
                <w:rFonts w:ascii="Times New Roman" w:hAnsi="Times New Roman" w:eastAsia="宋体" w:cs="黑体"/>
                <w:kern w:val="0"/>
                <w:sz w:val="21"/>
                <w:szCs w:val="21"/>
                <w:lang w:val="en-US" w:eastAsia="zh-CN" w:bidi="ar-SA"/>
              </w:rPr>
            </w:pPr>
            <w:r>
              <w:rPr>
                <w:rFonts w:hint="eastAsia"/>
                <w:kern w:val="0"/>
              </w:rPr>
              <w:t>记录操作异常、</w:t>
            </w:r>
            <w:r>
              <w:rPr>
                <w:rFonts w:hint="eastAsia"/>
              </w:rPr>
              <w:t>生产工艺参数波动等情况并可追溯</w:t>
            </w:r>
          </w:p>
        </w:tc>
        <w:tc>
          <w:tcPr>
            <w:tcW w:w="1231" w:type="dxa"/>
            <w:tcBorders>
              <w:top w:val="nil"/>
              <w:left w:val="nil"/>
              <w:bottom w:val="single" w:color="auto" w:sz="8" w:space="0"/>
              <w:right w:val="single" w:color="auto" w:sz="8" w:space="0"/>
            </w:tcBorders>
            <w:vAlign w:val="center"/>
          </w:tcPr>
          <w:p w14:paraId="2707F2F6">
            <w:pPr>
              <w:pStyle w:val="24"/>
              <w:spacing w:line="240" w:lineRule="auto"/>
              <w:ind w:firstLine="0" w:firstLineChars="0"/>
              <w:rPr>
                <w:kern w:val="0"/>
              </w:rPr>
            </w:pPr>
          </w:p>
        </w:tc>
        <w:tc>
          <w:tcPr>
            <w:tcW w:w="1231" w:type="dxa"/>
            <w:tcBorders>
              <w:top w:val="nil"/>
              <w:left w:val="nil"/>
              <w:bottom w:val="single" w:color="auto" w:sz="8" w:space="0"/>
              <w:right w:val="single" w:color="auto" w:sz="8" w:space="0"/>
            </w:tcBorders>
            <w:vAlign w:val="center"/>
          </w:tcPr>
          <w:p w14:paraId="23C9D43E">
            <w:pPr>
              <w:pStyle w:val="24"/>
              <w:spacing w:line="240" w:lineRule="auto"/>
              <w:ind w:firstLine="0" w:firstLineChars="0"/>
              <w:rPr>
                <w:kern w:val="0"/>
              </w:rPr>
            </w:pPr>
          </w:p>
        </w:tc>
        <w:tc>
          <w:tcPr>
            <w:tcW w:w="1231" w:type="dxa"/>
            <w:tcBorders>
              <w:top w:val="nil"/>
              <w:left w:val="nil"/>
              <w:bottom w:val="single" w:color="auto" w:sz="8" w:space="0"/>
              <w:right w:val="single" w:color="auto" w:sz="8" w:space="0"/>
            </w:tcBorders>
            <w:vAlign w:val="center"/>
          </w:tcPr>
          <w:p w14:paraId="20C165AC">
            <w:pPr>
              <w:pStyle w:val="24"/>
              <w:spacing w:line="240" w:lineRule="auto"/>
              <w:ind w:firstLine="0" w:firstLineChars="0"/>
              <w:rPr>
                <w:kern w:val="0"/>
              </w:rPr>
            </w:pPr>
          </w:p>
        </w:tc>
      </w:tr>
      <w:tr w14:paraId="1DE744D1">
        <w:tblPrEx>
          <w:tblCellMar>
            <w:top w:w="0" w:type="dxa"/>
            <w:left w:w="108" w:type="dxa"/>
            <w:bottom w:w="0" w:type="dxa"/>
            <w:right w:w="108" w:type="dxa"/>
          </w:tblCellMar>
        </w:tblPrEx>
        <w:trPr>
          <w:trHeight w:val="283" w:hRule="atLeast"/>
        </w:trPr>
        <w:tc>
          <w:tcPr>
            <w:tcW w:w="656" w:type="dxa"/>
            <w:tcBorders>
              <w:top w:val="single" w:color="auto" w:sz="8" w:space="0"/>
              <w:left w:val="single" w:color="auto" w:sz="8" w:space="0"/>
              <w:bottom w:val="single" w:color="auto" w:sz="8" w:space="0"/>
              <w:right w:val="single" w:color="auto" w:sz="8" w:space="0"/>
            </w:tcBorders>
            <w:vAlign w:val="center"/>
          </w:tcPr>
          <w:p w14:paraId="33088869">
            <w:pPr>
              <w:pStyle w:val="24"/>
              <w:spacing w:line="240" w:lineRule="auto"/>
              <w:ind w:firstLine="0" w:firstLineChars="0"/>
              <w:rPr>
                <w:kern w:val="0"/>
              </w:rPr>
            </w:pPr>
            <w:r>
              <w:rPr>
                <w:rFonts w:hint="eastAsia"/>
                <w:kern w:val="0"/>
              </w:rPr>
              <w:t>17</w:t>
            </w:r>
          </w:p>
        </w:tc>
        <w:tc>
          <w:tcPr>
            <w:tcW w:w="4170" w:type="dxa"/>
            <w:tcBorders>
              <w:top w:val="single" w:color="auto" w:sz="8" w:space="0"/>
              <w:left w:val="single" w:color="auto" w:sz="8" w:space="0"/>
              <w:bottom w:val="single" w:color="auto" w:sz="8" w:space="0"/>
              <w:right w:val="single" w:color="auto" w:sz="8" w:space="0"/>
            </w:tcBorders>
            <w:shd w:val="clear" w:color="auto" w:fill="auto"/>
            <w:vAlign w:val="center"/>
          </w:tcPr>
          <w:p w14:paraId="659FCF04">
            <w:pPr>
              <w:pStyle w:val="24"/>
              <w:spacing w:line="240" w:lineRule="auto"/>
              <w:ind w:firstLine="0" w:firstLineChars="0"/>
              <w:jc w:val="both"/>
              <w:rPr>
                <w:rFonts w:ascii="Times New Roman" w:hAnsi="Times New Roman" w:eastAsia="宋体" w:cs="黑体"/>
                <w:kern w:val="0"/>
                <w:sz w:val="21"/>
                <w:szCs w:val="21"/>
                <w:lang w:val="en-US" w:eastAsia="zh-CN" w:bidi="ar-SA"/>
              </w:rPr>
            </w:pPr>
            <w:r>
              <w:rPr>
                <w:rFonts w:hint="eastAsia"/>
                <w:kern w:val="0"/>
              </w:rPr>
              <w:t>定期分析</w:t>
            </w:r>
            <w:r>
              <w:rPr>
                <w:rFonts w:hint="eastAsia"/>
              </w:rPr>
              <w:t>主要生产工艺参数波动情况</w:t>
            </w:r>
          </w:p>
        </w:tc>
        <w:tc>
          <w:tcPr>
            <w:tcW w:w="1231" w:type="dxa"/>
            <w:tcBorders>
              <w:top w:val="single" w:color="auto" w:sz="8" w:space="0"/>
              <w:left w:val="single" w:color="auto" w:sz="8" w:space="0"/>
              <w:bottom w:val="single" w:color="auto" w:sz="8" w:space="0"/>
              <w:right w:val="single" w:color="auto" w:sz="8" w:space="0"/>
            </w:tcBorders>
            <w:vAlign w:val="center"/>
          </w:tcPr>
          <w:p w14:paraId="6060C049">
            <w:pPr>
              <w:pStyle w:val="24"/>
              <w:spacing w:line="240" w:lineRule="auto"/>
              <w:ind w:firstLine="0" w:firstLineChars="0"/>
              <w:rPr>
                <w:kern w:val="0"/>
              </w:rPr>
            </w:pPr>
          </w:p>
        </w:tc>
        <w:tc>
          <w:tcPr>
            <w:tcW w:w="1231" w:type="dxa"/>
            <w:tcBorders>
              <w:top w:val="single" w:color="auto" w:sz="8" w:space="0"/>
              <w:left w:val="single" w:color="auto" w:sz="8" w:space="0"/>
              <w:bottom w:val="single" w:color="auto" w:sz="8" w:space="0"/>
              <w:right w:val="single" w:color="auto" w:sz="8" w:space="0"/>
            </w:tcBorders>
            <w:vAlign w:val="center"/>
          </w:tcPr>
          <w:p w14:paraId="10949D8F">
            <w:pPr>
              <w:pStyle w:val="24"/>
              <w:spacing w:line="240" w:lineRule="auto"/>
              <w:ind w:firstLine="0" w:firstLineChars="0"/>
              <w:rPr>
                <w:kern w:val="0"/>
              </w:rPr>
            </w:pPr>
          </w:p>
        </w:tc>
        <w:tc>
          <w:tcPr>
            <w:tcW w:w="1231" w:type="dxa"/>
            <w:tcBorders>
              <w:top w:val="single" w:color="auto" w:sz="8" w:space="0"/>
              <w:left w:val="single" w:color="auto" w:sz="8" w:space="0"/>
              <w:bottom w:val="single" w:color="auto" w:sz="8" w:space="0"/>
              <w:right w:val="single" w:color="auto" w:sz="8" w:space="0"/>
            </w:tcBorders>
            <w:vAlign w:val="center"/>
          </w:tcPr>
          <w:p w14:paraId="37AF6E59">
            <w:pPr>
              <w:pStyle w:val="24"/>
              <w:spacing w:line="240" w:lineRule="auto"/>
              <w:ind w:firstLine="0" w:firstLineChars="0"/>
              <w:rPr>
                <w:kern w:val="0"/>
              </w:rPr>
            </w:pPr>
          </w:p>
        </w:tc>
      </w:tr>
      <w:tr w14:paraId="480355ED">
        <w:tblPrEx>
          <w:tblCellMar>
            <w:top w:w="0" w:type="dxa"/>
            <w:left w:w="108" w:type="dxa"/>
            <w:bottom w:w="0" w:type="dxa"/>
            <w:right w:w="108" w:type="dxa"/>
          </w:tblCellMar>
        </w:tblPrEx>
        <w:trPr>
          <w:trHeight w:val="283" w:hRule="atLeast"/>
        </w:trPr>
        <w:tc>
          <w:tcPr>
            <w:tcW w:w="656" w:type="dxa"/>
            <w:tcBorders>
              <w:top w:val="single" w:color="auto" w:sz="8" w:space="0"/>
              <w:left w:val="single" w:color="auto" w:sz="8" w:space="0"/>
              <w:bottom w:val="single" w:color="auto" w:sz="8" w:space="0"/>
              <w:right w:val="single" w:color="auto" w:sz="8" w:space="0"/>
            </w:tcBorders>
            <w:vAlign w:val="center"/>
          </w:tcPr>
          <w:p w14:paraId="652319E1">
            <w:pPr>
              <w:pStyle w:val="24"/>
              <w:spacing w:line="240" w:lineRule="auto"/>
              <w:ind w:firstLine="0" w:firstLineChars="0"/>
              <w:rPr>
                <w:kern w:val="0"/>
              </w:rPr>
            </w:pPr>
            <w:r>
              <w:rPr>
                <w:rFonts w:hint="eastAsia"/>
                <w:kern w:val="0"/>
              </w:rPr>
              <w:t>18</w:t>
            </w:r>
          </w:p>
        </w:tc>
        <w:tc>
          <w:tcPr>
            <w:tcW w:w="4170" w:type="dxa"/>
            <w:tcBorders>
              <w:top w:val="single" w:color="auto" w:sz="8" w:space="0"/>
              <w:left w:val="single" w:color="auto" w:sz="8" w:space="0"/>
              <w:bottom w:val="single" w:color="auto" w:sz="8" w:space="0"/>
              <w:right w:val="single" w:color="auto" w:sz="8" w:space="0"/>
            </w:tcBorders>
            <w:shd w:val="clear" w:color="auto" w:fill="auto"/>
            <w:vAlign w:val="center"/>
          </w:tcPr>
          <w:p w14:paraId="3E9E8DBA">
            <w:pPr>
              <w:pStyle w:val="24"/>
              <w:spacing w:line="240" w:lineRule="auto"/>
              <w:ind w:firstLine="0" w:firstLineChars="0"/>
              <w:jc w:val="both"/>
              <w:rPr>
                <w:rFonts w:ascii="Times New Roman" w:hAnsi="Times New Roman" w:eastAsia="宋体" w:cs="黑体"/>
                <w:kern w:val="0"/>
                <w:sz w:val="21"/>
                <w:szCs w:val="21"/>
                <w:lang w:val="en-US" w:eastAsia="zh-CN" w:bidi="ar-SA"/>
              </w:rPr>
            </w:pPr>
            <w:r>
              <w:rPr>
                <w:rFonts w:hint="eastAsia"/>
                <w:kern w:val="0"/>
              </w:rPr>
              <w:t>定期分析</w:t>
            </w:r>
            <w:r>
              <w:rPr>
                <w:rFonts w:hint="eastAsia"/>
              </w:rPr>
              <w:t>主要生产工艺参数异常报警情况</w:t>
            </w:r>
          </w:p>
        </w:tc>
        <w:tc>
          <w:tcPr>
            <w:tcW w:w="1231" w:type="dxa"/>
            <w:tcBorders>
              <w:top w:val="single" w:color="auto" w:sz="8" w:space="0"/>
              <w:left w:val="single" w:color="auto" w:sz="8" w:space="0"/>
              <w:bottom w:val="single" w:color="auto" w:sz="8" w:space="0"/>
              <w:right w:val="single" w:color="auto" w:sz="8" w:space="0"/>
            </w:tcBorders>
            <w:vAlign w:val="center"/>
          </w:tcPr>
          <w:p w14:paraId="277C9A83">
            <w:pPr>
              <w:pStyle w:val="24"/>
              <w:spacing w:line="240" w:lineRule="auto"/>
              <w:ind w:firstLine="0" w:firstLineChars="0"/>
              <w:rPr>
                <w:kern w:val="0"/>
              </w:rPr>
            </w:pPr>
          </w:p>
        </w:tc>
        <w:tc>
          <w:tcPr>
            <w:tcW w:w="1231" w:type="dxa"/>
            <w:tcBorders>
              <w:top w:val="single" w:color="auto" w:sz="8" w:space="0"/>
              <w:left w:val="single" w:color="auto" w:sz="8" w:space="0"/>
              <w:bottom w:val="single" w:color="auto" w:sz="8" w:space="0"/>
              <w:right w:val="single" w:color="auto" w:sz="8" w:space="0"/>
            </w:tcBorders>
            <w:vAlign w:val="center"/>
          </w:tcPr>
          <w:p w14:paraId="747E1294">
            <w:pPr>
              <w:pStyle w:val="24"/>
              <w:spacing w:line="240" w:lineRule="auto"/>
              <w:ind w:firstLine="0" w:firstLineChars="0"/>
              <w:rPr>
                <w:kern w:val="0"/>
              </w:rPr>
            </w:pPr>
          </w:p>
        </w:tc>
        <w:tc>
          <w:tcPr>
            <w:tcW w:w="1231" w:type="dxa"/>
            <w:tcBorders>
              <w:top w:val="single" w:color="auto" w:sz="8" w:space="0"/>
              <w:left w:val="single" w:color="auto" w:sz="8" w:space="0"/>
              <w:bottom w:val="single" w:color="auto" w:sz="8" w:space="0"/>
              <w:right w:val="single" w:color="auto" w:sz="8" w:space="0"/>
            </w:tcBorders>
            <w:vAlign w:val="center"/>
          </w:tcPr>
          <w:p w14:paraId="50F474BE">
            <w:pPr>
              <w:pStyle w:val="24"/>
              <w:spacing w:line="240" w:lineRule="auto"/>
              <w:ind w:firstLine="0" w:firstLineChars="0"/>
              <w:rPr>
                <w:kern w:val="0"/>
              </w:rPr>
            </w:pPr>
          </w:p>
        </w:tc>
      </w:tr>
      <w:tr w14:paraId="4D94D5B9">
        <w:tblPrEx>
          <w:tblCellMar>
            <w:top w:w="0" w:type="dxa"/>
            <w:left w:w="108" w:type="dxa"/>
            <w:bottom w:w="0" w:type="dxa"/>
            <w:right w:w="108" w:type="dxa"/>
          </w:tblCellMar>
        </w:tblPrEx>
        <w:trPr>
          <w:trHeight w:val="283" w:hRule="atLeast"/>
        </w:trPr>
        <w:tc>
          <w:tcPr>
            <w:tcW w:w="656" w:type="dxa"/>
            <w:tcBorders>
              <w:top w:val="single" w:color="auto" w:sz="8" w:space="0"/>
              <w:left w:val="single" w:color="auto" w:sz="8" w:space="0"/>
              <w:bottom w:val="single" w:color="auto" w:sz="8" w:space="0"/>
              <w:right w:val="single" w:color="auto" w:sz="8" w:space="0"/>
            </w:tcBorders>
            <w:vAlign w:val="center"/>
          </w:tcPr>
          <w:p w14:paraId="39E8B192">
            <w:pPr>
              <w:pStyle w:val="24"/>
              <w:spacing w:line="240" w:lineRule="auto"/>
              <w:ind w:firstLine="0" w:firstLineChars="0"/>
              <w:rPr>
                <w:kern w:val="0"/>
              </w:rPr>
            </w:pPr>
            <w:r>
              <w:rPr>
                <w:rFonts w:hint="eastAsia"/>
                <w:kern w:val="0"/>
              </w:rPr>
              <w:t>19</w:t>
            </w:r>
          </w:p>
        </w:tc>
        <w:tc>
          <w:tcPr>
            <w:tcW w:w="4170" w:type="dxa"/>
            <w:tcBorders>
              <w:top w:val="single" w:color="auto" w:sz="8" w:space="0"/>
              <w:left w:val="single" w:color="auto" w:sz="8" w:space="0"/>
              <w:bottom w:val="single" w:color="auto" w:sz="8" w:space="0"/>
              <w:right w:val="single" w:color="auto" w:sz="8" w:space="0"/>
            </w:tcBorders>
            <w:shd w:val="clear" w:color="auto" w:fill="auto"/>
            <w:vAlign w:val="center"/>
          </w:tcPr>
          <w:p w14:paraId="65BC4002">
            <w:pPr>
              <w:pStyle w:val="24"/>
              <w:spacing w:line="240" w:lineRule="auto"/>
              <w:ind w:firstLine="0" w:firstLineChars="0"/>
              <w:jc w:val="both"/>
              <w:rPr>
                <w:rFonts w:ascii="Times New Roman" w:hAnsi="Times New Roman" w:eastAsia="宋体" w:cs="黑体"/>
                <w:kern w:val="0"/>
                <w:sz w:val="21"/>
                <w:szCs w:val="21"/>
                <w:lang w:val="en-US" w:eastAsia="zh-CN" w:bidi="ar-SA"/>
              </w:rPr>
            </w:pPr>
            <w:r>
              <w:rPr>
                <w:rFonts w:hint="eastAsia"/>
                <w:color w:val="000000"/>
                <w:kern w:val="0"/>
              </w:rPr>
              <w:t>生产过程不存在跑冒滴漏现象</w:t>
            </w:r>
          </w:p>
        </w:tc>
        <w:tc>
          <w:tcPr>
            <w:tcW w:w="1231" w:type="dxa"/>
            <w:tcBorders>
              <w:top w:val="single" w:color="auto" w:sz="8" w:space="0"/>
              <w:left w:val="single" w:color="auto" w:sz="8" w:space="0"/>
              <w:bottom w:val="single" w:color="auto" w:sz="8" w:space="0"/>
              <w:right w:val="single" w:color="auto" w:sz="8" w:space="0"/>
            </w:tcBorders>
            <w:vAlign w:val="center"/>
          </w:tcPr>
          <w:p w14:paraId="659E4EC8">
            <w:pPr>
              <w:pStyle w:val="24"/>
              <w:spacing w:line="240" w:lineRule="auto"/>
              <w:ind w:firstLine="0" w:firstLineChars="0"/>
              <w:rPr>
                <w:kern w:val="0"/>
              </w:rPr>
            </w:pPr>
          </w:p>
        </w:tc>
        <w:tc>
          <w:tcPr>
            <w:tcW w:w="1231" w:type="dxa"/>
            <w:tcBorders>
              <w:top w:val="single" w:color="auto" w:sz="8" w:space="0"/>
              <w:left w:val="single" w:color="auto" w:sz="8" w:space="0"/>
              <w:bottom w:val="single" w:color="auto" w:sz="8" w:space="0"/>
              <w:right w:val="single" w:color="auto" w:sz="8" w:space="0"/>
            </w:tcBorders>
            <w:vAlign w:val="center"/>
          </w:tcPr>
          <w:p w14:paraId="6DE54CB9">
            <w:pPr>
              <w:pStyle w:val="24"/>
              <w:spacing w:line="240" w:lineRule="auto"/>
              <w:ind w:firstLine="0" w:firstLineChars="0"/>
              <w:rPr>
                <w:kern w:val="0"/>
              </w:rPr>
            </w:pPr>
          </w:p>
        </w:tc>
        <w:tc>
          <w:tcPr>
            <w:tcW w:w="1231" w:type="dxa"/>
            <w:tcBorders>
              <w:top w:val="single" w:color="auto" w:sz="8" w:space="0"/>
              <w:left w:val="single" w:color="auto" w:sz="8" w:space="0"/>
              <w:bottom w:val="single" w:color="auto" w:sz="8" w:space="0"/>
              <w:right w:val="single" w:color="auto" w:sz="8" w:space="0"/>
            </w:tcBorders>
            <w:vAlign w:val="center"/>
          </w:tcPr>
          <w:p w14:paraId="12CF41EE">
            <w:pPr>
              <w:pStyle w:val="24"/>
              <w:spacing w:line="240" w:lineRule="auto"/>
              <w:ind w:firstLine="0" w:firstLineChars="0"/>
              <w:rPr>
                <w:kern w:val="0"/>
              </w:rPr>
            </w:pPr>
          </w:p>
        </w:tc>
      </w:tr>
      <w:tr w14:paraId="26DB5216">
        <w:tblPrEx>
          <w:tblCellMar>
            <w:top w:w="0" w:type="dxa"/>
            <w:left w:w="108" w:type="dxa"/>
            <w:bottom w:w="0" w:type="dxa"/>
            <w:right w:w="108" w:type="dxa"/>
          </w:tblCellMar>
        </w:tblPrEx>
        <w:trPr>
          <w:trHeight w:val="283" w:hRule="atLeast"/>
        </w:trPr>
        <w:tc>
          <w:tcPr>
            <w:tcW w:w="656" w:type="dxa"/>
            <w:tcBorders>
              <w:top w:val="single" w:color="auto" w:sz="8" w:space="0"/>
              <w:left w:val="single" w:color="auto" w:sz="8" w:space="0"/>
              <w:bottom w:val="single" w:color="auto" w:sz="8" w:space="0"/>
              <w:right w:val="single" w:color="auto" w:sz="8" w:space="0"/>
            </w:tcBorders>
            <w:vAlign w:val="center"/>
          </w:tcPr>
          <w:p w14:paraId="0AEF9FFA">
            <w:pPr>
              <w:pStyle w:val="24"/>
              <w:spacing w:line="240" w:lineRule="auto"/>
              <w:ind w:firstLine="0" w:firstLineChars="0"/>
              <w:rPr>
                <w:kern w:val="0"/>
              </w:rPr>
            </w:pPr>
            <w:r>
              <w:rPr>
                <w:rFonts w:hint="eastAsia"/>
                <w:kern w:val="0"/>
              </w:rPr>
              <w:t>20</w:t>
            </w:r>
          </w:p>
        </w:tc>
        <w:tc>
          <w:tcPr>
            <w:tcW w:w="4170" w:type="dxa"/>
            <w:tcBorders>
              <w:top w:val="single" w:color="auto" w:sz="8" w:space="0"/>
              <w:left w:val="single" w:color="auto" w:sz="8" w:space="0"/>
              <w:bottom w:val="single" w:color="auto" w:sz="8" w:space="0"/>
              <w:right w:val="single" w:color="auto" w:sz="8" w:space="0"/>
            </w:tcBorders>
            <w:shd w:val="clear" w:color="auto" w:fill="auto"/>
            <w:vAlign w:val="center"/>
          </w:tcPr>
          <w:p w14:paraId="137F12EE">
            <w:pPr>
              <w:pStyle w:val="24"/>
              <w:spacing w:line="240" w:lineRule="auto"/>
              <w:ind w:firstLine="0" w:firstLineChars="0"/>
              <w:jc w:val="both"/>
              <w:rPr>
                <w:rFonts w:ascii="Times New Roman" w:hAnsi="Times New Roman" w:eastAsia="宋体" w:cs="黑体"/>
                <w:kern w:val="0"/>
                <w:sz w:val="21"/>
                <w:szCs w:val="21"/>
                <w:lang w:val="en-US" w:eastAsia="zh-CN" w:bidi="ar-SA"/>
              </w:rPr>
            </w:pPr>
            <w:r>
              <w:rPr>
                <w:rFonts w:hint="eastAsia"/>
                <w:color w:val="000000"/>
                <w:kern w:val="0"/>
              </w:rPr>
              <w:t>生产过程中存在跑冒滴漏并进行过改进</w:t>
            </w:r>
          </w:p>
        </w:tc>
        <w:tc>
          <w:tcPr>
            <w:tcW w:w="1231" w:type="dxa"/>
            <w:tcBorders>
              <w:top w:val="single" w:color="auto" w:sz="8" w:space="0"/>
              <w:left w:val="single" w:color="auto" w:sz="8" w:space="0"/>
              <w:bottom w:val="single" w:color="auto" w:sz="8" w:space="0"/>
              <w:right w:val="single" w:color="auto" w:sz="8" w:space="0"/>
            </w:tcBorders>
            <w:vAlign w:val="center"/>
          </w:tcPr>
          <w:p w14:paraId="42A17749">
            <w:pPr>
              <w:pStyle w:val="24"/>
              <w:spacing w:line="240" w:lineRule="auto"/>
              <w:ind w:firstLine="0" w:firstLineChars="0"/>
              <w:rPr>
                <w:kern w:val="0"/>
              </w:rPr>
            </w:pPr>
          </w:p>
        </w:tc>
        <w:tc>
          <w:tcPr>
            <w:tcW w:w="1231" w:type="dxa"/>
            <w:tcBorders>
              <w:top w:val="single" w:color="auto" w:sz="8" w:space="0"/>
              <w:left w:val="single" w:color="auto" w:sz="8" w:space="0"/>
              <w:bottom w:val="single" w:color="auto" w:sz="8" w:space="0"/>
              <w:right w:val="single" w:color="auto" w:sz="8" w:space="0"/>
            </w:tcBorders>
            <w:vAlign w:val="center"/>
          </w:tcPr>
          <w:p w14:paraId="38D699AE">
            <w:pPr>
              <w:pStyle w:val="24"/>
              <w:spacing w:line="240" w:lineRule="auto"/>
              <w:ind w:firstLine="0" w:firstLineChars="0"/>
              <w:rPr>
                <w:kern w:val="0"/>
              </w:rPr>
            </w:pPr>
          </w:p>
        </w:tc>
        <w:tc>
          <w:tcPr>
            <w:tcW w:w="1231" w:type="dxa"/>
            <w:tcBorders>
              <w:top w:val="single" w:color="auto" w:sz="8" w:space="0"/>
              <w:left w:val="single" w:color="auto" w:sz="8" w:space="0"/>
              <w:bottom w:val="single" w:color="auto" w:sz="8" w:space="0"/>
              <w:right w:val="single" w:color="auto" w:sz="8" w:space="0"/>
            </w:tcBorders>
            <w:vAlign w:val="center"/>
          </w:tcPr>
          <w:p w14:paraId="093D4A67">
            <w:pPr>
              <w:pStyle w:val="24"/>
              <w:spacing w:line="240" w:lineRule="auto"/>
              <w:ind w:firstLine="0" w:firstLineChars="0"/>
              <w:rPr>
                <w:kern w:val="0"/>
              </w:rPr>
            </w:pPr>
          </w:p>
        </w:tc>
      </w:tr>
    </w:tbl>
    <w:p w14:paraId="680D6A4B">
      <w:pPr>
        <w:rPr>
          <w:ins w:id="0" w:author="CC" w:date="2025-01-14T17:36:28Z"/>
          <w:rFonts w:hint="eastAsia"/>
        </w:rPr>
      </w:pPr>
      <w:bookmarkStart w:id="19" w:name="_GoBack"/>
      <w:bookmarkEnd w:id="19"/>
    </w:p>
    <w:p w14:paraId="4A02B5E8">
      <w:pPr>
        <w:pStyle w:val="4"/>
        <w:adjustRightInd w:val="0"/>
        <w:snapToGrid w:val="0"/>
        <w:spacing w:before="156" w:beforeLines="50" w:after="0" w:line="240" w:lineRule="auto"/>
        <w:ind w:firstLine="0" w:firstLineChars="0"/>
        <w:jc w:val="center"/>
      </w:pPr>
      <w:r>
        <w:rPr>
          <w:rFonts w:hint="eastAsia"/>
        </w:rPr>
        <w:t>工作表</w:t>
      </w:r>
      <w:r>
        <w:rPr>
          <w:rFonts w:hint="eastAsia"/>
          <w:lang w:val="en-US" w:eastAsia="zh-CN"/>
        </w:rPr>
        <w:t>A.5</w:t>
      </w:r>
      <w:r>
        <w:rPr>
          <w:rFonts w:hint="eastAsia"/>
        </w:rPr>
        <w:t xml:space="preserve"> 产品现场考察表</w:t>
      </w:r>
    </w:p>
    <w:tbl>
      <w:tblPr>
        <w:tblStyle w:val="11"/>
        <w:tblW w:w="8519" w:type="dxa"/>
        <w:tblInd w:w="0" w:type="dxa"/>
        <w:tblLayout w:type="fixed"/>
        <w:tblCellMar>
          <w:top w:w="0" w:type="dxa"/>
          <w:left w:w="108" w:type="dxa"/>
          <w:bottom w:w="0" w:type="dxa"/>
          <w:right w:w="108" w:type="dxa"/>
        </w:tblCellMar>
      </w:tblPr>
      <w:tblGrid>
        <w:gridCol w:w="671"/>
        <w:gridCol w:w="4209"/>
        <w:gridCol w:w="1213"/>
        <w:gridCol w:w="1213"/>
        <w:gridCol w:w="1213"/>
      </w:tblGrid>
      <w:tr w14:paraId="7640E723">
        <w:tblPrEx>
          <w:tblCellMar>
            <w:top w:w="0" w:type="dxa"/>
            <w:left w:w="108" w:type="dxa"/>
            <w:bottom w:w="0" w:type="dxa"/>
            <w:right w:w="108" w:type="dxa"/>
          </w:tblCellMar>
        </w:tblPrEx>
        <w:trPr>
          <w:trHeight w:val="340" w:hRule="atLeast"/>
          <w:tblHeader/>
        </w:trPr>
        <w:tc>
          <w:tcPr>
            <w:tcW w:w="671" w:type="dxa"/>
            <w:vMerge w:val="restart"/>
            <w:tcBorders>
              <w:top w:val="single" w:color="auto" w:sz="8" w:space="0"/>
              <w:left w:val="single" w:color="auto" w:sz="8" w:space="0"/>
              <w:right w:val="single" w:color="auto" w:sz="8" w:space="0"/>
            </w:tcBorders>
            <w:vAlign w:val="center"/>
          </w:tcPr>
          <w:p w14:paraId="00EB22E2">
            <w:pPr>
              <w:pStyle w:val="24"/>
              <w:spacing w:line="240" w:lineRule="auto"/>
              <w:ind w:firstLine="0" w:firstLineChars="0"/>
              <w:rPr>
                <w:b/>
                <w:color w:val="000000"/>
                <w:kern w:val="0"/>
              </w:rPr>
            </w:pPr>
            <w:r>
              <w:rPr>
                <w:b/>
                <w:color w:val="000000"/>
                <w:kern w:val="0"/>
              </w:rPr>
              <w:t>序号</w:t>
            </w:r>
          </w:p>
        </w:tc>
        <w:tc>
          <w:tcPr>
            <w:tcW w:w="4209" w:type="dxa"/>
            <w:vMerge w:val="restart"/>
            <w:tcBorders>
              <w:top w:val="single" w:color="auto" w:sz="8" w:space="0"/>
              <w:left w:val="nil"/>
              <w:right w:val="single" w:color="auto" w:sz="8" w:space="0"/>
            </w:tcBorders>
            <w:vAlign w:val="center"/>
          </w:tcPr>
          <w:p w14:paraId="0B8233C2">
            <w:pPr>
              <w:pStyle w:val="24"/>
              <w:spacing w:line="240" w:lineRule="auto"/>
              <w:ind w:firstLine="0" w:firstLineChars="0"/>
              <w:rPr>
                <w:b/>
                <w:color w:val="000000"/>
                <w:kern w:val="0"/>
              </w:rPr>
            </w:pPr>
            <w:r>
              <w:rPr>
                <w:b/>
                <w:color w:val="000000"/>
                <w:kern w:val="0"/>
              </w:rPr>
              <w:t>调查项目</w:t>
            </w:r>
          </w:p>
        </w:tc>
        <w:tc>
          <w:tcPr>
            <w:tcW w:w="3639" w:type="dxa"/>
            <w:gridSpan w:val="3"/>
            <w:tcBorders>
              <w:top w:val="single" w:color="auto" w:sz="8" w:space="0"/>
              <w:left w:val="nil"/>
              <w:bottom w:val="single" w:color="auto" w:sz="8" w:space="0"/>
              <w:right w:val="single" w:color="auto" w:sz="8" w:space="0"/>
            </w:tcBorders>
            <w:vAlign w:val="center"/>
          </w:tcPr>
          <w:p w14:paraId="097E7BBF">
            <w:pPr>
              <w:pStyle w:val="24"/>
              <w:spacing w:line="240" w:lineRule="auto"/>
              <w:ind w:firstLine="0" w:firstLineChars="0"/>
              <w:rPr>
                <w:b/>
                <w:color w:val="000000"/>
                <w:kern w:val="0"/>
              </w:rPr>
            </w:pPr>
            <w:r>
              <w:rPr>
                <w:b/>
                <w:color w:val="000000"/>
                <w:kern w:val="0"/>
              </w:rPr>
              <w:t>企业现状</w:t>
            </w:r>
          </w:p>
        </w:tc>
      </w:tr>
      <w:tr w14:paraId="74A0FFEC">
        <w:tblPrEx>
          <w:tblCellMar>
            <w:top w:w="0" w:type="dxa"/>
            <w:left w:w="108" w:type="dxa"/>
            <w:bottom w:w="0" w:type="dxa"/>
            <w:right w:w="108" w:type="dxa"/>
          </w:tblCellMar>
        </w:tblPrEx>
        <w:trPr>
          <w:trHeight w:val="340" w:hRule="atLeast"/>
          <w:tblHeader/>
        </w:trPr>
        <w:tc>
          <w:tcPr>
            <w:tcW w:w="671" w:type="dxa"/>
            <w:vMerge w:val="continue"/>
            <w:tcBorders>
              <w:left w:val="single" w:color="auto" w:sz="8" w:space="0"/>
              <w:bottom w:val="single" w:color="auto" w:sz="8" w:space="0"/>
              <w:right w:val="single" w:color="auto" w:sz="8" w:space="0"/>
            </w:tcBorders>
            <w:vAlign w:val="center"/>
          </w:tcPr>
          <w:p w14:paraId="57670313">
            <w:pPr>
              <w:pStyle w:val="24"/>
              <w:spacing w:line="240" w:lineRule="auto"/>
              <w:ind w:firstLine="0" w:firstLineChars="0"/>
              <w:rPr>
                <w:b/>
                <w:color w:val="000000"/>
                <w:kern w:val="0"/>
              </w:rPr>
            </w:pPr>
          </w:p>
        </w:tc>
        <w:tc>
          <w:tcPr>
            <w:tcW w:w="4209" w:type="dxa"/>
            <w:vMerge w:val="continue"/>
            <w:tcBorders>
              <w:left w:val="nil"/>
              <w:bottom w:val="single" w:color="auto" w:sz="8" w:space="0"/>
              <w:right w:val="single" w:color="auto" w:sz="8" w:space="0"/>
            </w:tcBorders>
            <w:vAlign w:val="center"/>
          </w:tcPr>
          <w:p w14:paraId="2C5446A3">
            <w:pPr>
              <w:pStyle w:val="24"/>
              <w:spacing w:line="240" w:lineRule="auto"/>
              <w:ind w:firstLine="0" w:firstLineChars="0"/>
              <w:rPr>
                <w:b/>
                <w:color w:val="000000"/>
                <w:kern w:val="0"/>
              </w:rPr>
            </w:pPr>
          </w:p>
        </w:tc>
        <w:tc>
          <w:tcPr>
            <w:tcW w:w="1213" w:type="dxa"/>
            <w:tcBorders>
              <w:top w:val="single" w:color="auto" w:sz="8" w:space="0"/>
              <w:left w:val="nil"/>
              <w:bottom w:val="single" w:color="auto" w:sz="8" w:space="0"/>
              <w:right w:val="single" w:color="auto" w:sz="8" w:space="0"/>
            </w:tcBorders>
            <w:vAlign w:val="center"/>
          </w:tcPr>
          <w:p w14:paraId="0B7C0851">
            <w:pPr>
              <w:pStyle w:val="24"/>
              <w:spacing w:line="240" w:lineRule="auto"/>
              <w:ind w:firstLine="0" w:firstLineChars="0"/>
              <w:rPr>
                <w:b/>
                <w:color w:val="000000"/>
                <w:kern w:val="0"/>
              </w:rPr>
            </w:pPr>
            <w:r>
              <w:rPr>
                <w:b/>
                <w:color w:val="000000"/>
                <w:kern w:val="0"/>
              </w:rPr>
              <w:t>有/是</w:t>
            </w:r>
          </w:p>
        </w:tc>
        <w:tc>
          <w:tcPr>
            <w:tcW w:w="1213" w:type="dxa"/>
            <w:tcBorders>
              <w:top w:val="single" w:color="auto" w:sz="8" w:space="0"/>
              <w:left w:val="nil"/>
              <w:bottom w:val="single" w:color="auto" w:sz="8" w:space="0"/>
              <w:right w:val="single" w:color="auto" w:sz="8" w:space="0"/>
            </w:tcBorders>
            <w:vAlign w:val="center"/>
          </w:tcPr>
          <w:p w14:paraId="71D2C60E">
            <w:pPr>
              <w:pStyle w:val="24"/>
              <w:spacing w:line="240" w:lineRule="auto"/>
              <w:ind w:firstLine="0" w:firstLineChars="0"/>
              <w:rPr>
                <w:b/>
                <w:color w:val="000000"/>
                <w:kern w:val="0"/>
              </w:rPr>
            </w:pPr>
            <w:r>
              <w:rPr>
                <w:b/>
                <w:color w:val="000000"/>
                <w:kern w:val="0"/>
              </w:rPr>
              <w:t>无/不是</w:t>
            </w:r>
          </w:p>
        </w:tc>
        <w:tc>
          <w:tcPr>
            <w:tcW w:w="1213" w:type="dxa"/>
            <w:tcBorders>
              <w:top w:val="single" w:color="auto" w:sz="8" w:space="0"/>
              <w:left w:val="nil"/>
              <w:bottom w:val="single" w:color="auto" w:sz="8" w:space="0"/>
              <w:right w:val="single" w:color="auto" w:sz="8" w:space="0"/>
            </w:tcBorders>
            <w:vAlign w:val="center"/>
          </w:tcPr>
          <w:p w14:paraId="5D8FF2E9">
            <w:pPr>
              <w:pStyle w:val="24"/>
              <w:spacing w:line="240" w:lineRule="auto"/>
              <w:ind w:firstLine="0" w:firstLineChars="0"/>
              <w:rPr>
                <w:b/>
                <w:color w:val="000000"/>
                <w:kern w:val="0"/>
              </w:rPr>
            </w:pPr>
            <w:r>
              <w:rPr>
                <w:b/>
                <w:color w:val="000000"/>
                <w:kern w:val="0"/>
              </w:rPr>
              <w:t>不适用</w:t>
            </w:r>
          </w:p>
        </w:tc>
      </w:tr>
      <w:tr w14:paraId="72811C97">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8" w:space="0"/>
              <w:right w:val="single" w:color="auto" w:sz="8" w:space="0"/>
            </w:tcBorders>
            <w:vAlign w:val="center"/>
          </w:tcPr>
          <w:p w14:paraId="5F1BD8D5">
            <w:pPr>
              <w:pStyle w:val="24"/>
              <w:spacing w:line="240" w:lineRule="auto"/>
              <w:ind w:firstLine="0" w:firstLineChars="0"/>
              <w:rPr>
                <w:color w:val="000000"/>
                <w:kern w:val="0"/>
              </w:rPr>
            </w:pPr>
            <w:r>
              <w:rPr>
                <w:color w:val="000000"/>
                <w:kern w:val="0"/>
              </w:rPr>
              <w:t>1</w:t>
            </w:r>
          </w:p>
        </w:tc>
        <w:tc>
          <w:tcPr>
            <w:tcW w:w="4209" w:type="dxa"/>
            <w:tcBorders>
              <w:top w:val="nil"/>
              <w:left w:val="nil"/>
              <w:bottom w:val="single" w:color="auto" w:sz="8" w:space="0"/>
              <w:right w:val="single" w:color="auto" w:sz="8" w:space="0"/>
            </w:tcBorders>
            <w:vAlign w:val="center"/>
          </w:tcPr>
          <w:p w14:paraId="6926D360">
            <w:pPr>
              <w:pStyle w:val="24"/>
              <w:spacing w:line="240" w:lineRule="auto"/>
              <w:ind w:firstLine="0" w:firstLineChars="0"/>
              <w:jc w:val="both"/>
              <w:rPr>
                <w:color w:val="000000"/>
                <w:kern w:val="0"/>
              </w:rPr>
            </w:pPr>
            <w:r>
              <w:rPr>
                <w:color w:val="000000"/>
                <w:kern w:val="0"/>
              </w:rPr>
              <w:t>定期分析产品</w:t>
            </w:r>
            <w:r>
              <w:rPr>
                <w:rFonts w:hint="eastAsia"/>
                <w:color w:val="000000"/>
                <w:kern w:val="0"/>
              </w:rPr>
              <w:t>一次</w:t>
            </w:r>
            <w:r>
              <w:rPr>
                <w:color w:val="000000"/>
                <w:kern w:val="0"/>
              </w:rPr>
              <w:t>合格率</w:t>
            </w:r>
            <w:r>
              <w:rPr>
                <w:rFonts w:hint="eastAsia"/>
                <w:color w:val="000000"/>
                <w:kern w:val="0"/>
              </w:rPr>
              <w:t>/总合格率</w:t>
            </w:r>
            <w:r>
              <w:rPr>
                <w:color w:val="000000"/>
                <w:kern w:val="0"/>
              </w:rPr>
              <w:t>情况</w:t>
            </w:r>
          </w:p>
        </w:tc>
        <w:tc>
          <w:tcPr>
            <w:tcW w:w="1213" w:type="dxa"/>
            <w:tcBorders>
              <w:top w:val="nil"/>
              <w:left w:val="nil"/>
              <w:bottom w:val="single" w:color="auto" w:sz="8" w:space="0"/>
              <w:right w:val="single" w:color="auto" w:sz="8" w:space="0"/>
            </w:tcBorders>
            <w:vAlign w:val="center"/>
          </w:tcPr>
          <w:p w14:paraId="0D189F63">
            <w:pPr>
              <w:pStyle w:val="24"/>
              <w:spacing w:line="240" w:lineRule="auto"/>
              <w:ind w:firstLine="0" w:firstLineChars="0"/>
              <w:rPr>
                <w:color w:val="000000"/>
                <w:kern w:val="0"/>
              </w:rPr>
            </w:pPr>
          </w:p>
        </w:tc>
        <w:tc>
          <w:tcPr>
            <w:tcW w:w="1213" w:type="dxa"/>
            <w:tcBorders>
              <w:top w:val="nil"/>
              <w:left w:val="nil"/>
              <w:bottom w:val="single" w:color="auto" w:sz="8" w:space="0"/>
              <w:right w:val="single" w:color="auto" w:sz="8" w:space="0"/>
            </w:tcBorders>
            <w:vAlign w:val="center"/>
          </w:tcPr>
          <w:p w14:paraId="0A6598A1">
            <w:pPr>
              <w:pStyle w:val="24"/>
              <w:spacing w:line="240" w:lineRule="auto"/>
              <w:ind w:firstLine="0" w:firstLineChars="0"/>
              <w:rPr>
                <w:color w:val="000000"/>
                <w:kern w:val="0"/>
              </w:rPr>
            </w:pPr>
          </w:p>
        </w:tc>
        <w:tc>
          <w:tcPr>
            <w:tcW w:w="1213" w:type="dxa"/>
            <w:tcBorders>
              <w:top w:val="nil"/>
              <w:left w:val="nil"/>
              <w:bottom w:val="single" w:color="auto" w:sz="8" w:space="0"/>
              <w:right w:val="single" w:color="auto" w:sz="8" w:space="0"/>
            </w:tcBorders>
            <w:vAlign w:val="center"/>
          </w:tcPr>
          <w:p w14:paraId="048EED51">
            <w:pPr>
              <w:pStyle w:val="24"/>
              <w:spacing w:line="240" w:lineRule="auto"/>
              <w:ind w:firstLine="0" w:firstLineChars="0"/>
              <w:rPr>
                <w:color w:val="000000"/>
                <w:kern w:val="0"/>
              </w:rPr>
            </w:pPr>
          </w:p>
        </w:tc>
      </w:tr>
      <w:tr w14:paraId="5D4CF24C">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8" w:space="0"/>
              <w:right w:val="single" w:color="auto" w:sz="8" w:space="0"/>
            </w:tcBorders>
            <w:vAlign w:val="center"/>
          </w:tcPr>
          <w:p w14:paraId="40FE7AA1">
            <w:pPr>
              <w:pStyle w:val="24"/>
              <w:spacing w:line="240" w:lineRule="auto"/>
              <w:ind w:firstLine="0" w:firstLineChars="0"/>
              <w:rPr>
                <w:color w:val="000000"/>
                <w:kern w:val="0"/>
              </w:rPr>
            </w:pPr>
            <w:r>
              <w:rPr>
                <w:color w:val="000000"/>
                <w:kern w:val="0"/>
              </w:rPr>
              <w:t>2</w:t>
            </w:r>
          </w:p>
        </w:tc>
        <w:tc>
          <w:tcPr>
            <w:tcW w:w="4209" w:type="dxa"/>
            <w:tcBorders>
              <w:top w:val="nil"/>
              <w:left w:val="nil"/>
              <w:bottom w:val="single" w:color="auto" w:sz="8" w:space="0"/>
              <w:right w:val="single" w:color="auto" w:sz="8" w:space="0"/>
            </w:tcBorders>
            <w:vAlign w:val="center"/>
          </w:tcPr>
          <w:p w14:paraId="04FB4F54">
            <w:pPr>
              <w:pStyle w:val="24"/>
              <w:spacing w:line="240" w:lineRule="auto"/>
              <w:ind w:firstLine="0" w:firstLineChars="0"/>
              <w:jc w:val="both"/>
              <w:rPr>
                <w:color w:val="000000"/>
                <w:kern w:val="0"/>
              </w:rPr>
            </w:pPr>
            <w:r>
              <w:rPr>
                <w:rFonts w:hint="eastAsia"/>
                <w:color w:val="000000"/>
                <w:kern w:val="0"/>
              </w:rPr>
              <w:t>定期</w:t>
            </w:r>
            <w:r>
              <w:rPr>
                <w:color w:val="000000"/>
                <w:kern w:val="0"/>
              </w:rPr>
              <w:t>进行产品不合格情况分析（包括不合格品产生原因、去向</w:t>
            </w:r>
            <w:r>
              <w:rPr>
                <w:rFonts w:hint="eastAsia"/>
                <w:color w:val="000000"/>
                <w:kern w:val="0"/>
                <w:lang w:eastAsia="zh-CN"/>
              </w:rPr>
              <w:t>、</w:t>
            </w:r>
            <w:r>
              <w:rPr>
                <w:rFonts w:hint="eastAsia"/>
                <w:color w:val="000000"/>
                <w:kern w:val="0"/>
                <w:lang w:val="en-US" w:eastAsia="zh-CN"/>
              </w:rPr>
              <w:t>改进措施</w:t>
            </w:r>
            <w:r>
              <w:rPr>
                <w:color w:val="000000"/>
                <w:kern w:val="0"/>
              </w:rPr>
              <w:t>等）</w:t>
            </w:r>
          </w:p>
        </w:tc>
        <w:tc>
          <w:tcPr>
            <w:tcW w:w="1213" w:type="dxa"/>
            <w:tcBorders>
              <w:top w:val="nil"/>
              <w:left w:val="nil"/>
              <w:bottom w:val="single" w:color="auto" w:sz="8" w:space="0"/>
              <w:right w:val="single" w:color="auto" w:sz="8" w:space="0"/>
            </w:tcBorders>
            <w:vAlign w:val="center"/>
          </w:tcPr>
          <w:p w14:paraId="3ADAF95D">
            <w:pPr>
              <w:pStyle w:val="24"/>
              <w:spacing w:line="240" w:lineRule="auto"/>
              <w:ind w:firstLine="0" w:firstLineChars="0"/>
              <w:rPr>
                <w:color w:val="000000"/>
                <w:kern w:val="0"/>
              </w:rPr>
            </w:pPr>
          </w:p>
        </w:tc>
        <w:tc>
          <w:tcPr>
            <w:tcW w:w="1213" w:type="dxa"/>
            <w:tcBorders>
              <w:top w:val="nil"/>
              <w:left w:val="nil"/>
              <w:bottom w:val="single" w:color="auto" w:sz="8" w:space="0"/>
              <w:right w:val="single" w:color="auto" w:sz="8" w:space="0"/>
            </w:tcBorders>
            <w:vAlign w:val="center"/>
          </w:tcPr>
          <w:p w14:paraId="4DE441BD">
            <w:pPr>
              <w:pStyle w:val="24"/>
              <w:spacing w:line="240" w:lineRule="auto"/>
              <w:ind w:firstLine="0" w:firstLineChars="0"/>
              <w:rPr>
                <w:color w:val="000000"/>
                <w:kern w:val="0"/>
              </w:rPr>
            </w:pPr>
          </w:p>
        </w:tc>
        <w:tc>
          <w:tcPr>
            <w:tcW w:w="1213" w:type="dxa"/>
            <w:tcBorders>
              <w:top w:val="nil"/>
              <w:left w:val="nil"/>
              <w:bottom w:val="single" w:color="auto" w:sz="8" w:space="0"/>
              <w:right w:val="single" w:color="auto" w:sz="8" w:space="0"/>
            </w:tcBorders>
            <w:vAlign w:val="center"/>
          </w:tcPr>
          <w:p w14:paraId="405013EA">
            <w:pPr>
              <w:pStyle w:val="24"/>
              <w:spacing w:line="240" w:lineRule="auto"/>
              <w:ind w:firstLine="0" w:firstLineChars="0"/>
              <w:rPr>
                <w:color w:val="000000"/>
                <w:kern w:val="0"/>
              </w:rPr>
            </w:pPr>
          </w:p>
        </w:tc>
      </w:tr>
      <w:tr w14:paraId="17F27270">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8" w:space="0"/>
              <w:right w:val="single" w:color="auto" w:sz="8" w:space="0"/>
            </w:tcBorders>
            <w:vAlign w:val="center"/>
          </w:tcPr>
          <w:p w14:paraId="77478765">
            <w:pPr>
              <w:pStyle w:val="24"/>
              <w:spacing w:line="240" w:lineRule="auto"/>
              <w:ind w:firstLine="0" w:firstLineChars="0"/>
              <w:rPr>
                <w:color w:val="000000"/>
                <w:kern w:val="0"/>
              </w:rPr>
            </w:pPr>
            <w:r>
              <w:rPr>
                <w:color w:val="000000"/>
                <w:kern w:val="0"/>
              </w:rPr>
              <w:t>3</w:t>
            </w:r>
          </w:p>
        </w:tc>
        <w:tc>
          <w:tcPr>
            <w:tcW w:w="4209" w:type="dxa"/>
            <w:tcBorders>
              <w:top w:val="nil"/>
              <w:left w:val="nil"/>
              <w:bottom w:val="single" w:color="auto" w:sz="8" w:space="0"/>
              <w:right w:val="single" w:color="auto" w:sz="8" w:space="0"/>
            </w:tcBorders>
            <w:vAlign w:val="center"/>
          </w:tcPr>
          <w:p w14:paraId="6F5B5BAB">
            <w:pPr>
              <w:pStyle w:val="24"/>
              <w:spacing w:line="240" w:lineRule="auto"/>
              <w:ind w:firstLine="0" w:firstLineChars="0"/>
              <w:jc w:val="both"/>
              <w:rPr>
                <w:color w:val="000000"/>
                <w:kern w:val="0"/>
              </w:rPr>
            </w:pPr>
            <w:r>
              <w:rPr>
                <w:color w:val="000000"/>
                <w:kern w:val="0"/>
              </w:rPr>
              <w:t>产品包装经济环保</w:t>
            </w:r>
          </w:p>
        </w:tc>
        <w:tc>
          <w:tcPr>
            <w:tcW w:w="1213" w:type="dxa"/>
            <w:tcBorders>
              <w:top w:val="nil"/>
              <w:left w:val="nil"/>
              <w:bottom w:val="single" w:color="auto" w:sz="8" w:space="0"/>
              <w:right w:val="single" w:color="auto" w:sz="8" w:space="0"/>
            </w:tcBorders>
            <w:vAlign w:val="center"/>
          </w:tcPr>
          <w:p w14:paraId="521F9604">
            <w:pPr>
              <w:pStyle w:val="24"/>
              <w:spacing w:line="240" w:lineRule="auto"/>
              <w:ind w:firstLine="0" w:firstLineChars="0"/>
              <w:rPr>
                <w:color w:val="000000"/>
                <w:kern w:val="0"/>
              </w:rPr>
            </w:pPr>
          </w:p>
        </w:tc>
        <w:tc>
          <w:tcPr>
            <w:tcW w:w="1213" w:type="dxa"/>
            <w:tcBorders>
              <w:top w:val="nil"/>
              <w:left w:val="nil"/>
              <w:bottom w:val="single" w:color="auto" w:sz="8" w:space="0"/>
              <w:right w:val="single" w:color="auto" w:sz="8" w:space="0"/>
            </w:tcBorders>
            <w:vAlign w:val="center"/>
          </w:tcPr>
          <w:p w14:paraId="0D81B10F">
            <w:pPr>
              <w:pStyle w:val="24"/>
              <w:spacing w:line="240" w:lineRule="auto"/>
              <w:ind w:firstLine="0" w:firstLineChars="0"/>
              <w:rPr>
                <w:color w:val="000000"/>
                <w:kern w:val="0"/>
              </w:rPr>
            </w:pPr>
          </w:p>
        </w:tc>
        <w:tc>
          <w:tcPr>
            <w:tcW w:w="1213" w:type="dxa"/>
            <w:tcBorders>
              <w:top w:val="nil"/>
              <w:left w:val="nil"/>
              <w:bottom w:val="single" w:color="auto" w:sz="8" w:space="0"/>
              <w:right w:val="single" w:color="auto" w:sz="8" w:space="0"/>
            </w:tcBorders>
            <w:vAlign w:val="center"/>
          </w:tcPr>
          <w:p w14:paraId="77A1DE93">
            <w:pPr>
              <w:pStyle w:val="24"/>
              <w:spacing w:line="240" w:lineRule="auto"/>
              <w:ind w:firstLine="0" w:firstLineChars="0"/>
              <w:rPr>
                <w:color w:val="000000"/>
                <w:kern w:val="0"/>
              </w:rPr>
            </w:pPr>
          </w:p>
        </w:tc>
      </w:tr>
      <w:tr w14:paraId="73E0159B">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8" w:space="0"/>
              <w:right w:val="single" w:color="auto" w:sz="8" w:space="0"/>
            </w:tcBorders>
            <w:vAlign w:val="center"/>
          </w:tcPr>
          <w:p w14:paraId="37BF363F">
            <w:pPr>
              <w:pStyle w:val="24"/>
              <w:spacing w:line="240" w:lineRule="auto"/>
              <w:ind w:firstLine="0" w:firstLineChars="0"/>
              <w:rPr>
                <w:color w:val="000000"/>
                <w:kern w:val="0"/>
              </w:rPr>
            </w:pPr>
            <w:r>
              <w:rPr>
                <w:color w:val="000000"/>
                <w:kern w:val="0"/>
              </w:rPr>
              <w:t>4</w:t>
            </w:r>
          </w:p>
        </w:tc>
        <w:tc>
          <w:tcPr>
            <w:tcW w:w="4209" w:type="dxa"/>
            <w:tcBorders>
              <w:top w:val="nil"/>
              <w:left w:val="nil"/>
              <w:bottom w:val="single" w:color="auto" w:sz="8" w:space="0"/>
              <w:right w:val="single" w:color="auto" w:sz="8" w:space="0"/>
            </w:tcBorders>
            <w:vAlign w:val="center"/>
          </w:tcPr>
          <w:p w14:paraId="59D3FBC9">
            <w:pPr>
              <w:pStyle w:val="24"/>
              <w:spacing w:line="240" w:lineRule="auto"/>
              <w:ind w:firstLine="0" w:firstLineChars="0"/>
              <w:jc w:val="both"/>
              <w:rPr>
                <w:color w:val="000000"/>
                <w:kern w:val="0"/>
              </w:rPr>
            </w:pPr>
            <w:r>
              <w:rPr>
                <w:color w:val="000000"/>
                <w:kern w:val="0"/>
              </w:rPr>
              <w:t>产品包装</w:t>
            </w:r>
            <w:r>
              <w:rPr>
                <w:rFonts w:hint="eastAsia"/>
                <w:color w:val="000000"/>
                <w:kern w:val="0"/>
              </w:rPr>
              <w:t>材质及规格科学合理</w:t>
            </w:r>
          </w:p>
        </w:tc>
        <w:tc>
          <w:tcPr>
            <w:tcW w:w="1213" w:type="dxa"/>
            <w:tcBorders>
              <w:top w:val="nil"/>
              <w:left w:val="nil"/>
              <w:bottom w:val="single" w:color="auto" w:sz="8" w:space="0"/>
              <w:right w:val="single" w:color="auto" w:sz="8" w:space="0"/>
            </w:tcBorders>
            <w:vAlign w:val="center"/>
          </w:tcPr>
          <w:p w14:paraId="0B3F98DC">
            <w:pPr>
              <w:pStyle w:val="24"/>
              <w:spacing w:line="240" w:lineRule="auto"/>
              <w:ind w:firstLine="0" w:firstLineChars="0"/>
              <w:rPr>
                <w:color w:val="000000"/>
                <w:kern w:val="0"/>
              </w:rPr>
            </w:pPr>
          </w:p>
        </w:tc>
        <w:tc>
          <w:tcPr>
            <w:tcW w:w="1213" w:type="dxa"/>
            <w:tcBorders>
              <w:top w:val="nil"/>
              <w:left w:val="nil"/>
              <w:bottom w:val="single" w:color="auto" w:sz="8" w:space="0"/>
              <w:right w:val="single" w:color="auto" w:sz="8" w:space="0"/>
            </w:tcBorders>
            <w:vAlign w:val="center"/>
          </w:tcPr>
          <w:p w14:paraId="390E8EB5">
            <w:pPr>
              <w:pStyle w:val="24"/>
              <w:spacing w:line="240" w:lineRule="auto"/>
              <w:ind w:firstLine="0" w:firstLineChars="0"/>
              <w:rPr>
                <w:color w:val="000000"/>
                <w:kern w:val="0"/>
              </w:rPr>
            </w:pPr>
          </w:p>
        </w:tc>
        <w:tc>
          <w:tcPr>
            <w:tcW w:w="1213" w:type="dxa"/>
            <w:tcBorders>
              <w:top w:val="nil"/>
              <w:left w:val="nil"/>
              <w:bottom w:val="single" w:color="auto" w:sz="8" w:space="0"/>
              <w:right w:val="single" w:color="auto" w:sz="8" w:space="0"/>
            </w:tcBorders>
            <w:vAlign w:val="center"/>
          </w:tcPr>
          <w:p w14:paraId="2717308A">
            <w:pPr>
              <w:pStyle w:val="24"/>
              <w:spacing w:line="240" w:lineRule="auto"/>
              <w:ind w:firstLine="0" w:firstLineChars="0"/>
              <w:rPr>
                <w:color w:val="000000"/>
                <w:kern w:val="0"/>
              </w:rPr>
            </w:pPr>
          </w:p>
        </w:tc>
      </w:tr>
      <w:tr w14:paraId="7B150E60">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8" w:space="0"/>
              <w:right w:val="single" w:color="auto" w:sz="8" w:space="0"/>
            </w:tcBorders>
            <w:vAlign w:val="center"/>
          </w:tcPr>
          <w:p w14:paraId="17C0E7D0">
            <w:pPr>
              <w:pStyle w:val="24"/>
              <w:spacing w:line="240" w:lineRule="auto"/>
              <w:ind w:firstLine="0" w:firstLineChars="0"/>
              <w:rPr>
                <w:color w:val="000000"/>
                <w:kern w:val="0"/>
              </w:rPr>
            </w:pPr>
            <w:r>
              <w:rPr>
                <w:color w:val="000000"/>
                <w:kern w:val="0"/>
              </w:rPr>
              <w:t>5</w:t>
            </w:r>
          </w:p>
        </w:tc>
        <w:tc>
          <w:tcPr>
            <w:tcW w:w="4209" w:type="dxa"/>
            <w:tcBorders>
              <w:top w:val="nil"/>
              <w:left w:val="nil"/>
              <w:bottom w:val="single" w:color="auto" w:sz="8" w:space="0"/>
              <w:right w:val="single" w:color="auto" w:sz="8" w:space="0"/>
            </w:tcBorders>
            <w:vAlign w:val="center"/>
          </w:tcPr>
          <w:p w14:paraId="5119C982">
            <w:pPr>
              <w:pStyle w:val="24"/>
              <w:spacing w:line="240" w:lineRule="auto"/>
              <w:ind w:firstLine="0" w:firstLineChars="0"/>
              <w:jc w:val="both"/>
              <w:rPr>
                <w:color w:val="000000"/>
                <w:kern w:val="0"/>
              </w:rPr>
            </w:pPr>
            <w:r>
              <w:rPr>
                <w:color w:val="000000"/>
                <w:kern w:val="0"/>
              </w:rPr>
              <w:t>产品包装</w:t>
            </w:r>
            <w:r>
              <w:rPr>
                <w:rFonts w:hint="eastAsia"/>
                <w:color w:val="000000"/>
                <w:kern w:val="0"/>
              </w:rPr>
              <w:t>材料回收且能用尽用</w:t>
            </w:r>
          </w:p>
        </w:tc>
        <w:tc>
          <w:tcPr>
            <w:tcW w:w="1213" w:type="dxa"/>
            <w:tcBorders>
              <w:top w:val="nil"/>
              <w:left w:val="nil"/>
              <w:bottom w:val="single" w:color="auto" w:sz="8" w:space="0"/>
              <w:right w:val="single" w:color="auto" w:sz="8" w:space="0"/>
            </w:tcBorders>
            <w:vAlign w:val="center"/>
          </w:tcPr>
          <w:p w14:paraId="254DE488">
            <w:pPr>
              <w:pStyle w:val="24"/>
              <w:spacing w:line="240" w:lineRule="auto"/>
              <w:ind w:firstLine="0" w:firstLineChars="0"/>
              <w:rPr>
                <w:color w:val="000000"/>
                <w:kern w:val="0"/>
              </w:rPr>
            </w:pPr>
          </w:p>
        </w:tc>
        <w:tc>
          <w:tcPr>
            <w:tcW w:w="1213" w:type="dxa"/>
            <w:tcBorders>
              <w:top w:val="nil"/>
              <w:left w:val="nil"/>
              <w:bottom w:val="single" w:color="auto" w:sz="8" w:space="0"/>
              <w:right w:val="single" w:color="auto" w:sz="8" w:space="0"/>
            </w:tcBorders>
            <w:vAlign w:val="center"/>
          </w:tcPr>
          <w:p w14:paraId="4195CA9A">
            <w:pPr>
              <w:pStyle w:val="24"/>
              <w:spacing w:line="240" w:lineRule="auto"/>
              <w:ind w:firstLine="0" w:firstLineChars="0"/>
              <w:rPr>
                <w:color w:val="000000"/>
                <w:kern w:val="0"/>
              </w:rPr>
            </w:pPr>
          </w:p>
        </w:tc>
        <w:tc>
          <w:tcPr>
            <w:tcW w:w="1213" w:type="dxa"/>
            <w:tcBorders>
              <w:top w:val="nil"/>
              <w:left w:val="nil"/>
              <w:bottom w:val="single" w:color="auto" w:sz="8" w:space="0"/>
              <w:right w:val="single" w:color="auto" w:sz="8" w:space="0"/>
            </w:tcBorders>
            <w:vAlign w:val="center"/>
          </w:tcPr>
          <w:p w14:paraId="6DF40562">
            <w:pPr>
              <w:pStyle w:val="24"/>
              <w:spacing w:line="240" w:lineRule="auto"/>
              <w:ind w:firstLine="0" w:firstLineChars="0"/>
              <w:rPr>
                <w:color w:val="000000"/>
                <w:kern w:val="0"/>
              </w:rPr>
            </w:pPr>
          </w:p>
        </w:tc>
      </w:tr>
      <w:tr w14:paraId="55C8D27F">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8" w:space="0"/>
              <w:right w:val="single" w:color="auto" w:sz="8" w:space="0"/>
            </w:tcBorders>
            <w:vAlign w:val="center"/>
          </w:tcPr>
          <w:p w14:paraId="763282D0">
            <w:pPr>
              <w:pStyle w:val="24"/>
              <w:spacing w:line="240" w:lineRule="auto"/>
              <w:ind w:firstLine="0" w:firstLineChars="0"/>
              <w:rPr>
                <w:color w:val="000000"/>
                <w:kern w:val="0"/>
              </w:rPr>
            </w:pPr>
            <w:r>
              <w:rPr>
                <w:color w:val="000000"/>
                <w:kern w:val="0"/>
              </w:rPr>
              <w:t>6</w:t>
            </w:r>
          </w:p>
        </w:tc>
        <w:tc>
          <w:tcPr>
            <w:tcW w:w="4209" w:type="dxa"/>
            <w:tcBorders>
              <w:top w:val="nil"/>
              <w:left w:val="nil"/>
              <w:bottom w:val="single" w:color="auto" w:sz="8" w:space="0"/>
              <w:right w:val="single" w:color="auto" w:sz="8" w:space="0"/>
            </w:tcBorders>
            <w:vAlign w:val="center"/>
          </w:tcPr>
          <w:p w14:paraId="1CCC8F4B">
            <w:pPr>
              <w:pStyle w:val="24"/>
              <w:spacing w:line="240" w:lineRule="auto"/>
              <w:ind w:firstLine="0" w:firstLineChars="0"/>
              <w:jc w:val="both"/>
              <w:rPr>
                <w:color w:val="000000"/>
                <w:kern w:val="0"/>
              </w:rPr>
            </w:pPr>
            <w:r>
              <w:rPr>
                <w:color w:val="000000"/>
                <w:kern w:val="0"/>
              </w:rPr>
              <w:t>产品设计</w:t>
            </w:r>
            <w:r>
              <w:rPr>
                <w:rFonts w:hint="eastAsia"/>
                <w:color w:val="000000"/>
                <w:kern w:val="0"/>
              </w:rPr>
              <w:t>遵循绿色环保设计理念</w:t>
            </w:r>
          </w:p>
        </w:tc>
        <w:tc>
          <w:tcPr>
            <w:tcW w:w="1213" w:type="dxa"/>
            <w:tcBorders>
              <w:top w:val="nil"/>
              <w:left w:val="nil"/>
              <w:bottom w:val="single" w:color="auto" w:sz="8" w:space="0"/>
              <w:right w:val="single" w:color="auto" w:sz="8" w:space="0"/>
            </w:tcBorders>
            <w:vAlign w:val="center"/>
          </w:tcPr>
          <w:p w14:paraId="2D9387ED">
            <w:pPr>
              <w:pStyle w:val="24"/>
              <w:spacing w:line="240" w:lineRule="auto"/>
              <w:ind w:firstLine="0" w:firstLineChars="0"/>
              <w:rPr>
                <w:color w:val="000000"/>
                <w:kern w:val="0"/>
              </w:rPr>
            </w:pPr>
          </w:p>
        </w:tc>
        <w:tc>
          <w:tcPr>
            <w:tcW w:w="1213" w:type="dxa"/>
            <w:tcBorders>
              <w:top w:val="nil"/>
              <w:left w:val="nil"/>
              <w:bottom w:val="single" w:color="auto" w:sz="8" w:space="0"/>
              <w:right w:val="single" w:color="auto" w:sz="8" w:space="0"/>
            </w:tcBorders>
            <w:vAlign w:val="center"/>
          </w:tcPr>
          <w:p w14:paraId="4591E005">
            <w:pPr>
              <w:pStyle w:val="24"/>
              <w:spacing w:line="240" w:lineRule="auto"/>
              <w:ind w:firstLine="0" w:firstLineChars="0"/>
              <w:rPr>
                <w:color w:val="000000"/>
                <w:kern w:val="0"/>
              </w:rPr>
            </w:pPr>
          </w:p>
        </w:tc>
        <w:tc>
          <w:tcPr>
            <w:tcW w:w="1213" w:type="dxa"/>
            <w:tcBorders>
              <w:top w:val="nil"/>
              <w:left w:val="nil"/>
              <w:bottom w:val="single" w:color="auto" w:sz="8" w:space="0"/>
              <w:right w:val="single" w:color="auto" w:sz="8" w:space="0"/>
            </w:tcBorders>
            <w:vAlign w:val="center"/>
          </w:tcPr>
          <w:p w14:paraId="4A7113CF">
            <w:pPr>
              <w:pStyle w:val="24"/>
              <w:spacing w:line="240" w:lineRule="auto"/>
              <w:ind w:firstLine="0" w:firstLineChars="0"/>
              <w:rPr>
                <w:color w:val="000000"/>
                <w:kern w:val="0"/>
              </w:rPr>
            </w:pPr>
          </w:p>
        </w:tc>
      </w:tr>
      <w:tr w14:paraId="614EBD87">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8" w:space="0"/>
              <w:right w:val="single" w:color="auto" w:sz="8" w:space="0"/>
            </w:tcBorders>
            <w:vAlign w:val="center"/>
          </w:tcPr>
          <w:p w14:paraId="1639A2F5">
            <w:pPr>
              <w:pStyle w:val="24"/>
              <w:spacing w:line="240" w:lineRule="auto"/>
              <w:ind w:firstLine="0" w:firstLineChars="0"/>
              <w:rPr>
                <w:color w:val="000000"/>
                <w:kern w:val="0"/>
              </w:rPr>
            </w:pPr>
            <w:r>
              <w:rPr>
                <w:color w:val="000000"/>
                <w:kern w:val="0"/>
              </w:rPr>
              <w:t>7</w:t>
            </w:r>
          </w:p>
        </w:tc>
        <w:tc>
          <w:tcPr>
            <w:tcW w:w="4209" w:type="dxa"/>
            <w:tcBorders>
              <w:top w:val="nil"/>
              <w:left w:val="nil"/>
              <w:bottom w:val="single" w:color="auto" w:sz="8" w:space="0"/>
              <w:right w:val="single" w:color="auto" w:sz="8" w:space="0"/>
            </w:tcBorders>
            <w:vAlign w:val="center"/>
          </w:tcPr>
          <w:p w14:paraId="6BE6408E">
            <w:pPr>
              <w:pStyle w:val="24"/>
              <w:spacing w:line="240" w:lineRule="auto"/>
              <w:ind w:firstLine="0" w:firstLineChars="0"/>
              <w:jc w:val="both"/>
              <w:rPr>
                <w:color w:val="000000"/>
                <w:kern w:val="0"/>
              </w:rPr>
            </w:pPr>
            <w:r>
              <w:rPr>
                <w:color w:val="000000"/>
                <w:kern w:val="0"/>
              </w:rPr>
              <w:t>主要产品在使用过程中对人体无不良影响</w:t>
            </w:r>
          </w:p>
        </w:tc>
        <w:tc>
          <w:tcPr>
            <w:tcW w:w="1213" w:type="dxa"/>
            <w:tcBorders>
              <w:top w:val="nil"/>
              <w:left w:val="nil"/>
              <w:bottom w:val="single" w:color="auto" w:sz="8" w:space="0"/>
              <w:right w:val="single" w:color="auto" w:sz="8" w:space="0"/>
            </w:tcBorders>
            <w:vAlign w:val="center"/>
          </w:tcPr>
          <w:p w14:paraId="05D07708">
            <w:pPr>
              <w:pStyle w:val="24"/>
              <w:spacing w:line="240" w:lineRule="auto"/>
              <w:ind w:firstLine="0" w:firstLineChars="0"/>
              <w:rPr>
                <w:color w:val="000000"/>
                <w:kern w:val="0"/>
              </w:rPr>
            </w:pPr>
          </w:p>
        </w:tc>
        <w:tc>
          <w:tcPr>
            <w:tcW w:w="1213" w:type="dxa"/>
            <w:tcBorders>
              <w:top w:val="nil"/>
              <w:left w:val="nil"/>
              <w:bottom w:val="single" w:color="auto" w:sz="8" w:space="0"/>
              <w:right w:val="single" w:color="auto" w:sz="8" w:space="0"/>
            </w:tcBorders>
            <w:vAlign w:val="center"/>
          </w:tcPr>
          <w:p w14:paraId="7B5EF712">
            <w:pPr>
              <w:pStyle w:val="24"/>
              <w:spacing w:line="240" w:lineRule="auto"/>
              <w:ind w:firstLine="0" w:firstLineChars="0"/>
              <w:rPr>
                <w:color w:val="000000"/>
                <w:kern w:val="0"/>
              </w:rPr>
            </w:pPr>
          </w:p>
        </w:tc>
        <w:tc>
          <w:tcPr>
            <w:tcW w:w="1213" w:type="dxa"/>
            <w:tcBorders>
              <w:top w:val="nil"/>
              <w:left w:val="nil"/>
              <w:bottom w:val="single" w:color="auto" w:sz="8" w:space="0"/>
              <w:right w:val="single" w:color="auto" w:sz="8" w:space="0"/>
            </w:tcBorders>
            <w:vAlign w:val="center"/>
          </w:tcPr>
          <w:p w14:paraId="6094A49B">
            <w:pPr>
              <w:pStyle w:val="24"/>
              <w:spacing w:line="240" w:lineRule="auto"/>
              <w:ind w:firstLine="0" w:firstLineChars="0"/>
              <w:rPr>
                <w:color w:val="000000"/>
                <w:kern w:val="0"/>
              </w:rPr>
            </w:pPr>
          </w:p>
        </w:tc>
      </w:tr>
      <w:tr w14:paraId="3CB8A30B">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8" w:space="0"/>
              <w:right w:val="single" w:color="auto" w:sz="8" w:space="0"/>
            </w:tcBorders>
            <w:vAlign w:val="center"/>
          </w:tcPr>
          <w:p w14:paraId="29691FED">
            <w:pPr>
              <w:pStyle w:val="24"/>
              <w:spacing w:line="240" w:lineRule="auto"/>
              <w:ind w:firstLine="0" w:firstLineChars="0"/>
              <w:rPr>
                <w:color w:val="000000"/>
                <w:kern w:val="0"/>
              </w:rPr>
            </w:pPr>
            <w:r>
              <w:rPr>
                <w:color w:val="000000"/>
                <w:kern w:val="0"/>
              </w:rPr>
              <w:t>8</w:t>
            </w:r>
          </w:p>
        </w:tc>
        <w:tc>
          <w:tcPr>
            <w:tcW w:w="4209" w:type="dxa"/>
            <w:tcBorders>
              <w:top w:val="nil"/>
              <w:left w:val="nil"/>
              <w:bottom w:val="single" w:color="auto" w:sz="8" w:space="0"/>
              <w:right w:val="single" w:color="auto" w:sz="8" w:space="0"/>
            </w:tcBorders>
            <w:vAlign w:val="center"/>
          </w:tcPr>
          <w:p w14:paraId="0506F72F">
            <w:pPr>
              <w:pStyle w:val="24"/>
              <w:spacing w:line="240" w:lineRule="auto"/>
              <w:ind w:firstLine="0" w:firstLineChars="0"/>
              <w:jc w:val="both"/>
              <w:rPr>
                <w:color w:val="000000"/>
                <w:kern w:val="0"/>
              </w:rPr>
            </w:pPr>
            <w:r>
              <w:rPr>
                <w:color w:val="000000"/>
                <w:kern w:val="0"/>
              </w:rPr>
              <w:t>主要产品在使用过程中对环境无不良影响</w:t>
            </w:r>
          </w:p>
        </w:tc>
        <w:tc>
          <w:tcPr>
            <w:tcW w:w="1213" w:type="dxa"/>
            <w:tcBorders>
              <w:top w:val="nil"/>
              <w:left w:val="nil"/>
              <w:bottom w:val="single" w:color="auto" w:sz="8" w:space="0"/>
              <w:right w:val="single" w:color="auto" w:sz="8" w:space="0"/>
            </w:tcBorders>
            <w:vAlign w:val="center"/>
          </w:tcPr>
          <w:p w14:paraId="09591D73">
            <w:pPr>
              <w:pStyle w:val="24"/>
              <w:spacing w:line="240" w:lineRule="auto"/>
              <w:ind w:firstLine="0" w:firstLineChars="0"/>
              <w:rPr>
                <w:color w:val="000000"/>
                <w:kern w:val="0"/>
              </w:rPr>
            </w:pPr>
          </w:p>
        </w:tc>
        <w:tc>
          <w:tcPr>
            <w:tcW w:w="1213" w:type="dxa"/>
            <w:tcBorders>
              <w:top w:val="nil"/>
              <w:left w:val="nil"/>
              <w:bottom w:val="single" w:color="auto" w:sz="8" w:space="0"/>
              <w:right w:val="single" w:color="auto" w:sz="8" w:space="0"/>
            </w:tcBorders>
            <w:vAlign w:val="center"/>
          </w:tcPr>
          <w:p w14:paraId="2DF1E800">
            <w:pPr>
              <w:pStyle w:val="24"/>
              <w:spacing w:line="240" w:lineRule="auto"/>
              <w:ind w:firstLine="0" w:firstLineChars="0"/>
              <w:rPr>
                <w:color w:val="000000"/>
                <w:kern w:val="0"/>
              </w:rPr>
            </w:pPr>
          </w:p>
        </w:tc>
        <w:tc>
          <w:tcPr>
            <w:tcW w:w="1213" w:type="dxa"/>
            <w:tcBorders>
              <w:top w:val="nil"/>
              <w:left w:val="nil"/>
              <w:bottom w:val="single" w:color="auto" w:sz="8" w:space="0"/>
              <w:right w:val="single" w:color="auto" w:sz="8" w:space="0"/>
            </w:tcBorders>
            <w:vAlign w:val="center"/>
          </w:tcPr>
          <w:p w14:paraId="09F10E04">
            <w:pPr>
              <w:pStyle w:val="24"/>
              <w:spacing w:line="240" w:lineRule="auto"/>
              <w:ind w:firstLine="0" w:firstLineChars="0"/>
              <w:rPr>
                <w:color w:val="000000"/>
                <w:kern w:val="0"/>
              </w:rPr>
            </w:pPr>
          </w:p>
        </w:tc>
      </w:tr>
      <w:tr w14:paraId="4220C8C9">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8" w:space="0"/>
              <w:right w:val="single" w:color="auto" w:sz="8" w:space="0"/>
            </w:tcBorders>
            <w:vAlign w:val="center"/>
          </w:tcPr>
          <w:p w14:paraId="781A1203">
            <w:pPr>
              <w:pStyle w:val="24"/>
              <w:spacing w:line="240" w:lineRule="auto"/>
              <w:ind w:firstLine="0" w:firstLineChars="0"/>
              <w:rPr>
                <w:color w:val="000000"/>
                <w:kern w:val="0"/>
              </w:rPr>
            </w:pPr>
            <w:r>
              <w:rPr>
                <w:color w:val="000000"/>
                <w:kern w:val="0"/>
              </w:rPr>
              <w:t>9</w:t>
            </w:r>
          </w:p>
        </w:tc>
        <w:tc>
          <w:tcPr>
            <w:tcW w:w="4209" w:type="dxa"/>
            <w:tcBorders>
              <w:top w:val="nil"/>
              <w:left w:val="nil"/>
              <w:bottom w:val="single" w:color="auto" w:sz="8" w:space="0"/>
              <w:right w:val="single" w:color="auto" w:sz="8" w:space="0"/>
            </w:tcBorders>
            <w:vAlign w:val="center"/>
          </w:tcPr>
          <w:p w14:paraId="131A4C83">
            <w:pPr>
              <w:pStyle w:val="24"/>
              <w:spacing w:line="240" w:lineRule="auto"/>
              <w:ind w:firstLine="0" w:firstLineChars="0"/>
              <w:jc w:val="both"/>
              <w:rPr>
                <w:color w:val="000000"/>
                <w:kern w:val="0"/>
              </w:rPr>
            </w:pPr>
            <w:r>
              <w:rPr>
                <w:color w:val="000000"/>
                <w:kern w:val="0"/>
              </w:rPr>
              <w:t>制定了产品仓库管理制度</w:t>
            </w:r>
          </w:p>
        </w:tc>
        <w:tc>
          <w:tcPr>
            <w:tcW w:w="1213" w:type="dxa"/>
            <w:tcBorders>
              <w:top w:val="nil"/>
              <w:left w:val="nil"/>
              <w:bottom w:val="single" w:color="auto" w:sz="8" w:space="0"/>
              <w:right w:val="single" w:color="auto" w:sz="8" w:space="0"/>
            </w:tcBorders>
            <w:vAlign w:val="center"/>
          </w:tcPr>
          <w:p w14:paraId="03C3C802">
            <w:pPr>
              <w:pStyle w:val="24"/>
              <w:spacing w:line="240" w:lineRule="auto"/>
              <w:ind w:firstLine="0" w:firstLineChars="0"/>
              <w:rPr>
                <w:color w:val="000000"/>
                <w:kern w:val="0"/>
              </w:rPr>
            </w:pPr>
          </w:p>
        </w:tc>
        <w:tc>
          <w:tcPr>
            <w:tcW w:w="1213" w:type="dxa"/>
            <w:tcBorders>
              <w:top w:val="nil"/>
              <w:left w:val="nil"/>
              <w:bottom w:val="single" w:color="auto" w:sz="8" w:space="0"/>
              <w:right w:val="single" w:color="auto" w:sz="8" w:space="0"/>
            </w:tcBorders>
            <w:vAlign w:val="center"/>
          </w:tcPr>
          <w:p w14:paraId="6E8AEAEB">
            <w:pPr>
              <w:pStyle w:val="24"/>
              <w:spacing w:line="240" w:lineRule="auto"/>
              <w:ind w:firstLine="0" w:firstLineChars="0"/>
              <w:rPr>
                <w:color w:val="000000"/>
                <w:kern w:val="0"/>
              </w:rPr>
            </w:pPr>
          </w:p>
        </w:tc>
        <w:tc>
          <w:tcPr>
            <w:tcW w:w="1213" w:type="dxa"/>
            <w:tcBorders>
              <w:top w:val="nil"/>
              <w:left w:val="nil"/>
              <w:bottom w:val="single" w:color="auto" w:sz="8" w:space="0"/>
              <w:right w:val="single" w:color="auto" w:sz="8" w:space="0"/>
            </w:tcBorders>
            <w:vAlign w:val="center"/>
          </w:tcPr>
          <w:p w14:paraId="77D2AB53">
            <w:pPr>
              <w:pStyle w:val="24"/>
              <w:spacing w:line="240" w:lineRule="auto"/>
              <w:ind w:firstLine="0" w:firstLineChars="0"/>
              <w:rPr>
                <w:color w:val="000000"/>
                <w:kern w:val="0"/>
              </w:rPr>
            </w:pPr>
          </w:p>
        </w:tc>
      </w:tr>
      <w:tr w14:paraId="11E7F845">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8" w:space="0"/>
              <w:right w:val="single" w:color="auto" w:sz="8" w:space="0"/>
            </w:tcBorders>
            <w:vAlign w:val="center"/>
          </w:tcPr>
          <w:p w14:paraId="0A015386">
            <w:pPr>
              <w:pStyle w:val="24"/>
              <w:spacing w:line="240" w:lineRule="auto"/>
              <w:ind w:firstLine="0" w:firstLineChars="0"/>
              <w:rPr>
                <w:color w:val="000000"/>
                <w:kern w:val="0"/>
              </w:rPr>
            </w:pPr>
            <w:r>
              <w:rPr>
                <w:color w:val="000000"/>
                <w:kern w:val="0"/>
              </w:rPr>
              <w:t>10</w:t>
            </w:r>
          </w:p>
        </w:tc>
        <w:tc>
          <w:tcPr>
            <w:tcW w:w="4209" w:type="dxa"/>
            <w:tcBorders>
              <w:top w:val="nil"/>
              <w:left w:val="nil"/>
              <w:bottom w:val="single" w:color="auto" w:sz="8" w:space="0"/>
              <w:right w:val="single" w:color="auto" w:sz="8" w:space="0"/>
            </w:tcBorders>
            <w:vAlign w:val="center"/>
          </w:tcPr>
          <w:p w14:paraId="09E5177F">
            <w:pPr>
              <w:pStyle w:val="24"/>
              <w:spacing w:line="240" w:lineRule="auto"/>
              <w:ind w:firstLine="0" w:firstLineChars="0"/>
              <w:jc w:val="both"/>
              <w:rPr>
                <w:color w:val="000000"/>
                <w:kern w:val="0"/>
              </w:rPr>
            </w:pPr>
            <w:r>
              <w:rPr>
                <w:color w:val="000000"/>
                <w:kern w:val="0"/>
              </w:rPr>
              <w:t>产品运输采用耗能少、距离短的运输路线</w:t>
            </w:r>
          </w:p>
        </w:tc>
        <w:tc>
          <w:tcPr>
            <w:tcW w:w="1213" w:type="dxa"/>
            <w:tcBorders>
              <w:top w:val="nil"/>
              <w:left w:val="nil"/>
              <w:bottom w:val="single" w:color="auto" w:sz="8" w:space="0"/>
              <w:right w:val="single" w:color="auto" w:sz="8" w:space="0"/>
            </w:tcBorders>
            <w:vAlign w:val="center"/>
          </w:tcPr>
          <w:p w14:paraId="564059F6">
            <w:pPr>
              <w:pStyle w:val="24"/>
              <w:spacing w:line="240" w:lineRule="auto"/>
              <w:ind w:firstLine="0" w:firstLineChars="0"/>
              <w:rPr>
                <w:color w:val="000000"/>
                <w:kern w:val="0"/>
              </w:rPr>
            </w:pPr>
          </w:p>
        </w:tc>
        <w:tc>
          <w:tcPr>
            <w:tcW w:w="1213" w:type="dxa"/>
            <w:tcBorders>
              <w:top w:val="nil"/>
              <w:left w:val="nil"/>
              <w:bottom w:val="single" w:color="auto" w:sz="8" w:space="0"/>
              <w:right w:val="single" w:color="auto" w:sz="8" w:space="0"/>
            </w:tcBorders>
            <w:vAlign w:val="center"/>
          </w:tcPr>
          <w:p w14:paraId="4A52D170">
            <w:pPr>
              <w:pStyle w:val="24"/>
              <w:spacing w:line="240" w:lineRule="auto"/>
              <w:ind w:firstLine="0" w:firstLineChars="0"/>
              <w:rPr>
                <w:color w:val="000000"/>
                <w:kern w:val="0"/>
              </w:rPr>
            </w:pPr>
          </w:p>
        </w:tc>
        <w:tc>
          <w:tcPr>
            <w:tcW w:w="1213" w:type="dxa"/>
            <w:tcBorders>
              <w:top w:val="nil"/>
              <w:left w:val="nil"/>
              <w:bottom w:val="single" w:color="auto" w:sz="8" w:space="0"/>
              <w:right w:val="single" w:color="auto" w:sz="8" w:space="0"/>
            </w:tcBorders>
            <w:vAlign w:val="center"/>
          </w:tcPr>
          <w:p w14:paraId="6C39D87D">
            <w:pPr>
              <w:pStyle w:val="24"/>
              <w:spacing w:line="240" w:lineRule="auto"/>
              <w:ind w:firstLine="0" w:firstLineChars="0"/>
              <w:rPr>
                <w:color w:val="000000"/>
                <w:kern w:val="0"/>
              </w:rPr>
            </w:pPr>
          </w:p>
        </w:tc>
      </w:tr>
      <w:tr w14:paraId="2C07182D">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8" w:space="0"/>
              <w:right w:val="single" w:color="auto" w:sz="8" w:space="0"/>
            </w:tcBorders>
            <w:vAlign w:val="center"/>
          </w:tcPr>
          <w:p w14:paraId="398984FF">
            <w:pPr>
              <w:pStyle w:val="24"/>
              <w:spacing w:line="240" w:lineRule="auto"/>
              <w:ind w:firstLine="0" w:firstLineChars="0"/>
              <w:rPr>
                <w:color w:val="000000"/>
                <w:kern w:val="0"/>
              </w:rPr>
            </w:pPr>
            <w:r>
              <w:rPr>
                <w:color w:val="000000"/>
                <w:kern w:val="0"/>
              </w:rPr>
              <w:t>11</w:t>
            </w:r>
          </w:p>
        </w:tc>
        <w:tc>
          <w:tcPr>
            <w:tcW w:w="4209" w:type="dxa"/>
            <w:tcBorders>
              <w:top w:val="nil"/>
              <w:left w:val="nil"/>
              <w:bottom w:val="single" w:color="auto" w:sz="8" w:space="0"/>
              <w:right w:val="single" w:color="auto" w:sz="8" w:space="0"/>
            </w:tcBorders>
            <w:vAlign w:val="center"/>
          </w:tcPr>
          <w:p w14:paraId="0CDBB361">
            <w:pPr>
              <w:pStyle w:val="24"/>
              <w:spacing w:line="240" w:lineRule="auto"/>
              <w:ind w:firstLine="0" w:firstLineChars="0"/>
              <w:jc w:val="both"/>
              <w:rPr>
                <w:color w:val="000000"/>
                <w:kern w:val="0"/>
              </w:rPr>
            </w:pPr>
            <w:r>
              <w:rPr>
                <w:color w:val="000000"/>
                <w:kern w:val="0"/>
              </w:rPr>
              <w:t>产品装运采用自动化、效率高的装运方式</w:t>
            </w:r>
          </w:p>
        </w:tc>
        <w:tc>
          <w:tcPr>
            <w:tcW w:w="1213" w:type="dxa"/>
            <w:tcBorders>
              <w:top w:val="nil"/>
              <w:left w:val="nil"/>
              <w:bottom w:val="single" w:color="auto" w:sz="8" w:space="0"/>
              <w:right w:val="single" w:color="auto" w:sz="8" w:space="0"/>
            </w:tcBorders>
            <w:vAlign w:val="center"/>
          </w:tcPr>
          <w:p w14:paraId="427EE0BF">
            <w:pPr>
              <w:pStyle w:val="24"/>
              <w:spacing w:line="240" w:lineRule="auto"/>
              <w:ind w:firstLine="0" w:firstLineChars="0"/>
              <w:rPr>
                <w:color w:val="000000"/>
                <w:kern w:val="0"/>
              </w:rPr>
            </w:pPr>
          </w:p>
        </w:tc>
        <w:tc>
          <w:tcPr>
            <w:tcW w:w="1213" w:type="dxa"/>
            <w:tcBorders>
              <w:top w:val="nil"/>
              <w:left w:val="nil"/>
              <w:bottom w:val="single" w:color="auto" w:sz="8" w:space="0"/>
              <w:right w:val="single" w:color="auto" w:sz="8" w:space="0"/>
            </w:tcBorders>
            <w:vAlign w:val="center"/>
          </w:tcPr>
          <w:p w14:paraId="53097C3E">
            <w:pPr>
              <w:pStyle w:val="24"/>
              <w:spacing w:line="240" w:lineRule="auto"/>
              <w:ind w:firstLine="0" w:firstLineChars="0"/>
              <w:rPr>
                <w:color w:val="000000"/>
                <w:kern w:val="0"/>
              </w:rPr>
            </w:pPr>
          </w:p>
        </w:tc>
        <w:tc>
          <w:tcPr>
            <w:tcW w:w="1213" w:type="dxa"/>
            <w:tcBorders>
              <w:top w:val="nil"/>
              <w:left w:val="nil"/>
              <w:bottom w:val="single" w:color="auto" w:sz="8" w:space="0"/>
              <w:right w:val="single" w:color="auto" w:sz="8" w:space="0"/>
            </w:tcBorders>
            <w:vAlign w:val="center"/>
          </w:tcPr>
          <w:p w14:paraId="00AA896C">
            <w:pPr>
              <w:pStyle w:val="24"/>
              <w:spacing w:line="240" w:lineRule="auto"/>
              <w:ind w:firstLine="0" w:firstLineChars="0"/>
              <w:rPr>
                <w:color w:val="000000"/>
                <w:kern w:val="0"/>
              </w:rPr>
            </w:pPr>
          </w:p>
        </w:tc>
      </w:tr>
      <w:tr w14:paraId="45BE0B42">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4" w:space="0"/>
              <w:right w:val="single" w:color="auto" w:sz="8" w:space="0"/>
            </w:tcBorders>
            <w:vAlign w:val="center"/>
          </w:tcPr>
          <w:p w14:paraId="6AD2D348">
            <w:pPr>
              <w:pStyle w:val="24"/>
              <w:spacing w:line="240" w:lineRule="auto"/>
              <w:ind w:firstLine="0" w:firstLineChars="0"/>
              <w:rPr>
                <w:color w:val="000000"/>
                <w:kern w:val="0"/>
              </w:rPr>
            </w:pPr>
            <w:r>
              <w:rPr>
                <w:color w:val="000000"/>
                <w:kern w:val="0"/>
              </w:rPr>
              <w:t>12</w:t>
            </w:r>
          </w:p>
        </w:tc>
        <w:tc>
          <w:tcPr>
            <w:tcW w:w="4209" w:type="dxa"/>
            <w:tcBorders>
              <w:top w:val="nil"/>
              <w:left w:val="nil"/>
              <w:bottom w:val="single" w:color="auto" w:sz="4" w:space="0"/>
              <w:right w:val="single" w:color="auto" w:sz="8" w:space="0"/>
            </w:tcBorders>
            <w:vAlign w:val="center"/>
          </w:tcPr>
          <w:p w14:paraId="6D33B405">
            <w:pPr>
              <w:pStyle w:val="24"/>
              <w:spacing w:line="240" w:lineRule="auto"/>
              <w:ind w:firstLine="0" w:firstLineChars="0"/>
              <w:jc w:val="both"/>
              <w:rPr>
                <w:color w:val="000000"/>
                <w:kern w:val="0"/>
              </w:rPr>
            </w:pPr>
            <w:r>
              <w:rPr>
                <w:color w:val="000000"/>
                <w:kern w:val="0"/>
              </w:rPr>
              <w:t>产品</w:t>
            </w:r>
            <w:r>
              <w:rPr>
                <w:rFonts w:hint="eastAsia"/>
                <w:color w:val="000000"/>
                <w:kern w:val="0"/>
              </w:rPr>
              <w:t>搬运与装车、包装</w:t>
            </w:r>
            <w:r>
              <w:rPr>
                <w:color w:val="000000"/>
                <w:kern w:val="0"/>
              </w:rPr>
              <w:t>过程中无损耗</w:t>
            </w:r>
          </w:p>
        </w:tc>
        <w:tc>
          <w:tcPr>
            <w:tcW w:w="1213" w:type="dxa"/>
            <w:tcBorders>
              <w:top w:val="nil"/>
              <w:left w:val="nil"/>
              <w:bottom w:val="single" w:color="auto" w:sz="4" w:space="0"/>
              <w:right w:val="single" w:color="auto" w:sz="8" w:space="0"/>
            </w:tcBorders>
            <w:vAlign w:val="center"/>
          </w:tcPr>
          <w:p w14:paraId="451602FF">
            <w:pPr>
              <w:pStyle w:val="24"/>
              <w:spacing w:line="240" w:lineRule="auto"/>
              <w:ind w:firstLine="0" w:firstLineChars="0"/>
              <w:rPr>
                <w:color w:val="000000"/>
                <w:kern w:val="0"/>
              </w:rPr>
            </w:pPr>
          </w:p>
        </w:tc>
        <w:tc>
          <w:tcPr>
            <w:tcW w:w="1213" w:type="dxa"/>
            <w:tcBorders>
              <w:top w:val="nil"/>
              <w:left w:val="nil"/>
              <w:bottom w:val="single" w:color="auto" w:sz="4" w:space="0"/>
              <w:right w:val="single" w:color="auto" w:sz="8" w:space="0"/>
            </w:tcBorders>
            <w:vAlign w:val="center"/>
          </w:tcPr>
          <w:p w14:paraId="07F4A24F">
            <w:pPr>
              <w:pStyle w:val="24"/>
              <w:spacing w:line="240" w:lineRule="auto"/>
              <w:ind w:firstLine="0" w:firstLineChars="0"/>
              <w:rPr>
                <w:color w:val="000000"/>
                <w:kern w:val="0"/>
              </w:rPr>
            </w:pPr>
          </w:p>
        </w:tc>
        <w:tc>
          <w:tcPr>
            <w:tcW w:w="1213" w:type="dxa"/>
            <w:tcBorders>
              <w:top w:val="nil"/>
              <w:left w:val="nil"/>
              <w:bottom w:val="single" w:color="auto" w:sz="4" w:space="0"/>
              <w:right w:val="single" w:color="auto" w:sz="8" w:space="0"/>
            </w:tcBorders>
            <w:vAlign w:val="center"/>
          </w:tcPr>
          <w:p w14:paraId="67E7B37A">
            <w:pPr>
              <w:pStyle w:val="24"/>
              <w:spacing w:line="240" w:lineRule="auto"/>
              <w:ind w:firstLine="0" w:firstLineChars="0"/>
              <w:rPr>
                <w:color w:val="000000"/>
                <w:kern w:val="0"/>
              </w:rPr>
            </w:pPr>
          </w:p>
        </w:tc>
      </w:tr>
      <w:tr w14:paraId="3C3BABAD">
        <w:tblPrEx>
          <w:tblCellMar>
            <w:top w:w="0" w:type="dxa"/>
            <w:left w:w="108" w:type="dxa"/>
            <w:bottom w:w="0" w:type="dxa"/>
            <w:right w:w="108" w:type="dxa"/>
          </w:tblCellMar>
        </w:tblPrEx>
        <w:trPr>
          <w:trHeight w:val="340" w:hRule="atLeast"/>
        </w:trPr>
        <w:tc>
          <w:tcPr>
            <w:tcW w:w="671" w:type="dxa"/>
            <w:tcBorders>
              <w:top w:val="single" w:color="auto" w:sz="4" w:space="0"/>
              <w:left w:val="single" w:color="auto" w:sz="4" w:space="0"/>
              <w:bottom w:val="single" w:color="auto" w:sz="4" w:space="0"/>
              <w:right w:val="single" w:color="auto" w:sz="4" w:space="0"/>
            </w:tcBorders>
            <w:vAlign w:val="center"/>
          </w:tcPr>
          <w:p w14:paraId="4CEFEBA7">
            <w:pPr>
              <w:pStyle w:val="24"/>
              <w:spacing w:line="240" w:lineRule="auto"/>
              <w:ind w:firstLine="0" w:firstLineChars="0"/>
              <w:rPr>
                <w:color w:val="000000"/>
                <w:kern w:val="0"/>
              </w:rPr>
            </w:pPr>
            <w:r>
              <w:rPr>
                <w:rFonts w:hint="eastAsia"/>
                <w:color w:val="000000"/>
                <w:kern w:val="0"/>
              </w:rPr>
              <w:t>13</w:t>
            </w:r>
          </w:p>
        </w:tc>
        <w:tc>
          <w:tcPr>
            <w:tcW w:w="4209" w:type="dxa"/>
            <w:tcBorders>
              <w:top w:val="single" w:color="auto" w:sz="4" w:space="0"/>
              <w:left w:val="single" w:color="auto" w:sz="4" w:space="0"/>
              <w:bottom w:val="single" w:color="auto" w:sz="4" w:space="0"/>
              <w:right w:val="single" w:color="auto" w:sz="4" w:space="0"/>
            </w:tcBorders>
            <w:vAlign w:val="center"/>
          </w:tcPr>
          <w:p w14:paraId="52F39A7C">
            <w:pPr>
              <w:pStyle w:val="24"/>
              <w:spacing w:line="240" w:lineRule="auto"/>
              <w:ind w:firstLine="0" w:firstLineChars="0"/>
              <w:jc w:val="both"/>
              <w:rPr>
                <w:color w:val="000000"/>
                <w:kern w:val="0"/>
              </w:rPr>
            </w:pPr>
            <w:r>
              <w:rPr>
                <w:color w:val="000000"/>
                <w:kern w:val="0"/>
              </w:rPr>
              <w:t>对装卸损耗的产品采取了合理的回收方式</w:t>
            </w:r>
          </w:p>
        </w:tc>
        <w:tc>
          <w:tcPr>
            <w:tcW w:w="1213" w:type="dxa"/>
            <w:tcBorders>
              <w:top w:val="single" w:color="auto" w:sz="4" w:space="0"/>
              <w:left w:val="single" w:color="auto" w:sz="4" w:space="0"/>
              <w:bottom w:val="single" w:color="auto" w:sz="4" w:space="0"/>
              <w:right w:val="single" w:color="auto" w:sz="4" w:space="0"/>
            </w:tcBorders>
            <w:vAlign w:val="center"/>
          </w:tcPr>
          <w:p w14:paraId="7F4BA7E8">
            <w:pPr>
              <w:pStyle w:val="24"/>
              <w:spacing w:line="240" w:lineRule="auto"/>
              <w:ind w:firstLine="0" w:firstLineChars="0"/>
              <w:rPr>
                <w:color w:val="000000"/>
                <w:kern w:val="0"/>
              </w:rPr>
            </w:pPr>
          </w:p>
        </w:tc>
        <w:tc>
          <w:tcPr>
            <w:tcW w:w="1213" w:type="dxa"/>
            <w:tcBorders>
              <w:top w:val="single" w:color="auto" w:sz="4" w:space="0"/>
              <w:left w:val="single" w:color="auto" w:sz="4" w:space="0"/>
              <w:bottom w:val="single" w:color="auto" w:sz="4" w:space="0"/>
              <w:right w:val="single" w:color="auto" w:sz="4" w:space="0"/>
            </w:tcBorders>
            <w:vAlign w:val="center"/>
          </w:tcPr>
          <w:p w14:paraId="3FFD6FE6">
            <w:pPr>
              <w:pStyle w:val="24"/>
              <w:spacing w:line="240" w:lineRule="auto"/>
              <w:ind w:firstLine="0" w:firstLineChars="0"/>
              <w:rPr>
                <w:color w:val="000000"/>
                <w:kern w:val="0"/>
              </w:rPr>
            </w:pPr>
          </w:p>
        </w:tc>
        <w:tc>
          <w:tcPr>
            <w:tcW w:w="1213" w:type="dxa"/>
            <w:tcBorders>
              <w:top w:val="single" w:color="auto" w:sz="4" w:space="0"/>
              <w:left w:val="single" w:color="auto" w:sz="4" w:space="0"/>
              <w:bottom w:val="single" w:color="auto" w:sz="4" w:space="0"/>
              <w:right w:val="single" w:color="auto" w:sz="4" w:space="0"/>
            </w:tcBorders>
            <w:vAlign w:val="center"/>
          </w:tcPr>
          <w:p w14:paraId="75017A00">
            <w:pPr>
              <w:pStyle w:val="24"/>
              <w:spacing w:line="240" w:lineRule="auto"/>
              <w:ind w:firstLine="0" w:firstLineChars="0"/>
              <w:rPr>
                <w:color w:val="000000"/>
                <w:kern w:val="0"/>
              </w:rPr>
            </w:pPr>
          </w:p>
        </w:tc>
      </w:tr>
      <w:tr w14:paraId="13927DCC">
        <w:tblPrEx>
          <w:tblCellMar>
            <w:top w:w="0" w:type="dxa"/>
            <w:left w:w="108" w:type="dxa"/>
            <w:bottom w:w="0" w:type="dxa"/>
            <w:right w:w="108" w:type="dxa"/>
          </w:tblCellMar>
        </w:tblPrEx>
        <w:trPr>
          <w:trHeight w:val="340" w:hRule="atLeast"/>
        </w:trPr>
        <w:tc>
          <w:tcPr>
            <w:tcW w:w="671" w:type="dxa"/>
            <w:tcBorders>
              <w:top w:val="single" w:color="auto" w:sz="4" w:space="0"/>
              <w:left w:val="single" w:color="auto" w:sz="4" w:space="0"/>
              <w:bottom w:val="single" w:color="auto" w:sz="4" w:space="0"/>
              <w:right w:val="single" w:color="auto" w:sz="4" w:space="0"/>
            </w:tcBorders>
            <w:vAlign w:val="center"/>
          </w:tcPr>
          <w:p w14:paraId="5FD90B5D">
            <w:pPr>
              <w:pStyle w:val="24"/>
              <w:spacing w:line="240" w:lineRule="auto"/>
              <w:ind w:firstLine="0" w:firstLineChars="0"/>
              <w:rPr>
                <w:color w:val="000000"/>
                <w:kern w:val="0"/>
              </w:rPr>
            </w:pPr>
            <w:r>
              <w:rPr>
                <w:rFonts w:hint="eastAsia"/>
                <w:color w:val="000000"/>
                <w:kern w:val="0"/>
              </w:rPr>
              <w:t>14</w:t>
            </w:r>
          </w:p>
        </w:tc>
        <w:tc>
          <w:tcPr>
            <w:tcW w:w="4209" w:type="dxa"/>
            <w:tcBorders>
              <w:top w:val="single" w:color="auto" w:sz="4" w:space="0"/>
              <w:left w:val="single" w:color="auto" w:sz="4" w:space="0"/>
              <w:bottom w:val="single" w:color="auto" w:sz="4" w:space="0"/>
              <w:right w:val="single" w:color="auto" w:sz="4" w:space="0"/>
            </w:tcBorders>
            <w:vAlign w:val="center"/>
          </w:tcPr>
          <w:p w14:paraId="3A749AC6">
            <w:pPr>
              <w:pStyle w:val="24"/>
              <w:spacing w:line="240" w:lineRule="auto"/>
              <w:ind w:firstLine="0" w:firstLineChars="0"/>
              <w:jc w:val="both"/>
              <w:rPr>
                <w:color w:val="000000"/>
                <w:kern w:val="0"/>
              </w:rPr>
            </w:pPr>
            <w:r>
              <w:rPr>
                <w:color w:val="000000"/>
                <w:kern w:val="0"/>
              </w:rPr>
              <w:t>有指导使用者高效应用的说明书或其他材料</w:t>
            </w:r>
          </w:p>
        </w:tc>
        <w:tc>
          <w:tcPr>
            <w:tcW w:w="1213" w:type="dxa"/>
            <w:tcBorders>
              <w:top w:val="single" w:color="auto" w:sz="4" w:space="0"/>
              <w:left w:val="single" w:color="auto" w:sz="4" w:space="0"/>
              <w:bottom w:val="single" w:color="auto" w:sz="4" w:space="0"/>
              <w:right w:val="single" w:color="auto" w:sz="4" w:space="0"/>
            </w:tcBorders>
            <w:vAlign w:val="center"/>
          </w:tcPr>
          <w:p w14:paraId="0D7BB869">
            <w:pPr>
              <w:pStyle w:val="24"/>
              <w:spacing w:line="240" w:lineRule="auto"/>
              <w:ind w:firstLine="0" w:firstLineChars="0"/>
              <w:rPr>
                <w:color w:val="000000"/>
                <w:kern w:val="0"/>
              </w:rPr>
            </w:pPr>
          </w:p>
        </w:tc>
        <w:tc>
          <w:tcPr>
            <w:tcW w:w="1213" w:type="dxa"/>
            <w:tcBorders>
              <w:top w:val="single" w:color="auto" w:sz="4" w:space="0"/>
              <w:left w:val="single" w:color="auto" w:sz="4" w:space="0"/>
              <w:bottom w:val="single" w:color="auto" w:sz="4" w:space="0"/>
              <w:right w:val="single" w:color="auto" w:sz="4" w:space="0"/>
            </w:tcBorders>
            <w:vAlign w:val="center"/>
          </w:tcPr>
          <w:p w14:paraId="6622765B">
            <w:pPr>
              <w:pStyle w:val="24"/>
              <w:spacing w:line="240" w:lineRule="auto"/>
              <w:ind w:firstLine="0" w:firstLineChars="0"/>
              <w:rPr>
                <w:color w:val="000000"/>
                <w:kern w:val="0"/>
              </w:rPr>
            </w:pPr>
          </w:p>
        </w:tc>
        <w:tc>
          <w:tcPr>
            <w:tcW w:w="1213" w:type="dxa"/>
            <w:tcBorders>
              <w:top w:val="single" w:color="auto" w:sz="4" w:space="0"/>
              <w:left w:val="single" w:color="auto" w:sz="4" w:space="0"/>
              <w:bottom w:val="single" w:color="auto" w:sz="4" w:space="0"/>
              <w:right w:val="single" w:color="auto" w:sz="4" w:space="0"/>
            </w:tcBorders>
            <w:vAlign w:val="center"/>
          </w:tcPr>
          <w:p w14:paraId="0A843C48">
            <w:pPr>
              <w:pStyle w:val="24"/>
              <w:spacing w:line="240" w:lineRule="auto"/>
              <w:ind w:firstLine="0" w:firstLineChars="0"/>
              <w:rPr>
                <w:color w:val="000000"/>
                <w:kern w:val="0"/>
              </w:rPr>
            </w:pPr>
          </w:p>
        </w:tc>
      </w:tr>
    </w:tbl>
    <w:p w14:paraId="0CE0AE21">
      <w:pPr>
        <w:pStyle w:val="4"/>
        <w:adjustRightInd w:val="0"/>
        <w:snapToGrid w:val="0"/>
        <w:spacing w:before="156" w:beforeLines="50" w:after="0" w:line="240" w:lineRule="auto"/>
        <w:ind w:firstLine="0" w:firstLineChars="0"/>
        <w:jc w:val="center"/>
      </w:pPr>
      <w:r>
        <w:rPr>
          <w:rFonts w:hint="eastAsia"/>
        </w:rPr>
        <w:t>工作表</w:t>
      </w:r>
      <w:r>
        <w:rPr>
          <w:rFonts w:hint="eastAsia"/>
          <w:lang w:val="en-US" w:eastAsia="zh-CN"/>
        </w:rPr>
        <w:t>A.6</w:t>
      </w:r>
      <w:r>
        <w:rPr>
          <w:rFonts w:hint="eastAsia"/>
        </w:rPr>
        <w:t xml:space="preserve"> 废弃物现场考察表</w:t>
      </w:r>
    </w:p>
    <w:tbl>
      <w:tblPr>
        <w:tblStyle w:val="11"/>
        <w:tblW w:w="8519" w:type="dxa"/>
        <w:tblInd w:w="0" w:type="dxa"/>
        <w:tblLayout w:type="fixed"/>
        <w:tblCellMar>
          <w:top w:w="0" w:type="dxa"/>
          <w:left w:w="108" w:type="dxa"/>
          <w:bottom w:w="0" w:type="dxa"/>
          <w:right w:w="108" w:type="dxa"/>
        </w:tblCellMar>
      </w:tblPr>
      <w:tblGrid>
        <w:gridCol w:w="671"/>
        <w:gridCol w:w="4230"/>
        <w:gridCol w:w="1206"/>
        <w:gridCol w:w="1206"/>
        <w:gridCol w:w="1206"/>
      </w:tblGrid>
      <w:tr w14:paraId="7D1878AD">
        <w:tblPrEx>
          <w:tblCellMar>
            <w:top w:w="0" w:type="dxa"/>
            <w:left w:w="108" w:type="dxa"/>
            <w:bottom w:w="0" w:type="dxa"/>
            <w:right w:w="108" w:type="dxa"/>
          </w:tblCellMar>
        </w:tblPrEx>
        <w:trPr>
          <w:trHeight w:val="340" w:hRule="atLeast"/>
          <w:tblHeader/>
        </w:trPr>
        <w:tc>
          <w:tcPr>
            <w:tcW w:w="671" w:type="dxa"/>
            <w:vMerge w:val="restart"/>
            <w:tcBorders>
              <w:top w:val="single" w:color="auto" w:sz="8" w:space="0"/>
              <w:left w:val="single" w:color="auto" w:sz="8" w:space="0"/>
              <w:right w:val="single" w:color="auto" w:sz="8" w:space="0"/>
            </w:tcBorders>
            <w:vAlign w:val="center"/>
          </w:tcPr>
          <w:p w14:paraId="418C94B5">
            <w:pPr>
              <w:pStyle w:val="24"/>
              <w:spacing w:line="240" w:lineRule="auto"/>
              <w:ind w:firstLine="0" w:firstLineChars="0"/>
              <w:rPr>
                <w:b/>
                <w:color w:val="000000"/>
                <w:kern w:val="0"/>
              </w:rPr>
            </w:pPr>
            <w:r>
              <w:rPr>
                <w:b/>
                <w:color w:val="000000"/>
                <w:kern w:val="0"/>
              </w:rPr>
              <w:t>序号</w:t>
            </w:r>
          </w:p>
        </w:tc>
        <w:tc>
          <w:tcPr>
            <w:tcW w:w="4230" w:type="dxa"/>
            <w:vMerge w:val="restart"/>
            <w:tcBorders>
              <w:top w:val="single" w:color="auto" w:sz="8" w:space="0"/>
              <w:left w:val="nil"/>
              <w:right w:val="single" w:color="auto" w:sz="8" w:space="0"/>
            </w:tcBorders>
            <w:vAlign w:val="center"/>
          </w:tcPr>
          <w:p w14:paraId="75F8A894">
            <w:pPr>
              <w:pStyle w:val="24"/>
              <w:spacing w:line="240" w:lineRule="auto"/>
              <w:ind w:firstLine="0" w:firstLineChars="0"/>
              <w:rPr>
                <w:b/>
                <w:color w:val="000000"/>
                <w:kern w:val="0"/>
              </w:rPr>
            </w:pPr>
            <w:r>
              <w:rPr>
                <w:b/>
                <w:color w:val="000000"/>
                <w:kern w:val="0"/>
              </w:rPr>
              <w:t>调查项目</w:t>
            </w:r>
          </w:p>
        </w:tc>
        <w:tc>
          <w:tcPr>
            <w:tcW w:w="3618" w:type="dxa"/>
            <w:gridSpan w:val="3"/>
            <w:tcBorders>
              <w:top w:val="single" w:color="auto" w:sz="8" w:space="0"/>
              <w:left w:val="nil"/>
              <w:bottom w:val="single" w:color="auto" w:sz="8" w:space="0"/>
              <w:right w:val="single" w:color="auto" w:sz="8" w:space="0"/>
            </w:tcBorders>
            <w:vAlign w:val="center"/>
          </w:tcPr>
          <w:p w14:paraId="124C80D4">
            <w:pPr>
              <w:pStyle w:val="24"/>
              <w:spacing w:line="240" w:lineRule="auto"/>
              <w:ind w:firstLine="0" w:firstLineChars="0"/>
              <w:rPr>
                <w:b/>
                <w:color w:val="000000"/>
                <w:kern w:val="0"/>
              </w:rPr>
            </w:pPr>
            <w:r>
              <w:rPr>
                <w:b/>
                <w:color w:val="000000"/>
                <w:kern w:val="0"/>
              </w:rPr>
              <w:t>企业现状</w:t>
            </w:r>
          </w:p>
        </w:tc>
      </w:tr>
      <w:tr w14:paraId="4045729F">
        <w:tblPrEx>
          <w:tblCellMar>
            <w:top w:w="0" w:type="dxa"/>
            <w:left w:w="108" w:type="dxa"/>
            <w:bottom w:w="0" w:type="dxa"/>
            <w:right w:w="108" w:type="dxa"/>
          </w:tblCellMar>
        </w:tblPrEx>
        <w:trPr>
          <w:trHeight w:val="340" w:hRule="atLeast"/>
          <w:tblHeader/>
        </w:trPr>
        <w:tc>
          <w:tcPr>
            <w:tcW w:w="671" w:type="dxa"/>
            <w:vMerge w:val="continue"/>
            <w:tcBorders>
              <w:left w:val="single" w:color="auto" w:sz="8" w:space="0"/>
              <w:bottom w:val="single" w:color="auto" w:sz="8" w:space="0"/>
              <w:right w:val="single" w:color="auto" w:sz="8" w:space="0"/>
            </w:tcBorders>
            <w:vAlign w:val="center"/>
          </w:tcPr>
          <w:p w14:paraId="49EF827C">
            <w:pPr>
              <w:pStyle w:val="24"/>
              <w:spacing w:line="240" w:lineRule="auto"/>
              <w:ind w:firstLine="0" w:firstLineChars="0"/>
              <w:rPr>
                <w:b/>
                <w:color w:val="000000"/>
                <w:kern w:val="0"/>
              </w:rPr>
            </w:pPr>
          </w:p>
        </w:tc>
        <w:tc>
          <w:tcPr>
            <w:tcW w:w="4230" w:type="dxa"/>
            <w:vMerge w:val="continue"/>
            <w:tcBorders>
              <w:left w:val="nil"/>
              <w:bottom w:val="single" w:color="auto" w:sz="8" w:space="0"/>
              <w:right w:val="single" w:color="auto" w:sz="8" w:space="0"/>
            </w:tcBorders>
            <w:vAlign w:val="center"/>
          </w:tcPr>
          <w:p w14:paraId="3F64CD43">
            <w:pPr>
              <w:pStyle w:val="24"/>
              <w:spacing w:line="240" w:lineRule="auto"/>
              <w:ind w:firstLine="0" w:firstLineChars="0"/>
              <w:rPr>
                <w:b/>
                <w:color w:val="000000"/>
                <w:kern w:val="0"/>
              </w:rPr>
            </w:pPr>
          </w:p>
        </w:tc>
        <w:tc>
          <w:tcPr>
            <w:tcW w:w="1206" w:type="dxa"/>
            <w:tcBorders>
              <w:top w:val="single" w:color="auto" w:sz="8" w:space="0"/>
              <w:left w:val="nil"/>
              <w:bottom w:val="single" w:color="auto" w:sz="8" w:space="0"/>
              <w:right w:val="single" w:color="auto" w:sz="8" w:space="0"/>
            </w:tcBorders>
            <w:vAlign w:val="center"/>
          </w:tcPr>
          <w:p w14:paraId="4EEB10FD">
            <w:pPr>
              <w:pStyle w:val="24"/>
              <w:spacing w:line="240" w:lineRule="auto"/>
              <w:ind w:firstLine="0" w:firstLineChars="0"/>
              <w:rPr>
                <w:b/>
                <w:color w:val="000000"/>
                <w:kern w:val="0"/>
              </w:rPr>
            </w:pPr>
            <w:r>
              <w:rPr>
                <w:b/>
                <w:color w:val="000000"/>
                <w:kern w:val="0"/>
              </w:rPr>
              <w:t>有/是</w:t>
            </w:r>
          </w:p>
        </w:tc>
        <w:tc>
          <w:tcPr>
            <w:tcW w:w="1206" w:type="dxa"/>
            <w:tcBorders>
              <w:top w:val="single" w:color="auto" w:sz="8" w:space="0"/>
              <w:left w:val="nil"/>
              <w:bottom w:val="single" w:color="auto" w:sz="8" w:space="0"/>
              <w:right w:val="single" w:color="auto" w:sz="8" w:space="0"/>
            </w:tcBorders>
            <w:vAlign w:val="center"/>
          </w:tcPr>
          <w:p w14:paraId="72F17FAD">
            <w:pPr>
              <w:pStyle w:val="24"/>
              <w:spacing w:line="240" w:lineRule="auto"/>
              <w:ind w:firstLine="0" w:firstLineChars="0"/>
              <w:rPr>
                <w:b/>
                <w:color w:val="000000"/>
                <w:kern w:val="0"/>
              </w:rPr>
            </w:pPr>
            <w:r>
              <w:rPr>
                <w:b/>
                <w:color w:val="000000"/>
                <w:kern w:val="0"/>
              </w:rPr>
              <w:t>无/不是</w:t>
            </w:r>
          </w:p>
        </w:tc>
        <w:tc>
          <w:tcPr>
            <w:tcW w:w="1206" w:type="dxa"/>
            <w:tcBorders>
              <w:top w:val="single" w:color="auto" w:sz="8" w:space="0"/>
              <w:left w:val="nil"/>
              <w:bottom w:val="single" w:color="auto" w:sz="8" w:space="0"/>
              <w:right w:val="single" w:color="auto" w:sz="8" w:space="0"/>
            </w:tcBorders>
            <w:vAlign w:val="center"/>
          </w:tcPr>
          <w:p w14:paraId="0EA06BE7">
            <w:pPr>
              <w:pStyle w:val="24"/>
              <w:spacing w:line="240" w:lineRule="auto"/>
              <w:ind w:firstLine="0" w:firstLineChars="0"/>
              <w:rPr>
                <w:b/>
                <w:color w:val="000000"/>
                <w:kern w:val="0"/>
              </w:rPr>
            </w:pPr>
            <w:r>
              <w:rPr>
                <w:b/>
                <w:color w:val="000000"/>
                <w:kern w:val="0"/>
              </w:rPr>
              <w:t>不适合</w:t>
            </w:r>
          </w:p>
        </w:tc>
      </w:tr>
      <w:tr w14:paraId="6C57134C">
        <w:tblPrEx>
          <w:tblCellMar>
            <w:top w:w="0" w:type="dxa"/>
            <w:left w:w="108" w:type="dxa"/>
            <w:bottom w:w="0" w:type="dxa"/>
            <w:right w:w="108" w:type="dxa"/>
          </w:tblCellMar>
        </w:tblPrEx>
        <w:trPr>
          <w:trHeight w:val="340" w:hRule="atLeast"/>
        </w:trPr>
        <w:tc>
          <w:tcPr>
            <w:tcW w:w="8519" w:type="dxa"/>
            <w:gridSpan w:val="5"/>
            <w:tcBorders>
              <w:top w:val="nil"/>
              <w:left w:val="single" w:color="auto" w:sz="8" w:space="0"/>
              <w:bottom w:val="single" w:color="auto" w:sz="8" w:space="0"/>
              <w:right w:val="single" w:color="auto" w:sz="8" w:space="0"/>
            </w:tcBorders>
            <w:vAlign w:val="center"/>
          </w:tcPr>
          <w:p w14:paraId="201CC778">
            <w:pPr>
              <w:pStyle w:val="24"/>
              <w:spacing w:line="240" w:lineRule="auto"/>
              <w:ind w:firstLine="0" w:firstLineChars="0"/>
              <w:rPr>
                <w:rFonts w:eastAsia="仿宋_GB2312"/>
                <w:color w:val="000000"/>
                <w:kern w:val="0"/>
              </w:rPr>
            </w:pPr>
            <w:r>
              <w:rPr>
                <w:rFonts w:hint="eastAsia"/>
                <w:b/>
                <w:bCs/>
                <w:color w:val="000000"/>
                <w:kern w:val="0"/>
              </w:rPr>
              <w:t>废气</w:t>
            </w:r>
          </w:p>
        </w:tc>
      </w:tr>
      <w:tr w14:paraId="72C259D1">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8" w:space="0"/>
              <w:right w:val="single" w:color="auto" w:sz="8" w:space="0"/>
            </w:tcBorders>
            <w:vAlign w:val="center"/>
          </w:tcPr>
          <w:p w14:paraId="0A92211D">
            <w:pPr>
              <w:pStyle w:val="24"/>
              <w:spacing w:line="240" w:lineRule="auto"/>
              <w:ind w:firstLine="0" w:firstLineChars="0"/>
              <w:rPr>
                <w:color w:val="000000"/>
                <w:kern w:val="0"/>
              </w:rPr>
            </w:pPr>
            <w:r>
              <w:rPr>
                <w:color w:val="000000"/>
                <w:kern w:val="0"/>
              </w:rPr>
              <w:t>1</w:t>
            </w:r>
          </w:p>
        </w:tc>
        <w:tc>
          <w:tcPr>
            <w:tcW w:w="4230" w:type="dxa"/>
            <w:tcBorders>
              <w:top w:val="nil"/>
              <w:left w:val="nil"/>
              <w:bottom w:val="single" w:color="auto" w:sz="8" w:space="0"/>
              <w:right w:val="single" w:color="auto" w:sz="8" w:space="0"/>
            </w:tcBorders>
            <w:vAlign w:val="center"/>
          </w:tcPr>
          <w:p w14:paraId="5FEBB52C">
            <w:pPr>
              <w:pStyle w:val="24"/>
              <w:spacing w:line="240" w:lineRule="auto"/>
              <w:ind w:firstLine="0" w:firstLineChars="0"/>
              <w:jc w:val="both"/>
              <w:rPr>
                <w:color w:val="000000"/>
                <w:kern w:val="0"/>
              </w:rPr>
            </w:pPr>
            <w:r>
              <w:rPr>
                <w:rFonts w:hint="eastAsia"/>
                <w:color w:val="000000"/>
                <w:kern w:val="0"/>
              </w:rPr>
              <w:t>废气收集系统完善、有效</w:t>
            </w:r>
          </w:p>
        </w:tc>
        <w:tc>
          <w:tcPr>
            <w:tcW w:w="1206" w:type="dxa"/>
            <w:tcBorders>
              <w:top w:val="nil"/>
              <w:left w:val="nil"/>
              <w:bottom w:val="single" w:color="auto" w:sz="8" w:space="0"/>
              <w:right w:val="single" w:color="auto" w:sz="8" w:space="0"/>
            </w:tcBorders>
            <w:vAlign w:val="center"/>
          </w:tcPr>
          <w:p w14:paraId="206575FB">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5C014022">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7CA3FC31">
            <w:pPr>
              <w:pStyle w:val="24"/>
              <w:spacing w:line="240" w:lineRule="auto"/>
              <w:ind w:firstLine="0" w:firstLineChars="0"/>
              <w:rPr>
                <w:color w:val="000000"/>
                <w:kern w:val="0"/>
              </w:rPr>
            </w:pPr>
          </w:p>
        </w:tc>
      </w:tr>
      <w:tr w14:paraId="0152B1CE">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8" w:space="0"/>
              <w:right w:val="single" w:color="auto" w:sz="8" w:space="0"/>
            </w:tcBorders>
            <w:vAlign w:val="center"/>
          </w:tcPr>
          <w:p w14:paraId="08EE0BED">
            <w:pPr>
              <w:pStyle w:val="24"/>
              <w:spacing w:line="240" w:lineRule="auto"/>
              <w:ind w:firstLine="0" w:firstLineChars="0"/>
              <w:rPr>
                <w:color w:val="000000"/>
                <w:kern w:val="0"/>
              </w:rPr>
            </w:pPr>
            <w:r>
              <w:rPr>
                <w:color w:val="000000"/>
                <w:kern w:val="0"/>
              </w:rPr>
              <w:t>2</w:t>
            </w:r>
          </w:p>
        </w:tc>
        <w:tc>
          <w:tcPr>
            <w:tcW w:w="4230" w:type="dxa"/>
            <w:tcBorders>
              <w:top w:val="nil"/>
              <w:left w:val="nil"/>
              <w:bottom w:val="single" w:color="auto" w:sz="8" w:space="0"/>
              <w:right w:val="single" w:color="auto" w:sz="8" w:space="0"/>
            </w:tcBorders>
            <w:vAlign w:val="center"/>
          </w:tcPr>
          <w:p w14:paraId="5E4C7FE8">
            <w:pPr>
              <w:pStyle w:val="24"/>
              <w:spacing w:line="240" w:lineRule="auto"/>
              <w:ind w:firstLine="0" w:firstLineChars="0"/>
              <w:jc w:val="both"/>
              <w:rPr>
                <w:color w:val="000000"/>
                <w:kern w:val="0"/>
              </w:rPr>
            </w:pPr>
            <w:r>
              <w:rPr>
                <w:rFonts w:hint="eastAsia"/>
                <w:color w:val="000000"/>
                <w:kern w:val="0"/>
              </w:rPr>
              <w:t>废气管道及连接处</w:t>
            </w:r>
            <w:r>
              <w:rPr>
                <w:rFonts w:hint="eastAsia"/>
                <w:color w:val="000000"/>
                <w:kern w:val="0"/>
                <w:lang w:val="en-US" w:eastAsia="zh-CN"/>
              </w:rPr>
              <w:t>不</w:t>
            </w:r>
            <w:r>
              <w:rPr>
                <w:rFonts w:hint="eastAsia"/>
                <w:color w:val="000000"/>
                <w:kern w:val="0"/>
              </w:rPr>
              <w:t>存在跑冒滴漏现象</w:t>
            </w:r>
          </w:p>
        </w:tc>
        <w:tc>
          <w:tcPr>
            <w:tcW w:w="1206" w:type="dxa"/>
            <w:tcBorders>
              <w:top w:val="nil"/>
              <w:left w:val="nil"/>
              <w:bottom w:val="single" w:color="auto" w:sz="8" w:space="0"/>
              <w:right w:val="single" w:color="auto" w:sz="8" w:space="0"/>
            </w:tcBorders>
            <w:vAlign w:val="center"/>
          </w:tcPr>
          <w:p w14:paraId="25E3232A">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2466BC37">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3B3DC2DC">
            <w:pPr>
              <w:pStyle w:val="24"/>
              <w:spacing w:line="240" w:lineRule="auto"/>
              <w:ind w:firstLine="0" w:firstLineChars="0"/>
              <w:rPr>
                <w:color w:val="000000"/>
                <w:kern w:val="0"/>
              </w:rPr>
            </w:pPr>
          </w:p>
        </w:tc>
      </w:tr>
      <w:tr w14:paraId="37077F54">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8" w:space="0"/>
              <w:right w:val="single" w:color="auto" w:sz="8" w:space="0"/>
            </w:tcBorders>
            <w:vAlign w:val="center"/>
          </w:tcPr>
          <w:p w14:paraId="13699F42">
            <w:pPr>
              <w:pStyle w:val="24"/>
              <w:spacing w:line="240" w:lineRule="auto"/>
              <w:ind w:firstLine="0" w:firstLineChars="0"/>
              <w:rPr>
                <w:color w:val="000000"/>
                <w:kern w:val="0"/>
              </w:rPr>
            </w:pPr>
            <w:r>
              <w:rPr>
                <w:color w:val="000000"/>
                <w:kern w:val="0"/>
              </w:rPr>
              <w:t>3</w:t>
            </w:r>
          </w:p>
        </w:tc>
        <w:tc>
          <w:tcPr>
            <w:tcW w:w="4230" w:type="dxa"/>
            <w:tcBorders>
              <w:top w:val="nil"/>
              <w:left w:val="nil"/>
              <w:bottom w:val="single" w:color="auto" w:sz="8" w:space="0"/>
              <w:right w:val="single" w:color="auto" w:sz="8" w:space="0"/>
            </w:tcBorders>
            <w:vAlign w:val="center"/>
          </w:tcPr>
          <w:p w14:paraId="210A57A4">
            <w:pPr>
              <w:pStyle w:val="24"/>
              <w:spacing w:line="240" w:lineRule="auto"/>
              <w:ind w:firstLine="0" w:firstLineChars="0"/>
              <w:jc w:val="both"/>
              <w:rPr>
                <w:color w:val="000000"/>
                <w:kern w:val="0"/>
              </w:rPr>
            </w:pPr>
            <w:r>
              <w:rPr>
                <w:rFonts w:hint="eastAsia"/>
                <w:color w:val="000000"/>
                <w:kern w:val="0"/>
                <w:lang w:val="en-US" w:eastAsia="zh-CN"/>
              </w:rPr>
              <w:t>不</w:t>
            </w:r>
            <w:r>
              <w:rPr>
                <w:rFonts w:hint="eastAsia"/>
                <w:color w:val="000000"/>
                <w:kern w:val="0"/>
              </w:rPr>
              <w:t>存在废气未收集处理直排等情况</w:t>
            </w:r>
          </w:p>
        </w:tc>
        <w:tc>
          <w:tcPr>
            <w:tcW w:w="1206" w:type="dxa"/>
            <w:tcBorders>
              <w:top w:val="nil"/>
              <w:left w:val="nil"/>
              <w:bottom w:val="single" w:color="auto" w:sz="8" w:space="0"/>
              <w:right w:val="single" w:color="auto" w:sz="8" w:space="0"/>
            </w:tcBorders>
            <w:vAlign w:val="center"/>
          </w:tcPr>
          <w:p w14:paraId="4B552203">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3C985A12">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59864BB9">
            <w:pPr>
              <w:pStyle w:val="24"/>
              <w:spacing w:line="240" w:lineRule="auto"/>
              <w:ind w:firstLine="0" w:firstLineChars="0"/>
              <w:rPr>
                <w:color w:val="000000"/>
                <w:kern w:val="0"/>
              </w:rPr>
            </w:pPr>
          </w:p>
        </w:tc>
      </w:tr>
      <w:tr w14:paraId="5EFE462E">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8" w:space="0"/>
              <w:right w:val="single" w:color="auto" w:sz="8" w:space="0"/>
            </w:tcBorders>
            <w:vAlign w:val="center"/>
          </w:tcPr>
          <w:p w14:paraId="04F4F564">
            <w:pPr>
              <w:pStyle w:val="24"/>
              <w:spacing w:line="240" w:lineRule="auto"/>
              <w:ind w:firstLine="0" w:firstLineChars="0"/>
              <w:rPr>
                <w:color w:val="000000"/>
                <w:kern w:val="0"/>
              </w:rPr>
            </w:pPr>
            <w:r>
              <w:rPr>
                <w:color w:val="000000"/>
                <w:kern w:val="0"/>
              </w:rPr>
              <w:t>4</w:t>
            </w:r>
          </w:p>
        </w:tc>
        <w:tc>
          <w:tcPr>
            <w:tcW w:w="4230" w:type="dxa"/>
            <w:tcBorders>
              <w:top w:val="nil"/>
              <w:left w:val="nil"/>
              <w:bottom w:val="single" w:color="auto" w:sz="8" w:space="0"/>
              <w:right w:val="single" w:color="auto" w:sz="8" w:space="0"/>
            </w:tcBorders>
            <w:vAlign w:val="center"/>
          </w:tcPr>
          <w:p w14:paraId="740B8F49">
            <w:pPr>
              <w:pStyle w:val="24"/>
              <w:spacing w:line="240" w:lineRule="auto"/>
              <w:ind w:firstLine="0" w:firstLineChars="0"/>
              <w:jc w:val="both"/>
              <w:rPr>
                <w:color w:val="000000"/>
                <w:kern w:val="0"/>
              </w:rPr>
            </w:pPr>
            <w:r>
              <w:rPr>
                <w:rFonts w:hint="eastAsia"/>
                <w:color w:val="000000"/>
                <w:kern w:val="0"/>
                <w:lang w:val="en-US" w:eastAsia="zh-CN"/>
              </w:rPr>
              <w:t>设置</w:t>
            </w:r>
            <w:r>
              <w:rPr>
                <w:rFonts w:hint="eastAsia"/>
                <w:color w:val="000000"/>
                <w:kern w:val="0"/>
              </w:rPr>
              <w:t>了废气处理设施并运行良好</w:t>
            </w:r>
          </w:p>
        </w:tc>
        <w:tc>
          <w:tcPr>
            <w:tcW w:w="1206" w:type="dxa"/>
            <w:tcBorders>
              <w:top w:val="nil"/>
              <w:left w:val="nil"/>
              <w:bottom w:val="single" w:color="auto" w:sz="8" w:space="0"/>
              <w:right w:val="single" w:color="auto" w:sz="8" w:space="0"/>
            </w:tcBorders>
            <w:vAlign w:val="center"/>
          </w:tcPr>
          <w:p w14:paraId="6778405E">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24101BB7">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7B04B5C5">
            <w:pPr>
              <w:pStyle w:val="24"/>
              <w:spacing w:line="240" w:lineRule="auto"/>
              <w:ind w:firstLine="0" w:firstLineChars="0"/>
              <w:rPr>
                <w:color w:val="000000"/>
                <w:kern w:val="0"/>
              </w:rPr>
            </w:pPr>
          </w:p>
        </w:tc>
      </w:tr>
      <w:tr w14:paraId="4D1B271A">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8" w:space="0"/>
              <w:right w:val="single" w:color="auto" w:sz="8" w:space="0"/>
            </w:tcBorders>
            <w:vAlign w:val="center"/>
          </w:tcPr>
          <w:p w14:paraId="3C4F5342">
            <w:pPr>
              <w:pStyle w:val="24"/>
              <w:spacing w:line="240" w:lineRule="auto"/>
              <w:ind w:firstLine="0" w:firstLineChars="0"/>
              <w:rPr>
                <w:color w:val="000000"/>
                <w:kern w:val="0"/>
              </w:rPr>
            </w:pPr>
            <w:r>
              <w:rPr>
                <w:color w:val="000000"/>
                <w:kern w:val="0"/>
              </w:rPr>
              <w:t>5</w:t>
            </w:r>
          </w:p>
        </w:tc>
        <w:tc>
          <w:tcPr>
            <w:tcW w:w="4230" w:type="dxa"/>
            <w:tcBorders>
              <w:top w:val="nil"/>
              <w:left w:val="nil"/>
              <w:bottom w:val="single" w:color="auto" w:sz="8" w:space="0"/>
              <w:right w:val="single" w:color="auto" w:sz="8" w:space="0"/>
            </w:tcBorders>
            <w:vAlign w:val="center"/>
          </w:tcPr>
          <w:p w14:paraId="4B958BDE">
            <w:pPr>
              <w:pStyle w:val="24"/>
              <w:spacing w:line="240" w:lineRule="auto"/>
              <w:ind w:firstLine="0" w:firstLineChars="0"/>
              <w:jc w:val="both"/>
              <w:rPr>
                <w:color w:val="000000"/>
                <w:kern w:val="0"/>
              </w:rPr>
            </w:pPr>
            <w:r>
              <w:rPr>
                <w:rFonts w:hint="eastAsia"/>
                <w:color w:val="000000"/>
                <w:kern w:val="0"/>
              </w:rPr>
              <w:t>废气处理设施定期维护并有运维记录</w:t>
            </w:r>
          </w:p>
        </w:tc>
        <w:tc>
          <w:tcPr>
            <w:tcW w:w="1206" w:type="dxa"/>
            <w:tcBorders>
              <w:top w:val="nil"/>
              <w:left w:val="nil"/>
              <w:bottom w:val="single" w:color="auto" w:sz="8" w:space="0"/>
              <w:right w:val="single" w:color="auto" w:sz="8" w:space="0"/>
            </w:tcBorders>
            <w:vAlign w:val="center"/>
          </w:tcPr>
          <w:p w14:paraId="0B037A68">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7E8C1D2C">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0DD01262">
            <w:pPr>
              <w:pStyle w:val="24"/>
              <w:spacing w:line="240" w:lineRule="auto"/>
              <w:ind w:firstLine="0" w:firstLineChars="0"/>
              <w:rPr>
                <w:color w:val="000000"/>
                <w:kern w:val="0"/>
              </w:rPr>
            </w:pPr>
          </w:p>
        </w:tc>
      </w:tr>
      <w:tr w14:paraId="4D575BE0">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8" w:space="0"/>
              <w:right w:val="single" w:color="auto" w:sz="8" w:space="0"/>
            </w:tcBorders>
            <w:vAlign w:val="center"/>
          </w:tcPr>
          <w:p w14:paraId="4DE362B9">
            <w:pPr>
              <w:pStyle w:val="24"/>
              <w:spacing w:line="240" w:lineRule="auto"/>
              <w:ind w:firstLine="0" w:firstLineChars="0"/>
              <w:rPr>
                <w:color w:val="000000"/>
                <w:kern w:val="0"/>
              </w:rPr>
            </w:pPr>
            <w:r>
              <w:rPr>
                <w:color w:val="000000"/>
                <w:kern w:val="0"/>
              </w:rPr>
              <w:t>6</w:t>
            </w:r>
          </w:p>
        </w:tc>
        <w:tc>
          <w:tcPr>
            <w:tcW w:w="4230" w:type="dxa"/>
            <w:tcBorders>
              <w:top w:val="nil"/>
              <w:left w:val="nil"/>
              <w:bottom w:val="single" w:color="auto" w:sz="8" w:space="0"/>
              <w:right w:val="single" w:color="auto" w:sz="8" w:space="0"/>
            </w:tcBorders>
            <w:vAlign w:val="center"/>
          </w:tcPr>
          <w:p w14:paraId="184AD516">
            <w:pPr>
              <w:pStyle w:val="24"/>
              <w:spacing w:line="240" w:lineRule="auto"/>
              <w:ind w:firstLine="0" w:firstLineChars="0"/>
              <w:jc w:val="both"/>
              <w:rPr>
                <w:color w:val="000000"/>
                <w:kern w:val="0"/>
              </w:rPr>
            </w:pPr>
            <w:r>
              <w:rPr>
                <w:rFonts w:hint="eastAsia"/>
                <w:color w:val="000000"/>
                <w:kern w:val="0"/>
                <w:lang w:val="en-US" w:eastAsia="zh-CN"/>
              </w:rPr>
              <w:t>废气</w:t>
            </w:r>
            <w:r>
              <w:rPr>
                <w:rFonts w:hint="eastAsia"/>
                <w:color w:val="000000"/>
                <w:kern w:val="0"/>
              </w:rPr>
              <w:t>排放口</w:t>
            </w:r>
            <w:r>
              <w:rPr>
                <w:rFonts w:hint="eastAsia"/>
                <w:color w:val="000000"/>
                <w:kern w:val="0"/>
                <w:lang w:val="en-US" w:eastAsia="zh-CN"/>
              </w:rPr>
              <w:t>设置规范</w:t>
            </w:r>
          </w:p>
        </w:tc>
        <w:tc>
          <w:tcPr>
            <w:tcW w:w="1206" w:type="dxa"/>
            <w:tcBorders>
              <w:top w:val="nil"/>
              <w:left w:val="nil"/>
              <w:bottom w:val="single" w:color="auto" w:sz="8" w:space="0"/>
              <w:right w:val="single" w:color="auto" w:sz="8" w:space="0"/>
            </w:tcBorders>
            <w:vAlign w:val="center"/>
          </w:tcPr>
          <w:p w14:paraId="35333A04">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01867C6C">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6326BFDB">
            <w:pPr>
              <w:pStyle w:val="24"/>
              <w:spacing w:line="240" w:lineRule="auto"/>
              <w:ind w:firstLine="0" w:firstLineChars="0"/>
              <w:rPr>
                <w:color w:val="000000"/>
                <w:kern w:val="0"/>
              </w:rPr>
            </w:pPr>
          </w:p>
        </w:tc>
      </w:tr>
      <w:tr w14:paraId="6EEDFC56">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8" w:space="0"/>
              <w:right w:val="single" w:color="auto" w:sz="8" w:space="0"/>
            </w:tcBorders>
            <w:vAlign w:val="center"/>
          </w:tcPr>
          <w:p w14:paraId="19BE57F2">
            <w:pPr>
              <w:pStyle w:val="24"/>
              <w:spacing w:line="240" w:lineRule="auto"/>
              <w:ind w:firstLine="0" w:firstLineChars="0"/>
              <w:rPr>
                <w:color w:val="000000"/>
                <w:kern w:val="0"/>
              </w:rPr>
            </w:pPr>
            <w:r>
              <w:rPr>
                <w:color w:val="000000"/>
                <w:kern w:val="0"/>
              </w:rPr>
              <w:t>7</w:t>
            </w:r>
          </w:p>
        </w:tc>
        <w:tc>
          <w:tcPr>
            <w:tcW w:w="4230" w:type="dxa"/>
            <w:tcBorders>
              <w:top w:val="nil"/>
              <w:left w:val="nil"/>
              <w:bottom w:val="single" w:color="auto" w:sz="8" w:space="0"/>
              <w:right w:val="single" w:color="auto" w:sz="8" w:space="0"/>
            </w:tcBorders>
            <w:vAlign w:val="center"/>
          </w:tcPr>
          <w:p w14:paraId="24F88977">
            <w:pPr>
              <w:pStyle w:val="24"/>
              <w:spacing w:line="240" w:lineRule="auto"/>
              <w:ind w:firstLine="0" w:firstLineChars="0"/>
              <w:jc w:val="both"/>
              <w:rPr>
                <w:color w:val="000000"/>
                <w:kern w:val="0"/>
              </w:rPr>
            </w:pPr>
            <w:r>
              <w:rPr>
                <w:rFonts w:hint="eastAsia"/>
                <w:color w:val="000000"/>
                <w:kern w:val="0"/>
                <w:lang w:val="en-US" w:eastAsia="zh-CN"/>
              </w:rPr>
              <w:t>按照相关法律法规和技术规范要求，组织开展废气自行监测，且监测</w:t>
            </w:r>
            <w:r>
              <w:rPr>
                <w:rFonts w:hint="eastAsia"/>
                <w:color w:val="000000"/>
                <w:kern w:val="0"/>
              </w:rPr>
              <w:t>记录完整真实</w:t>
            </w:r>
          </w:p>
        </w:tc>
        <w:tc>
          <w:tcPr>
            <w:tcW w:w="1206" w:type="dxa"/>
            <w:tcBorders>
              <w:top w:val="nil"/>
              <w:left w:val="nil"/>
              <w:bottom w:val="single" w:color="auto" w:sz="8" w:space="0"/>
              <w:right w:val="single" w:color="auto" w:sz="8" w:space="0"/>
            </w:tcBorders>
            <w:vAlign w:val="center"/>
          </w:tcPr>
          <w:p w14:paraId="7753F6A2">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68FE0E4A">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42DC30C5">
            <w:pPr>
              <w:pStyle w:val="24"/>
              <w:spacing w:line="240" w:lineRule="auto"/>
              <w:ind w:firstLine="0" w:firstLineChars="0"/>
              <w:rPr>
                <w:color w:val="000000"/>
                <w:kern w:val="0"/>
              </w:rPr>
            </w:pPr>
          </w:p>
        </w:tc>
      </w:tr>
      <w:tr w14:paraId="67196F3F">
        <w:tblPrEx>
          <w:tblCellMar>
            <w:top w:w="0" w:type="dxa"/>
            <w:left w:w="108" w:type="dxa"/>
            <w:bottom w:w="0" w:type="dxa"/>
            <w:right w:w="108" w:type="dxa"/>
          </w:tblCellMar>
        </w:tblPrEx>
        <w:trPr>
          <w:trHeight w:val="340" w:hRule="atLeast"/>
        </w:trPr>
        <w:tc>
          <w:tcPr>
            <w:tcW w:w="8519" w:type="dxa"/>
            <w:gridSpan w:val="5"/>
            <w:tcBorders>
              <w:top w:val="nil"/>
              <w:left w:val="single" w:color="auto" w:sz="8" w:space="0"/>
              <w:bottom w:val="single" w:color="auto" w:sz="8" w:space="0"/>
              <w:right w:val="single" w:color="auto" w:sz="8" w:space="0"/>
            </w:tcBorders>
            <w:vAlign w:val="center"/>
          </w:tcPr>
          <w:p w14:paraId="599646A3">
            <w:pPr>
              <w:pStyle w:val="24"/>
              <w:spacing w:line="240" w:lineRule="auto"/>
              <w:ind w:firstLine="0" w:firstLineChars="0"/>
              <w:rPr>
                <w:color w:val="000000"/>
                <w:kern w:val="0"/>
              </w:rPr>
            </w:pPr>
            <w:r>
              <w:rPr>
                <w:rFonts w:hint="eastAsia"/>
                <w:b/>
                <w:bCs/>
                <w:color w:val="000000"/>
                <w:kern w:val="0"/>
              </w:rPr>
              <w:t>废水</w:t>
            </w:r>
          </w:p>
        </w:tc>
      </w:tr>
      <w:tr w14:paraId="74B9A9AC">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8" w:space="0"/>
              <w:right w:val="single" w:color="auto" w:sz="8" w:space="0"/>
            </w:tcBorders>
            <w:vAlign w:val="center"/>
          </w:tcPr>
          <w:p w14:paraId="480193AA">
            <w:pPr>
              <w:pStyle w:val="24"/>
              <w:spacing w:line="240" w:lineRule="auto"/>
              <w:ind w:firstLine="0" w:firstLineChars="0"/>
              <w:rPr>
                <w:rFonts w:hint="eastAsia" w:eastAsia="宋体"/>
                <w:color w:val="000000"/>
                <w:kern w:val="0"/>
                <w:lang w:eastAsia="zh-CN"/>
              </w:rPr>
            </w:pPr>
            <w:r>
              <w:rPr>
                <w:rFonts w:hint="eastAsia"/>
                <w:color w:val="000000"/>
                <w:kern w:val="0"/>
                <w:lang w:val="en-US" w:eastAsia="zh-CN"/>
              </w:rPr>
              <w:t>8</w:t>
            </w:r>
          </w:p>
        </w:tc>
        <w:tc>
          <w:tcPr>
            <w:tcW w:w="4230" w:type="dxa"/>
            <w:tcBorders>
              <w:top w:val="nil"/>
              <w:left w:val="nil"/>
              <w:bottom w:val="single" w:color="auto" w:sz="8" w:space="0"/>
              <w:right w:val="single" w:color="auto" w:sz="8" w:space="0"/>
            </w:tcBorders>
            <w:vAlign w:val="center"/>
          </w:tcPr>
          <w:p w14:paraId="2E3522E3">
            <w:pPr>
              <w:pStyle w:val="24"/>
              <w:spacing w:line="240" w:lineRule="auto"/>
              <w:ind w:firstLine="0" w:firstLineChars="0"/>
              <w:jc w:val="both"/>
              <w:rPr>
                <w:color w:val="000000"/>
                <w:kern w:val="0"/>
              </w:rPr>
            </w:pPr>
            <w:r>
              <w:rPr>
                <w:rFonts w:hint="eastAsia"/>
                <w:color w:val="000000"/>
                <w:kern w:val="0"/>
              </w:rPr>
              <w:t>废水收集系统完善、有效</w:t>
            </w:r>
          </w:p>
        </w:tc>
        <w:tc>
          <w:tcPr>
            <w:tcW w:w="1206" w:type="dxa"/>
            <w:tcBorders>
              <w:top w:val="nil"/>
              <w:left w:val="nil"/>
              <w:bottom w:val="single" w:color="auto" w:sz="8" w:space="0"/>
              <w:right w:val="single" w:color="auto" w:sz="8" w:space="0"/>
            </w:tcBorders>
            <w:vAlign w:val="center"/>
          </w:tcPr>
          <w:p w14:paraId="26C85615">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5D302685">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5BF8D831">
            <w:pPr>
              <w:pStyle w:val="24"/>
              <w:spacing w:line="240" w:lineRule="auto"/>
              <w:ind w:firstLine="0" w:firstLineChars="0"/>
              <w:rPr>
                <w:color w:val="000000"/>
                <w:kern w:val="0"/>
              </w:rPr>
            </w:pPr>
          </w:p>
        </w:tc>
      </w:tr>
      <w:tr w14:paraId="6F185B40">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8" w:space="0"/>
              <w:right w:val="single" w:color="auto" w:sz="8" w:space="0"/>
            </w:tcBorders>
            <w:vAlign w:val="center"/>
          </w:tcPr>
          <w:p w14:paraId="6A94BC6C">
            <w:pPr>
              <w:pStyle w:val="24"/>
              <w:spacing w:line="240" w:lineRule="auto"/>
              <w:ind w:firstLine="0" w:firstLineChars="0"/>
              <w:rPr>
                <w:rFonts w:hint="eastAsia" w:eastAsia="宋体"/>
                <w:color w:val="000000"/>
                <w:kern w:val="0"/>
                <w:lang w:eastAsia="zh-CN"/>
              </w:rPr>
            </w:pPr>
            <w:r>
              <w:rPr>
                <w:rFonts w:hint="eastAsia"/>
                <w:color w:val="000000"/>
                <w:kern w:val="0"/>
                <w:lang w:val="en-US" w:eastAsia="zh-CN"/>
              </w:rPr>
              <w:t>9</w:t>
            </w:r>
          </w:p>
        </w:tc>
        <w:tc>
          <w:tcPr>
            <w:tcW w:w="4230" w:type="dxa"/>
            <w:tcBorders>
              <w:top w:val="nil"/>
              <w:left w:val="nil"/>
              <w:bottom w:val="single" w:color="auto" w:sz="8" w:space="0"/>
              <w:right w:val="single" w:color="auto" w:sz="8" w:space="0"/>
            </w:tcBorders>
            <w:vAlign w:val="center"/>
          </w:tcPr>
          <w:p w14:paraId="04B0F96D">
            <w:pPr>
              <w:pStyle w:val="24"/>
              <w:spacing w:line="240" w:lineRule="auto"/>
              <w:ind w:firstLine="0" w:firstLineChars="0"/>
              <w:jc w:val="both"/>
              <w:rPr>
                <w:color w:val="000000"/>
                <w:kern w:val="0"/>
              </w:rPr>
            </w:pPr>
            <w:r>
              <w:rPr>
                <w:rFonts w:hint="eastAsia"/>
                <w:color w:val="000000"/>
                <w:kern w:val="0"/>
              </w:rPr>
              <w:t>废分管道及连接处</w:t>
            </w:r>
            <w:r>
              <w:rPr>
                <w:rFonts w:hint="eastAsia"/>
                <w:color w:val="000000"/>
                <w:kern w:val="0"/>
                <w:lang w:val="en-US" w:eastAsia="zh-CN"/>
              </w:rPr>
              <w:t>不</w:t>
            </w:r>
            <w:r>
              <w:rPr>
                <w:rFonts w:hint="eastAsia"/>
                <w:color w:val="000000"/>
                <w:kern w:val="0"/>
              </w:rPr>
              <w:t>存在跑冒滴漏现象</w:t>
            </w:r>
          </w:p>
        </w:tc>
        <w:tc>
          <w:tcPr>
            <w:tcW w:w="1206" w:type="dxa"/>
            <w:tcBorders>
              <w:top w:val="nil"/>
              <w:left w:val="nil"/>
              <w:bottom w:val="single" w:color="auto" w:sz="8" w:space="0"/>
              <w:right w:val="single" w:color="auto" w:sz="8" w:space="0"/>
            </w:tcBorders>
            <w:vAlign w:val="center"/>
          </w:tcPr>
          <w:p w14:paraId="05241499">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46E16E51">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414F5603">
            <w:pPr>
              <w:pStyle w:val="24"/>
              <w:spacing w:line="240" w:lineRule="auto"/>
              <w:ind w:firstLine="0" w:firstLineChars="0"/>
              <w:rPr>
                <w:color w:val="000000"/>
                <w:kern w:val="0"/>
              </w:rPr>
            </w:pPr>
          </w:p>
        </w:tc>
      </w:tr>
      <w:tr w14:paraId="248C6173">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8" w:space="0"/>
              <w:right w:val="single" w:color="auto" w:sz="8" w:space="0"/>
            </w:tcBorders>
            <w:vAlign w:val="center"/>
          </w:tcPr>
          <w:p w14:paraId="6F02412F">
            <w:pPr>
              <w:pStyle w:val="24"/>
              <w:spacing w:line="240" w:lineRule="auto"/>
              <w:ind w:firstLine="0" w:firstLineChars="0"/>
              <w:rPr>
                <w:color w:val="000000"/>
                <w:kern w:val="0"/>
              </w:rPr>
            </w:pPr>
            <w:r>
              <w:rPr>
                <w:color w:val="000000"/>
                <w:kern w:val="0"/>
              </w:rPr>
              <w:t>1</w:t>
            </w:r>
            <w:r>
              <w:rPr>
                <w:rFonts w:hint="eastAsia"/>
                <w:color w:val="000000"/>
                <w:kern w:val="0"/>
                <w:lang w:val="en-US" w:eastAsia="zh-CN"/>
              </w:rPr>
              <w:t>0</w:t>
            </w:r>
          </w:p>
        </w:tc>
        <w:tc>
          <w:tcPr>
            <w:tcW w:w="4230" w:type="dxa"/>
            <w:tcBorders>
              <w:top w:val="nil"/>
              <w:left w:val="nil"/>
              <w:bottom w:val="single" w:color="auto" w:sz="8" w:space="0"/>
              <w:right w:val="single" w:color="auto" w:sz="8" w:space="0"/>
            </w:tcBorders>
            <w:vAlign w:val="center"/>
          </w:tcPr>
          <w:p w14:paraId="65671ED5">
            <w:pPr>
              <w:pStyle w:val="24"/>
              <w:spacing w:line="240" w:lineRule="auto"/>
              <w:ind w:firstLine="0" w:firstLineChars="0"/>
              <w:jc w:val="both"/>
              <w:rPr>
                <w:color w:val="000000"/>
                <w:kern w:val="0"/>
              </w:rPr>
            </w:pPr>
            <w:r>
              <w:rPr>
                <w:rFonts w:hint="eastAsia"/>
                <w:color w:val="000000"/>
                <w:kern w:val="0"/>
                <w:lang w:val="en-US" w:eastAsia="zh-CN"/>
              </w:rPr>
              <w:t>设置有</w:t>
            </w:r>
            <w:r>
              <w:rPr>
                <w:rFonts w:hint="eastAsia"/>
                <w:color w:val="000000"/>
                <w:kern w:val="0"/>
              </w:rPr>
              <w:t>废水处理设施并运行良好</w:t>
            </w:r>
          </w:p>
        </w:tc>
        <w:tc>
          <w:tcPr>
            <w:tcW w:w="1206" w:type="dxa"/>
            <w:tcBorders>
              <w:top w:val="nil"/>
              <w:left w:val="nil"/>
              <w:bottom w:val="single" w:color="auto" w:sz="8" w:space="0"/>
              <w:right w:val="single" w:color="auto" w:sz="8" w:space="0"/>
            </w:tcBorders>
            <w:vAlign w:val="center"/>
          </w:tcPr>
          <w:p w14:paraId="2FC9B070">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0C0A82FC">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567AA72D">
            <w:pPr>
              <w:pStyle w:val="24"/>
              <w:spacing w:line="240" w:lineRule="auto"/>
              <w:ind w:firstLine="0" w:firstLineChars="0"/>
              <w:rPr>
                <w:color w:val="000000"/>
                <w:kern w:val="0"/>
              </w:rPr>
            </w:pPr>
          </w:p>
        </w:tc>
      </w:tr>
      <w:tr w14:paraId="13E392E4">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8" w:space="0"/>
              <w:right w:val="single" w:color="auto" w:sz="8" w:space="0"/>
            </w:tcBorders>
            <w:vAlign w:val="center"/>
          </w:tcPr>
          <w:p w14:paraId="6A7CD502">
            <w:pPr>
              <w:pStyle w:val="24"/>
              <w:spacing w:line="240" w:lineRule="auto"/>
              <w:ind w:firstLine="0" w:firstLineChars="0"/>
              <w:rPr>
                <w:rFonts w:hint="eastAsia" w:eastAsia="宋体"/>
                <w:color w:val="000000"/>
                <w:kern w:val="0"/>
                <w:lang w:eastAsia="zh-CN"/>
              </w:rPr>
            </w:pPr>
            <w:r>
              <w:rPr>
                <w:color w:val="000000"/>
                <w:kern w:val="0"/>
              </w:rPr>
              <w:t>1</w:t>
            </w:r>
            <w:r>
              <w:rPr>
                <w:rFonts w:hint="eastAsia"/>
                <w:color w:val="000000"/>
                <w:kern w:val="0"/>
                <w:lang w:val="en-US" w:eastAsia="zh-CN"/>
              </w:rPr>
              <w:t>1</w:t>
            </w:r>
          </w:p>
        </w:tc>
        <w:tc>
          <w:tcPr>
            <w:tcW w:w="4230" w:type="dxa"/>
            <w:tcBorders>
              <w:top w:val="nil"/>
              <w:left w:val="nil"/>
              <w:bottom w:val="single" w:color="auto" w:sz="8" w:space="0"/>
              <w:right w:val="single" w:color="auto" w:sz="8" w:space="0"/>
            </w:tcBorders>
            <w:vAlign w:val="center"/>
          </w:tcPr>
          <w:p w14:paraId="3744DA90">
            <w:pPr>
              <w:pStyle w:val="24"/>
              <w:spacing w:line="240" w:lineRule="auto"/>
              <w:ind w:firstLine="0" w:firstLineChars="0"/>
              <w:jc w:val="both"/>
              <w:rPr>
                <w:color w:val="000000"/>
                <w:kern w:val="0"/>
              </w:rPr>
            </w:pPr>
            <w:r>
              <w:rPr>
                <w:rFonts w:hint="eastAsia"/>
                <w:color w:val="000000"/>
                <w:kern w:val="0"/>
              </w:rPr>
              <w:t>废水处理设施定期维护并有运维记录</w:t>
            </w:r>
          </w:p>
        </w:tc>
        <w:tc>
          <w:tcPr>
            <w:tcW w:w="1206" w:type="dxa"/>
            <w:tcBorders>
              <w:top w:val="nil"/>
              <w:left w:val="nil"/>
              <w:bottom w:val="single" w:color="auto" w:sz="8" w:space="0"/>
              <w:right w:val="single" w:color="auto" w:sz="8" w:space="0"/>
            </w:tcBorders>
            <w:vAlign w:val="center"/>
          </w:tcPr>
          <w:p w14:paraId="3CEFE6C5">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1DB17516">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4F0BD5EA">
            <w:pPr>
              <w:pStyle w:val="24"/>
              <w:spacing w:line="240" w:lineRule="auto"/>
              <w:ind w:firstLine="0" w:firstLineChars="0"/>
              <w:rPr>
                <w:color w:val="000000"/>
                <w:kern w:val="0"/>
              </w:rPr>
            </w:pPr>
          </w:p>
        </w:tc>
      </w:tr>
      <w:tr w14:paraId="62987818">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8" w:space="0"/>
              <w:right w:val="single" w:color="auto" w:sz="8" w:space="0"/>
            </w:tcBorders>
            <w:vAlign w:val="center"/>
          </w:tcPr>
          <w:p w14:paraId="54767167">
            <w:pPr>
              <w:pStyle w:val="24"/>
              <w:spacing w:line="240" w:lineRule="auto"/>
              <w:ind w:firstLine="0" w:firstLineChars="0"/>
              <w:rPr>
                <w:rFonts w:hint="eastAsia" w:eastAsia="宋体"/>
                <w:color w:val="000000"/>
                <w:kern w:val="0"/>
                <w:lang w:eastAsia="zh-CN"/>
              </w:rPr>
            </w:pPr>
            <w:r>
              <w:rPr>
                <w:color w:val="000000"/>
                <w:kern w:val="0"/>
              </w:rPr>
              <w:t>1</w:t>
            </w:r>
            <w:r>
              <w:rPr>
                <w:rFonts w:hint="eastAsia"/>
                <w:color w:val="000000"/>
                <w:kern w:val="0"/>
                <w:lang w:val="en-US" w:eastAsia="zh-CN"/>
              </w:rPr>
              <w:t>2</w:t>
            </w:r>
          </w:p>
        </w:tc>
        <w:tc>
          <w:tcPr>
            <w:tcW w:w="4230" w:type="dxa"/>
            <w:tcBorders>
              <w:top w:val="nil"/>
              <w:left w:val="nil"/>
              <w:bottom w:val="single" w:color="auto" w:sz="8" w:space="0"/>
              <w:right w:val="single" w:color="auto" w:sz="8" w:space="0"/>
            </w:tcBorders>
            <w:vAlign w:val="center"/>
          </w:tcPr>
          <w:p w14:paraId="1EDB14C8">
            <w:pPr>
              <w:pStyle w:val="24"/>
              <w:spacing w:line="240" w:lineRule="auto"/>
              <w:ind w:firstLine="0" w:firstLineChars="0"/>
              <w:jc w:val="both"/>
              <w:rPr>
                <w:color w:val="000000"/>
                <w:kern w:val="0"/>
              </w:rPr>
            </w:pPr>
            <w:r>
              <w:rPr>
                <w:rFonts w:hint="eastAsia"/>
                <w:color w:val="000000"/>
                <w:kern w:val="0"/>
              </w:rPr>
              <w:t>设置有中水回用</w:t>
            </w:r>
          </w:p>
        </w:tc>
        <w:tc>
          <w:tcPr>
            <w:tcW w:w="1206" w:type="dxa"/>
            <w:tcBorders>
              <w:top w:val="nil"/>
              <w:left w:val="nil"/>
              <w:bottom w:val="single" w:color="auto" w:sz="8" w:space="0"/>
              <w:right w:val="single" w:color="auto" w:sz="8" w:space="0"/>
            </w:tcBorders>
            <w:vAlign w:val="center"/>
          </w:tcPr>
          <w:p w14:paraId="55264637">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159E4A01">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68D828E4">
            <w:pPr>
              <w:pStyle w:val="24"/>
              <w:spacing w:line="240" w:lineRule="auto"/>
              <w:ind w:firstLine="0" w:firstLineChars="0"/>
              <w:rPr>
                <w:color w:val="000000"/>
                <w:kern w:val="0"/>
              </w:rPr>
            </w:pPr>
          </w:p>
        </w:tc>
      </w:tr>
      <w:tr w14:paraId="3973ED7D">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8" w:space="0"/>
              <w:right w:val="single" w:color="auto" w:sz="8" w:space="0"/>
            </w:tcBorders>
            <w:vAlign w:val="center"/>
          </w:tcPr>
          <w:p w14:paraId="74916751">
            <w:pPr>
              <w:pStyle w:val="24"/>
              <w:spacing w:line="240" w:lineRule="auto"/>
              <w:ind w:firstLine="0" w:firstLineChars="0"/>
              <w:rPr>
                <w:rFonts w:hint="eastAsia" w:eastAsia="宋体"/>
                <w:color w:val="000000"/>
                <w:kern w:val="0"/>
                <w:lang w:eastAsia="zh-CN"/>
              </w:rPr>
            </w:pPr>
            <w:r>
              <w:rPr>
                <w:rFonts w:hint="eastAsia"/>
                <w:color w:val="000000"/>
                <w:kern w:val="0"/>
              </w:rPr>
              <w:t>1</w:t>
            </w:r>
            <w:r>
              <w:rPr>
                <w:rFonts w:hint="eastAsia"/>
                <w:color w:val="000000"/>
                <w:kern w:val="0"/>
                <w:lang w:val="en-US" w:eastAsia="zh-CN"/>
              </w:rPr>
              <w:t>3</w:t>
            </w:r>
          </w:p>
        </w:tc>
        <w:tc>
          <w:tcPr>
            <w:tcW w:w="4230" w:type="dxa"/>
            <w:tcBorders>
              <w:top w:val="nil"/>
              <w:left w:val="nil"/>
              <w:bottom w:val="single" w:color="auto" w:sz="8" w:space="0"/>
              <w:right w:val="single" w:color="auto" w:sz="8" w:space="0"/>
            </w:tcBorders>
            <w:vAlign w:val="center"/>
          </w:tcPr>
          <w:p w14:paraId="1834EC6B">
            <w:pPr>
              <w:pStyle w:val="24"/>
              <w:spacing w:line="240" w:lineRule="auto"/>
              <w:ind w:firstLine="0" w:firstLineChars="0"/>
              <w:jc w:val="both"/>
              <w:rPr>
                <w:color w:val="000000"/>
                <w:kern w:val="0"/>
              </w:rPr>
            </w:pPr>
            <w:r>
              <w:rPr>
                <w:rFonts w:hint="eastAsia"/>
                <w:color w:val="000000"/>
                <w:kern w:val="0"/>
              </w:rPr>
              <w:t>水进行重复利用</w:t>
            </w:r>
          </w:p>
        </w:tc>
        <w:tc>
          <w:tcPr>
            <w:tcW w:w="1206" w:type="dxa"/>
            <w:tcBorders>
              <w:top w:val="nil"/>
              <w:left w:val="nil"/>
              <w:bottom w:val="single" w:color="auto" w:sz="8" w:space="0"/>
              <w:right w:val="single" w:color="auto" w:sz="8" w:space="0"/>
            </w:tcBorders>
            <w:vAlign w:val="center"/>
          </w:tcPr>
          <w:p w14:paraId="7F4AFA0C">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1AD1047B">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175401DA">
            <w:pPr>
              <w:pStyle w:val="24"/>
              <w:spacing w:line="240" w:lineRule="auto"/>
              <w:ind w:firstLine="0" w:firstLineChars="0"/>
              <w:rPr>
                <w:color w:val="000000"/>
                <w:kern w:val="0"/>
              </w:rPr>
            </w:pPr>
          </w:p>
        </w:tc>
      </w:tr>
      <w:tr w14:paraId="40313518">
        <w:tblPrEx>
          <w:tblCellMar>
            <w:top w:w="0" w:type="dxa"/>
            <w:left w:w="108" w:type="dxa"/>
            <w:bottom w:w="0" w:type="dxa"/>
            <w:right w:w="108" w:type="dxa"/>
          </w:tblCellMar>
        </w:tblPrEx>
        <w:trPr>
          <w:trHeight w:val="340" w:hRule="atLeast"/>
        </w:trPr>
        <w:tc>
          <w:tcPr>
            <w:tcW w:w="671" w:type="dxa"/>
            <w:tcBorders>
              <w:top w:val="nil"/>
              <w:left w:val="single" w:color="auto" w:sz="8" w:space="0"/>
              <w:bottom w:val="single" w:color="auto" w:sz="8" w:space="0"/>
              <w:right w:val="single" w:color="auto" w:sz="8" w:space="0"/>
            </w:tcBorders>
            <w:vAlign w:val="center"/>
          </w:tcPr>
          <w:p w14:paraId="1FBB5116">
            <w:pPr>
              <w:pStyle w:val="24"/>
              <w:spacing w:line="240" w:lineRule="auto"/>
              <w:ind w:firstLine="0" w:firstLineChars="0"/>
              <w:rPr>
                <w:rFonts w:hint="eastAsia" w:eastAsia="宋体"/>
                <w:color w:val="000000"/>
                <w:kern w:val="0"/>
                <w:lang w:eastAsia="zh-CN"/>
              </w:rPr>
            </w:pPr>
            <w:r>
              <w:rPr>
                <w:color w:val="000000"/>
                <w:kern w:val="0"/>
              </w:rPr>
              <w:t>1</w:t>
            </w:r>
            <w:r>
              <w:rPr>
                <w:rFonts w:hint="eastAsia"/>
                <w:color w:val="000000"/>
                <w:kern w:val="0"/>
                <w:lang w:val="en-US" w:eastAsia="zh-CN"/>
              </w:rPr>
              <w:t>4</w:t>
            </w:r>
          </w:p>
        </w:tc>
        <w:tc>
          <w:tcPr>
            <w:tcW w:w="4230" w:type="dxa"/>
            <w:tcBorders>
              <w:top w:val="nil"/>
              <w:left w:val="nil"/>
              <w:bottom w:val="single" w:color="auto" w:sz="8" w:space="0"/>
              <w:right w:val="single" w:color="auto" w:sz="8" w:space="0"/>
            </w:tcBorders>
            <w:vAlign w:val="center"/>
          </w:tcPr>
          <w:p w14:paraId="0994D3DB">
            <w:pPr>
              <w:pStyle w:val="24"/>
              <w:spacing w:line="240" w:lineRule="auto"/>
              <w:ind w:firstLine="0" w:firstLineChars="0"/>
              <w:jc w:val="both"/>
              <w:rPr>
                <w:color w:val="000000"/>
                <w:kern w:val="0"/>
              </w:rPr>
            </w:pPr>
            <w:r>
              <w:rPr>
                <w:rFonts w:hint="eastAsia"/>
                <w:color w:val="000000"/>
                <w:kern w:val="0"/>
              </w:rPr>
              <w:t>厂区实现雨污分流</w:t>
            </w:r>
          </w:p>
        </w:tc>
        <w:tc>
          <w:tcPr>
            <w:tcW w:w="1206" w:type="dxa"/>
            <w:tcBorders>
              <w:top w:val="nil"/>
              <w:left w:val="nil"/>
              <w:bottom w:val="single" w:color="auto" w:sz="8" w:space="0"/>
              <w:right w:val="single" w:color="auto" w:sz="8" w:space="0"/>
            </w:tcBorders>
            <w:vAlign w:val="center"/>
          </w:tcPr>
          <w:p w14:paraId="1656361A">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0BF00581">
            <w:pPr>
              <w:pStyle w:val="24"/>
              <w:spacing w:line="240" w:lineRule="auto"/>
              <w:ind w:firstLine="0" w:firstLineChars="0"/>
              <w:rPr>
                <w:color w:val="000000"/>
                <w:kern w:val="0"/>
              </w:rPr>
            </w:pPr>
          </w:p>
        </w:tc>
        <w:tc>
          <w:tcPr>
            <w:tcW w:w="1206" w:type="dxa"/>
            <w:tcBorders>
              <w:top w:val="nil"/>
              <w:left w:val="nil"/>
              <w:bottom w:val="single" w:color="auto" w:sz="8" w:space="0"/>
              <w:right w:val="single" w:color="auto" w:sz="8" w:space="0"/>
            </w:tcBorders>
            <w:vAlign w:val="center"/>
          </w:tcPr>
          <w:p w14:paraId="5EB9F2AE">
            <w:pPr>
              <w:pStyle w:val="24"/>
              <w:spacing w:line="240" w:lineRule="auto"/>
              <w:ind w:firstLine="0" w:firstLineChars="0"/>
              <w:rPr>
                <w:color w:val="000000"/>
                <w:kern w:val="0"/>
              </w:rPr>
            </w:pPr>
          </w:p>
        </w:tc>
      </w:tr>
      <w:tr w14:paraId="20B44561">
        <w:tblPrEx>
          <w:tblCellMar>
            <w:top w:w="0" w:type="dxa"/>
            <w:left w:w="108" w:type="dxa"/>
            <w:bottom w:w="0" w:type="dxa"/>
            <w:right w:w="108" w:type="dxa"/>
          </w:tblCellMar>
        </w:tblPrEx>
        <w:trPr>
          <w:trHeight w:val="340" w:hRule="atLeast"/>
        </w:trPr>
        <w:tc>
          <w:tcPr>
            <w:tcW w:w="671" w:type="dxa"/>
            <w:tcBorders>
              <w:top w:val="single" w:color="auto" w:sz="8" w:space="0"/>
              <w:left w:val="single" w:color="auto" w:sz="8" w:space="0"/>
              <w:bottom w:val="single" w:color="auto" w:sz="8" w:space="0"/>
              <w:right w:val="single" w:color="auto" w:sz="8" w:space="0"/>
            </w:tcBorders>
            <w:vAlign w:val="center"/>
          </w:tcPr>
          <w:p w14:paraId="412AEEB0">
            <w:pPr>
              <w:pStyle w:val="24"/>
              <w:spacing w:line="240" w:lineRule="auto"/>
              <w:ind w:firstLine="0" w:firstLineChars="0"/>
              <w:rPr>
                <w:rFonts w:hint="eastAsia" w:eastAsia="宋体"/>
                <w:color w:val="000000"/>
                <w:kern w:val="0"/>
                <w:lang w:eastAsia="zh-CN"/>
              </w:rPr>
            </w:pPr>
            <w:r>
              <w:rPr>
                <w:color w:val="000000"/>
                <w:kern w:val="0"/>
              </w:rPr>
              <w:t>1</w:t>
            </w:r>
            <w:r>
              <w:rPr>
                <w:rFonts w:hint="eastAsia"/>
                <w:color w:val="000000"/>
                <w:kern w:val="0"/>
                <w:lang w:val="en-US" w:eastAsia="zh-CN"/>
              </w:rPr>
              <w:t>5</w:t>
            </w:r>
          </w:p>
        </w:tc>
        <w:tc>
          <w:tcPr>
            <w:tcW w:w="4230" w:type="dxa"/>
            <w:tcBorders>
              <w:top w:val="single" w:color="auto" w:sz="8" w:space="0"/>
              <w:left w:val="single" w:color="auto" w:sz="8" w:space="0"/>
              <w:bottom w:val="single" w:color="auto" w:sz="8" w:space="0"/>
              <w:right w:val="single" w:color="auto" w:sz="8" w:space="0"/>
            </w:tcBorders>
            <w:vAlign w:val="center"/>
          </w:tcPr>
          <w:p w14:paraId="21924542">
            <w:pPr>
              <w:pStyle w:val="24"/>
              <w:spacing w:line="240" w:lineRule="auto"/>
              <w:ind w:firstLine="0" w:firstLineChars="0"/>
              <w:jc w:val="both"/>
              <w:rPr>
                <w:color w:val="000000"/>
                <w:kern w:val="0"/>
              </w:rPr>
            </w:pPr>
            <w:r>
              <w:rPr>
                <w:rFonts w:hint="eastAsia"/>
                <w:color w:val="000000"/>
                <w:kern w:val="0"/>
              </w:rPr>
              <w:t>废水分质分流处理</w:t>
            </w:r>
          </w:p>
        </w:tc>
        <w:tc>
          <w:tcPr>
            <w:tcW w:w="1206" w:type="dxa"/>
            <w:tcBorders>
              <w:top w:val="single" w:color="auto" w:sz="8" w:space="0"/>
              <w:left w:val="single" w:color="auto" w:sz="8" w:space="0"/>
              <w:bottom w:val="single" w:color="auto" w:sz="8" w:space="0"/>
              <w:right w:val="single" w:color="auto" w:sz="8" w:space="0"/>
            </w:tcBorders>
            <w:vAlign w:val="center"/>
          </w:tcPr>
          <w:p w14:paraId="1C6E09B9">
            <w:pPr>
              <w:pStyle w:val="24"/>
              <w:spacing w:line="240" w:lineRule="auto"/>
              <w:ind w:firstLine="0" w:firstLineChars="0"/>
              <w:rPr>
                <w:color w:val="000000"/>
                <w:kern w:val="0"/>
              </w:rPr>
            </w:pPr>
          </w:p>
        </w:tc>
        <w:tc>
          <w:tcPr>
            <w:tcW w:w="1206" w:type="dxa"/>
            <w:tcBorders>
              <w:top w:val="single" w:color="auto" w:sz="8" w:space="0"/>
              <w:left w:val="single" w:color="auto" w:sz="8" w:space="0"/>
              <w:bottom w:val="single" w:color="auto" w:sz="8" w:space="0"/>
              <w:right w:val="single" w:color="auto" w:sz="8" w:space="0"/>
            </w:tcBorders>
            <w:vAlign w:val="center"/>
          </w:tcPr>
          <w:p w14:paraId="1AB4C6B4">
            <w:pPr>
              <w:pStyle w:val="24"/>
              <w:spacing w:line="240" w:lineRule="auto"/>
              <w:ind w:firstLine="0" w:firstLineChars="0"/>
              <w:rPr>
                <w:color w:val="000000"/>
                <w:kern w:val="0"/>
              </w:rPr>
            </w:pPr>
          </w:p>
        </w:tc>
        <w:tc>
          <w:tcPr>
            <w:tcW w:w="1206" w:type="dxa"/>
            <w:tcBorders>
              <w:top w:val="single" w:color="auto" w:sz="8" w:space="0"/>
              <w:left w:val="single" w:color="auto" w:sz="8" w:space="0"/>
              <w:bottom w:val="single" w:color="auto" w:sz="8" w:space="0"/>
              <w:right w:val="single" w:color="auto" w:sz="8" w:space="0"/>
            </w:tcBorders>
            <w:vAlign w:val="center"/>
          </w:tcPr>
          <w:p w14:paraId="1DDD0096">
            <w:pPr>
              <w:pStyle w:val="24"/>
              <w:spacing w:line="240" w:lineRule="auto"/>
              <w:ind w:firstLine="0" w:firstLineChars="0"/>
              <w:rPr>
                <w:color w:val="000000"/>
                <w:kern w:val="0"/>
              </w:rPr>
            </w:pPr>
          </w:p>
        </w:tc>
      </w:tr>
      <w:tr w14:paraId="403B7184">
        <w:tblPrEx>
          <w:tblCellMar>
            <w:top w:w="0" w:type="dxa"/>
            <w:left w:w="108" w:type="dxa"/>
            <w:bottom w:w="0" w:type="dxa"/>
            <w:right w:w="108" w:type="dxa"/>
          </w:tblCellMar>
        </w:tblPrEx>
        <w:trPr>
          <w:trHeight w:val="340" w:hRule="atLeast"/>
        </w:trPr>
        <w:tc>
          <w:tcPr>
            <w:tcW w:w="671" w:type="dxa"/>
            <w:tcBorders>
              <w:top w:val="single" w:color="auto" w:sz="8" w:space="0"/>
              <w:left w:val="single" w:color="auto" w:sz="8" w:space="0"/>
              <w:bottom w:val="single" w:color="auto" w:sz="8" w:space="0"/>
              <w:right w:val="single" w:color="auto" w:sz="8" w:space="0"/>
            </w:tcBorders>
            <w:vAlign w:val="center"/>
          </w:tcPr>
          <w:p w14:paraId="3B724C29">
            <w:pPr>
              <w:pStyle w:val="24"/>
              <w:spacing w:line="240" w:lineRule="auto"/>
              <w:ind w:firstLine="0" w:firstLineChars="0"/>
              <w:rPr>
                <w:rFonts w:hint="eastAsia" w:eastAsia="宋体"/>
                <w:color w:val="000000"/>
                <w:kern w:val="0"/>
                <w:lang w:eastAsia="zh-CN"/>
              </w:rPr>
            </w:pPr>
            <w:r>
              <w:rPr>
                <w:rFonts w:hint="eastAsia"/>
                <w:color w:val="000000"/>
                <w:kern w:val="0"/>
              </w:rPr>
              <w:t>1</w:t>
            </w:r>
            <w:r>
              <w:rPr>
                <w:rFonts w:hint="eastAsia"/>
                <w:color w:val="000000"/>
                <w:kern w:val="0"/>
                <w:lang w:val="en-US" w:eastAsia="zh-CN"/>
              </w:rPr>
              <w:t>6</w:t>
            </w:r>
          </w:p>
        </w:tc>
        <w:tc>
          <w:tcPr>
            <w:tcW w:w="4230" w:type="dxa"/>
            <w:tcBorders>
              <w:top w:val="single" w:color="auto" w:sz="8" w:space="0"/>
              <w:left w:val="single" w:color="auto" w:sz="8" w:space="0"/>
              <w:bottom w:val="single" w:color="auto" w:sz="8" w:space="0"/>
              <w:right w:val="single" w:color="auto" w:sz="8" w:space="0"/>
            </w:tcBorders>
            <w:vAlign w:val="center"/>
          </w:tcPr>
          <w:p w14:paraId="3D990DE2">
            <w:pPr>
              <w:pStyle w:val="24"/>
              <w:spacing w:line="240" w:lineRule="auto"/>
              <w:ind w:firstLine="0" w:firstLineChars="0"/>
              <w:jc w:val="both"/>
              <w:rPr>
                <w:color w:val="000000"/>
                <w:kern w:val="0"/>
              </w:rPr>
            </w:pPr>
            <w:r>
              <w:rPr>
                <w:rFonts w:hint="eastAsia"/>
                <w:color w:val="000000"/>
                <w:kern w:val="0"/>
                <w:lang w:val="en-US" w:eastAsia="zh-CN"/>
              </w:rPr>
              <w:t>废水</w:t>
            </w:r>
            <w:r>
              <w:rPr>
                <w:rFonts w:hint="eastAsia"/>
                <w:color w:val="000000"/>
                <w:kern w:val="0"/>
              </w:rPr>
              <w:t>排放口</w:t>
            </w:r>
            <w:r>
              <w:rPr>
                <w:rFonts w:hint="eastAsia"/>
                <w:color w:val="000000"/>
                <w:kern w:val="0"/>
                <w:lang w:val="en-US" w:eastAsia="zh-CN"/>
              </w:rPr>
              <w:t>设置规范</w:t>
            </w:r>
          </w:p>
        </w:tc>
        <w:tc>
          <w:tcPr>
            <w:tcW w:w="1206" w:type="dxa"/>
            <w:tcBorders>
              <w:top w:val="single" w:color="auto" w:sz="8" w:space="0"/>
              <w:left w:val="single" w:color="auto" w:sz="8" w:space="0"/>
              <w:bottom w:val="single" w:color="auto" w:sz="8" w:space="0"/>
              <w:right w:val="single" w:color="auto" w:sz="8" w:space="0"/>
            </w:tcBorders>
            <w:vAlign w:val="center"/>
          </w:tcPr>
          <w:p w14:paraId="56C9F550">
            <w:pPr>
              <w:pStyle w:val="24"/>
              <w:spacing w:line="240" w:lineRule="auto"/>
              <w:ind w:firstLine="0" w:firstLineChars="0"/>
              <w:rPr>
                <w:color w:val="000000"/>
                <w:kern w:val="0"/>
              </w:rPr>
            </w:pPr>
          </w:p>
        </w:tc>
        <w:tc>
          <w:tcPr>
            <w:tcW w:w="1206" w:type="dxa"/>
            <w:tcBorders>
              <w:top w:val="single" w:color="auto" w:sz="8" w:space="0"/>
              <w:left w:val="single" w:color="auto" w:sz="8" w:space="0"/>
              <w:bottom w:val="single" w:color="auto" w:sz="8" w:space="0"/>
              <w:right w:val="single" w:color="auto" w:sz="8" w:space="0"/>
            </w:tcBorders>
            <w:vAlign w:val="center"/>
          </w:tcPr>
          <w:p w14:paraId="685D3BC7">
            <w:pPr>
              <w:pStyle w:val="24"/>
              <w:spacing w:line="240" w:lineRule="auto"/>
              <w:ind w:firstLine="0" w:firstLineChars="0"/>
              <w:rPr>
                <w:color w:val="000000"/>
                <w:kern w:val="0"/>
              </w:rPr>
            </w:pPr>
          </w:p>
        </w:tc>
        <w:tc>
          <w:tcPr>
            <w:tcW w:w="1206" w:type="dxa"/>
            <w:tcBorders>
              <w:top w:val="single" w:color="auto" w:sz="8" w:space="0"/>
              <w:left w:val="single" w:color="auto" w:sz="8" w:space="0"/>
              <w:bottom w:val="single" w:color="auto" w:sz="8" w:space="0"/>
              <w:right w:val="single" w:color="auto" w:sz="8" w:space="0"/>
            </w:tcBorders>
            <w:vAlign w:val="center"/>
          </w:tcPr>
          <w:p w14:paraId="1030A38C">
            <w:pPr>
              <w:pStyle w:val="24"/>
              <w:spacing w:line="240" w:lineRule="auto"/>
              <w:ind w:firstLine="0" w:firstLineChars="0"/>
              <w:rPr>
                <w:color w:val="000000"/>
                <w:kern w:val="0"/>
              </w:rPr>
            </w:pPr>
          </w:p>
        </w:tc>
      </w:tr>
      <w:tr w14:paraId="285FAEE0">
        <w:tblPrEx>
          <w:tblCellMar>
            <w:top w:w="0" w:type="dxa"/>
            <w:left w:w="108" w:type="dxa"/>
            <w:bottom w:w="0" w:type="dxa"/>
            <w:right w:w="108" w:type="dxa"/>
          </w:tblCellMar>
        </w:tblPrEx>
        <w:trPr>
          <w:trHeight w:val="340" w:hRule="atLeast"/>
        </w:trPr>
        <w:tc>
          <w:tcPr>
            <w:tcW w:w="671" w:type="dxa"/>
            <w:tcBorders>
              <w:top w:val="single" w:color="auto" w:sz="8" w:space="0"/>
              <w:left w:val="single" w:color="auto" w:sz="8" w:space="0"/>
              <w:bottom w:val="single" w:color="auto" w:sz="8" w:space="0"/>
              <w:right w:val="single" w:color="auto" w:sz="8" w:space="0"/>
            </w:tcBorders>
            <w:vAlign w:val="center"/>
          </w:tcPr>
          <w:p w14:paraId="09EB73FB">
            <w:pPr>
              <w:pStyle w:val="24"/>
              <w:spacing w:line="240" w:lineRule="auto"/>
              <w:ind w:firstLine="0" w:firstLineChars="0"/>
              <w:rPr>
                <w:rFonts w:hint="eastAsia" w:eastAsia="宋体"/>
                <w:color w:val="000000"/>
                <w:kern w:val="0"/>
                <w:lang w:eastAsia="zh-CN"/>
              </w:rPr>
            </w:pPr>
            <w:r>
              <w:rPr>
                <w:rFonts w:hint="eastAsia"/>
                <w:color w:val="000000"/>
                <w:kern w:val="0"/>
              </w:rPr>
              <w:t>1</w:t>
            </w:r>
            <w:r>
              <w:rPr>
                <w:rFonts w:hint="eastAsia"/>
                <w:color w:val="000000"/>
                <w:kern w:val="0"/>
                <w:lang w:val="en-US" w:eastAsia="zh-CN"/>
              </w:rPr>
              <w:t>7</w:t>
            </w:r>
          </w:p>
        </w:tc>
        <w:tc>
          <w:tcPr>
            <w:tcW w:w="4230" w:type="dxa"/>
            <w:tcBorders>
              <w:top w:val="single" w:color="auto" w:sz="8" w:space="0"/>
              <w:left w:val="single" w:color="auto" w:sz="8" w:space="0"/>
              <w:bottom w:val="single" w:color="auto" w:sz="8" w:space="0"/>
              <w:right w:val="single" w:color="auto" w:sz="8" w:space="0"/>
            </w:tcBorders>
            <w:vAlign w:val="center"/>
          </w:tcPr>
          <w:p w14:paraId="72322A74">
            <w:pPr>
              <w:pStyle w:val="24"/>
              <w:spacing w:line="240" w:lineRule="auto"/>
              <w:ind w:firstLine="0" w:firstLineChars="0"/>
              <w:jc w:val="both"/>
              <w:rPr>
                <w:color w:val="000000"/>
                <w:kern w:val="0"/>
              </w:rPr>
            </w:pPr>
            <w:r>
              <w:rPr>
                <w:rFonts w:hint="eastAsia"/>
                <w:color w:val="000000"/>
                <w:kern w:val="0"/>
                <w:lang w:val="en-US" w:eastAsia="zh-CN"/>
              </w:rPr>
              <w:t>按照相关法律法规和技术规范要求，组织开展废气自行监测，且监测</w:t>
            </w:r>
            <w:r>
              <w:rPr>
                <w:rFonts w:hint="eastAsia"/>
                <w:color w:val="000000"/>
                <w:kern w:val="0"/>
              </w:rPr>
              <w:t>记录完整真实</w:t>
            </w:r>
          </w:p>
        </w:tc>
        <w:tc>
          <w:tcPr>
            <w:tcW w:w="1206" w:type="dxa"/>
            <w:tcBorders>
              <w:top w:val="single" w:color="auto" w:sz="8" w:space="0"/>
              <w:left w:val="single" w:color="auto" w:sz="8" w:space="0"/>
              <w:bottom w:val="single" w:color="auto" w:sz="8" w:space="0"/>
              <w:right w:val="single" w:color="auto" w:sz="8" w:space="0"/>
            </w:tcBorders>
            <w:vAlign w:val="center"/>
          </w:tcPr>
          <w:p w14:paraId="46BFE35D">
            <w:pPr>
              <w:pStyle w:val="24"/>
              <w:spacing w:line="240" w:lineRule="auto"/>
              <w:ind w:firstLine="0" w:firstLineChars="0"/>
              <w:rPr>
                <w:color w:val="000000"/>
                <w:kern w:val="0"/>
              </w:rPr>
            </w:pPr>
          </w:p>
        </w:tc>
        <w:tc>
          <w:tcPr>
            <w:tcW w:w="1206" w:type="dxa"/>
            <w:tcBorders>
              <w:top w:val="single" w:color="auto" w:sz="8" w:space="0"/>
              <w:left w:val="single" w:color="auto" w:sz="8" w:space="0"/>
              <w:bottom w:val="single" w:color="auto" w:sz="8" w:space="0"/>
              <w:right w:val="single" w:color="auto" w:sz="8" w:space="0"/>
            </w:tcBorders>
            <w:vAlign w:val="center"/>
          </w:tcPr>
          <w:p w14:paraId="26CE9777">
            <w:pPr>
              <w:pStyle w:val="24"/>
              <w:spacing w:line="240" w:lineRule="auto"/>
              <w:ind w:firstLine="0" w:firstLineChars="0"/>
              <w:rPr>
                <w:color w:val="000000"/>
                <w:kern w:val="0"/>
              </w:rPr>
            </w:pPr>
          </w:p>
        </w:tc>
        <w:tc>
          <w:tcPr>
            <w:tcW w:w="1206" w:type="dxa"/>
            <w:tcBorders>
              <w:top w:val="single" w:color="auto" w:sz="8" w:space="0"/>
              <w:left w:val="single" w:color="auto" w:sz="8" w:space="0"/>
              <w:bottom w:val="single" w:color="auto" w:sz="8" w:space="0"/>
              <w:right w:val="single" w:color="auto" w:sz="8" w:space="0"/>
            </w:tcBorders>
            <w:vAlign w:val="center"/>
          </w:tcPr>
          <w:p w14:paraId="62E07DA5">
            <w:pPr>
              <w:pStyle w:val="24"/>
              <w:spacing w:line="240" w:lineRule="auto"/>
              <w:ind w:firstLine="0" w:firstLineChars="0"/>
              <w:rPr>
                <w:color w:val="000000"/>
                <w:kern w:val="0"/>
              </w:rPr>
            </w:pPr>
          </w:p>
        </w:tc>
      </w:tr>
      <w:tr w14:paraId="6C56FB74">
        <w:tblPrEx>
          <w:tblCellMar>
            <w:top w:w="0" w:type="dxa"/>
            <w:left w:w="108" w:type="dxa"/>
            <w:bottom w:w="0" w:type="dxa"/>
            <w:right w:w="108" w:type="dxa"/>
          </w:tblCellMar>
        </w:tblPrEx>
        <w:trPr>
          <w:trHeight w:val="340" w:hRule="atLeast"/>
        </w:trPr>
        <w:tc>
          <w:tcPr>
            <w:tcW w:w="8519" w:type="dxa"/>
            <w:gridSpan w:val="5"/>
            <w:tcBorders>
              <w:top w:val="single" w:color="auto" w:sz="8" w:space="0"/>
              <w:left w:val="single" w:color="auto" w:sz="8" w:space="0"/>
              <w:bottom w:val="single" w:color="auto" w:sz="8" w:space="0"/>
              <w:right w:val="single" w:color="auto" w:sz="8" w:space="0"/>
            </w:tcBorders>
            <w:vAlign w:val="center"/>
          </w:tcPr>
          <w:p w14:paraId="5E3AE5EF">
            <w:pPr>
              <w:pStyle w:val="24"/>
              <w:spacing w:line="240" w:lineRule="auto"/>
              <w:ind w:firstLine="0" w:firstLineChars="0"/>
              <w:rPr>
                <w:rFonts w:eastAsia="仿宋_GB2312"/>
                <w:color w:val="000000"/>
                <w:kern w:val="0"/>
              </w:rPr>
            </w:pPr>
            <w:r>
              <w:rPr>
                <w:rFonts w:hint="eastAsia"/>
                <w:b/>
                <w:bCs/>
                <w:color w:val="000000"/>
                <w:kern w:val="0"/>
              </w:rPr>
              <w:t>固体废物</w:t>
            </w:r>
          </w:p>
        </w:tc>
      </w:tr>
      <w:tr w14:paraId="26CE8271">
        <w:tblPrEx>
          <w:tblCellMar>
            <w:top w:w="0" w:type="dxa"/>
            <w:left w:w="108" w:type="dxa"/>
            <w:bottom w:w="0" w:type="dxa"/>
            <w:right w:w="108" w:type="dxa"/>
          </w:tblCellMar>
        </w:tblPrEx>
        <w:trPr>
          <w:trHeight w:val="340" w:hRule="atLeast"/>
        </w:trPr>
        <w:tc>
          <w:tcPr>
            <w:tcW w:w="671" w:type="dxa"/>
            <w:tcBorders>
              <w:top w:val="single" w:color="auto" w:sz="8" w:space="0"/>
              <w:left w:val="single" w:color="auto" w:sz="8" w:space="0"/>
              <w:bottom w:val="single" w:color="auto" w:sz="8" w:space="0"/>
              <w:right w:val="single" w:color="auto" w:sz="8" w:space="0"/>
            </w:tcBorders>
            <w:vAlign w:val="center"/>
          </w:tcPr>
          <w:p w14:paraId="2702E7A0">
            <w:pPr>
              <w:pStyle w:val="24"/>
              <w:spacing w:line="240" w:lineRule="auto"/>
              <w:ind w:firstLine="0" w:firstLineChars="0"/>
              <w:rPr>
                <w:rFonts w:hint="default" w:eastAsia="宋体"/>
                <w:color w:val="000000"/>
                <w:kern w:val="0"/>
                <w:lang w:val="en-US" w:eastAsia="zh-CN"/>
              </w:rPr>
            </w:pPr>
            <w:r>
              <w:rPr>
                <w:rFonts w:hint="eastAsia"/>
                <w:color w:val="000000"/>
                <w:kern w:val="0"/>
                <w:lang w:val="en-US" w:eastAsia="zh-CN"/>
              </w:rPr>
              <w:t>18</w:t>
            </w:r>
          </w:p>
        </w:tc>
        <w:tc>
          <w:tcPr>
            <w:tcW w:w="4230" w:type="dxa"/>
            <w:tcBorders>
              <w:top w:val="single" w:color="auto" w:sz="8" w:space="0"/>
              <w:left w:val="single" w:color="auto" w:sz="8" w:space="0"/>
              <w:bottom w:val="single" w:color="auto" w:sz="8" w:space="0"/>
              <w:right w:val="single" w:color="auto" w:sz="8" w:space="0"/>
            </w:tcBorders>
            <w:vAlign w:val="center"/>
          </w:tcPr>
          <w:p w14:paraId="5EA1D307">
            <w:pPr>
              <w:pStyle w:val="24"/>
              <w:spacing w:line="240" w:lineRule="auto"/>
              <w:ind w:firstLine="0" w:firstLineChars="0"/>
              <w:jc w:val="both"/>
              <w:rPr>
                <w:color w:val="000000"/>
                <w:kern w:val="0"/>
              </w:rPr>
            </w:pPr>
            <w:r>
              <w:rPr>
                <w:rFonts w:hint="eastAsia"/>
                <w:color w:val="000000"/>
                <w:kern w:val="0"/>
              </w:rPr>
              <w:t>对固体废物进行分类收集与贮存</w:t>
            </w:r>
          </w:p>
        </w:tc>
        <w:tc>
          <w:tcPr>
            <w:tcW w:w="1206" w:type="dxa"/>
            <w:tcBorders>
              <w:top w:val="single" w:color="auto" w:sz="8" w:space="0"/>
              <w:left w:val="single" w:color="auto" w:sz="8" w:space="0"/>
              <w:bottom w:val="single" w:color="auto" w:sz="8" w:space="0"/>
              <w:right w:val="single" w:color="auto" w:sz="8" w:space="0"/>
            </w:tcBorders>
            <w:vAlign w:val="center"/>
          </w:tcPr>
          <w:p w14:paraId="3CEF19B9">
            <w:pPr>
              <w:pStyle w:val="24"/>
              <w:spacing w:line="240" w:lineRule="auto"/>
              <w:ind w:firstLine="0" w:firstLineChars="0"/>
              <w:rPr>
                <w:color w:val="000000"/>
                <w:kern w:val="0"/>
              </w:rPr>
            </w:pPr>
          </w:p>
        </w:tc>
        <w:tc>
          <w:tcPr>
            <w:tcW w:w="1206" w:type="dxa"/>
            <w:tcBorders>
              <w:top w:val="single" w:color="auto" w:sz="8" w:space="0"/>
              <w:left w:val="single" w:color="auto" w:sz="8" w:space="0"/>
              <w:bottom w:val="single" w:color="auto" w:sz="8" w:space="0"/>
              <w:right w:val="single" w:color="auto" w:sz="8" w:space="0"/>
            </w:tcBorders>
            <w:vAlign w:val="center"/>
          </w:tcPr>
          <w:p w14:paraId="55B5039E">
            <w:pPr>
              <w:pStyle w:val="24"/>
              <w:spacing w:line="240" w:lineRule="auto"/>
              <w:ind w:firstLine="0" w:firstLineChars="0"/>
              <w:rPr>
                <w:color w:val="000000"/>
                <w:kern w:val="0"/>
              </w:rPr>
            </w:pPr>
          </w:p>
        </w:tc>
        <w:tc>
          <w:tcPr>
            <w:tcW w:w="1206" w:type="dxa"/>
            <w:tcBorders>
              <w:top w:val="single" w:color="auto" w:sz="8" w:space="0"/>
              <w:left w:val="single" w:color="auto" w:sz="8" w:space="0"/>
              <w:bottom w:val="single" w:color="auto" w:sz="8" w:space="0"/>
              <w:right w:val="single" w:color="auto" w:sz="8" w:space="0"/>
            </w:tcBorders>
            <w:vAlign w:val="center"/>
          </w:tcPr>
          <w:p w14:paraId="4A5C7056">
            <w:pPr>
              <w:pStyle w:val="24"/>
              <w:spacing w:line="240" w:lineRule="auto"/>
              <w:ind w:firstLine="0" w:firstLineChars="0"/>
              <w:rPr>
                <w:color w:val="000000"/>
                <w:kern w:val="0"/>
              </w:rPr>
            </w:pPr>
          </w:p>
        </w:tc>
      </w:tr>
      <w:tr w14:paraId="0842954E">
        <w:tblPrEx>
          <w:tblCellMar>
            <w:top w:w="0" w:type="dxa"/>
            <w:left w:w="108" w:type="dxa"/>
            <w:bottom w:w="0" w:type="dxa"/>
            <w:right w:w="108" w:type="dxa"/>
          </w:tblCellMar>
        </w:tblPrEx>
        <w:trPr>
          <w:trHeight w:val="340" w:hRule="atLeast"/>
        </w:trPr>
        <w:tc>
          <w:tcPr>
            <w:tcW w:w="671" w:type="dxa"/>
            <w:tcBorders>
              <w:top w:val="single" w:color="auto" w:sz="8" w:space="0"/>
              <w:left w:val="single" w:color="auto" w:sz="8" w:space="0"/>
              <w:bottom w:val="single" w:color="auto" w:sz="8" w:space="0"/>
              <w:right w:val="single" w:color="auto" w:sz="8" w:space="0"/>
            </w:tcBorders>
            <w:vAlign w:val="center"/>
          </w:tcPr>
          <w:p w14:paraId="1078ADB1">
            <w:pPr>
              <w:pStyle w:val="24"/>
              <w:spacing w:line="240" w:lineRule="auto"/>
              <w:ind w:firstLine="0" w:firstLineChars="0"/>
              <w:rPr>
                <w:rFonts w:hint="default" w:eastAsia="宋体"/>
                <w:color w:val="000000"/>
                <w:kern w:val="0"/>
                <w:lang w:val="en-US" w:eastAsia="zh-CN"/>
              </w:rPr>
            </w:pPr>
            <w:r>
              <w:rPr>
                <w:rFonts w:hint="eastAsia"/>
                <w:color w:val="000000"/>
                <w:kern w:val="0"/>
                <w:lang w:val="en-US" w:eastAsia="zh-CN"/>
              </w:rPr>
              <w:t>19</w:t>
            </w:r>
          </w:p>
        </w:tc>
        <w:tc>
          <w:tcPr>
            <w:tcW w:w="4230" w:type="dxa"/>
            <w:tcBorders>
              <w:top w:val="single" w:color="auto" w:sz="8" w:space="0"/>
              <w:left w:val="single" w:color="auto" w:sz="8" w:space="0"/>
              <w:bottom w:val="single" w:color="auto" w:sz="8" w:space="0"/>
              <w:right w:val="single" w:color="auto" w:sz="8" w:space="0"/>
            </w:tcBorders>
            <w:vAlign w:val="center"/>
          </w:tcPr>
          <w:p w14:paraId="6B2B17DE">
            <w:pPr>
              <w:pStyle w:val="24"/>
              <w:spacing w:line="240" w:lineRule="auto"/>
              <w:ind w:firstLine="0" w:firstLineChars="0"/>
              <w:jc w:val="both"/>
              <w:rPr>
                <w:color w:val="000000"/>
                <w:kern w:val="0"/>
              </w:rPr>
            </w:pPr>
            <w:r>
              <w:rPr>
                <w:rFonts w:hint="eastAsia"/>
                <w:color w:val="000000"/>
                <w:kern w:val="0"/>
              </w:rPr>
              <w:t>固体废物及危废暂存</w:t>
            </w:r>
            <w:r>
              <w:rPr>
                <w:rFonts w:hint="eastAsia"/>
                <w:color w:val="000000"/>
                <w:kern w:val="0"/>
                <w:lang w:val="en-US" w:eastAsia="zh-CN"/>
              </w:rPr>
              <w:t>设施处符合相关法律法规和技术规范要求</w:t>
            </w:r>
          </w:p>
        </w:tc>
        <w:tc>
          <w:tcPr>
            <w:tcW w:w="1206" w:type="dxa"/>
            <w:tcBorders>
              <w:top w:val="single" w:color="auto" w:sz="8" w:space="0"/>
              <w:left w:val="single" w:color="auto" w:sz="8" w:space="0"/>
              <w:bottom w:val="single" w:color="auto" w:sz="8" w:space="0"/>
              <w:right w:val="single" w:color="auto" w:sz="8" w:space="0"/>
            </w:tcBorders>
            <w:vAlign w:val="center"/>
          </w:tcPr>
          <w:p w14:paraId="100F7FFB">
            <w:pPr>
              <w:pStyle w:val="24"/>
              <w:spacing w:line="240" w:lineRule="auto"/>
              <w:ind w:firstLine="0" w:firstLineChars="0"/>
              <w:rPr>
                <w:color w:val="000000"/>
                <w:kern w:val="0"/>
              </w:rPr>
            </w:pPr>
          </w:p>
        </w:tc>
        <w:tc>
          <w:tcPr>
            <w:tcW w:w="1206" w:type="dxa"/>
            <w:tcBorders>
              <w:top w:val="single" w:color="auto" w:sz="8" w:space="0"/>
              <w:left w:val="single" w:color="auto" w:sz="8" w:space="0"/>
              <w:bottom w:val="single" w:color="auto" w:sz="8" w:space="0"/>
              <w:right w:val="single" w:color="auto" w:sz="8" w:space="0"/>
            </w:tcBorders>
            <w:vAlign w:val="center"/>
          </w:tcPr>
          <w:p w14:paraId="250E3799">
            <w:pPr>
              <w:pStyle w:val="24"/>
              <w:spacing w:line="240" w:lineRule="auto"/>
              <w:ind w:firstLine="0" w:firstLineChars="0"/>
              <w:rPr>
                <w:color w:val="000000"/>
                <w:kern w:val="0"/>
              </w:rPr>
            </w:pPr>
          </w:p>
        </w:tc>
        <w:tc>
          <w:tcPr>
            <w:tcW w:w="1206" w:type="dxa"/>
            <w:tcBorders>
              <w:top w:val="single" w:color="auto" w:sz="8" w:space="0"/>
              <w:left w:val="single" w:color="auto" w:sz="8" w:space="0"/>
              <w:bottom w:val="single" w:color="auto" w:sz="8" w:space="0"/>
              <w:right w:val="single" w:color="auto" w:sz="8" w:space="0"/>
            </w:tcBorders>
            <w:vAlign w:val="center"/>
          </w:tcPr>
          <w:p w14:paraId="4F13D306">
            <w:pPr>
              <w:pStyle w:val="24"/>
              <w:spacing w:line="240" w:lineRule="auto"/>
              <w:ind w:firstLine="0" w:firstLineChars="0"/>
              <w:rPr>
                <w:color w:val="000000"/>
                <w:kern w:val="0"/>
              </w:rPr>
            </w:pPr>
          </w:p>
        </w:tc>
      </w:tr>
      <w:tr w14:paraId="15F8BFF4">
        <w:tblPrEx>
          <w:tblCellMar>
            <w:top w:w="0" w:type="dxa"/>
            <w:left w:w="108" w:type="dxa"/>
            <w:bottom w:w="0" w:type="dxa"/>
            <w:right w:w="108" w:type="dxa"/>
          </w:tblCellMar>
        </w:tblPrEx>
        <w:trPr>
          <w:trHeight w:val="340" w:hRule="atLeast"/>
        </w:trPr>
        <w:tc>
          <w:tcPr>
            <w:tcW w:w="671" w:type="dxa"/>
            <w:tcBorders>
              <w:top w:val="single" w:color="auto" w:sz="8" w:space="0"/>
              <w:left w:val="single" w:color="auto" w:sz="8" w:space="0"/>
              <w:bottom w:val="single" w:color="auto" w:sz="8" w:space="0"/>
              <w:right w:val="single" w:color="auto" w:sz="8" w:space="0"/>
            </w:tcBorders>
            <w:vAlign w:val="center"/>
          </w:tcPr>
          <w:p w14:paraId="072E24ED">
            <w:pPr>
              <w:pStyle w:val="24"/>
              <w:spacing w:line="240" w:lineRule="auto"/>
              <w:ind w:firstLine="0" w:firstLineChars="0"/>
              <w:rPr>
                <w:rFonts w:hint="default" w:eastAsia="宋体"/>
                <w:color w:val="000000"/>
                <w:kern w:val="0"/>
                <w:lang w:val="en-US" w:eastAsia="zh-CN"/>
              </w:rPr>
            </w:pPr>
            <w:r>
              <w:rPr>
                <w:rFonts w:hint="eastAsia"/>
                <w:color w:val="000000"/>
                <w:kern w:val="0"/>
                <w:lang w:val="en-US" w:eastAsia="zh-CN"/>
              </w:rPr>
              <w:t>20</w:t>
            </w:r>
          </w:p>
        </w:tc>
        <w:tc>
          <w:tcPr>
            <w:tcW w:w="4230" w:type="dxa"/>
            <w:tcBorders>
              <w:top w:val="single" w:color="auto" w:sz="8" w:space="0"/>
              <w:left w:val="single" w:color="auto" w:sz="8" w:space="0"/>
              <w:bottom w:val="single" w:color="auto" w:sz="8" w:space="0"/>
              <w:right w:val="single" w:color="auto" w:sz="8" w:space="0"/>
            </w:tcBorders>
            <w:vAlign w:val="center"/>
          </w:tcPr>
          <w:p w14:paraId="29D0D59B">
            <w:pPr>
              <w:pStyle w:val="24"/>
              <w:spacing w:line="240" w:lineRule="auto"/>
              <w:ind w:firstLine="0" w:firstLineChars="0"/>
              <w:jc w:val="both"/>
              <w:rPr>
                <w:color w:val="000000"/>
                <w:kern w:val="0"/>
              </w:rPr>
            </w:pPr>
            <w:r>
              <w:rPr>
                <w:rFonts w:hint="eastAsia"/>
                <w:color w:val="000000"/>
                <w:kern w:val="0"/>
              </w:rPr>
              <w:t>对固体废物进行分类处理处置</w:t>
            </w:r>
          </w:p>
        </w:tc>
        <w:tc>
          <w:tcPr>
            <w:tcW w:w="1206" w:type="dxa"/>
            <w:tcBorders>
              <w:top w:val="single" w:color="auto" w:sz="8" w:space="0"/>
              <w:left w:val="single" w:color="auto" w:sz="8" w:space="0"/>
              <w:bottom w:val="single" w:color="auto" w:sz="8" w:space="0"/>
              <w:right w:val="single" w:color="auto" w:sz="8" w:space="0"/>
            </w:tcBorders>
            <w:vAlign w:val="center"/>
          </w:tcPr>
          <w:p w14:paraId="267CEF28">
            <w:pPr>
              <w:pStyle w:val="24"/>
              <w:spacing w:line="240" w:lineRule="auto"/>
              <w:ind w:firstLine="0" w:firstLineChars="0"/>
              <w:rPr>
                <w:color w:val="000000"/>
                <w:kern w:val="0"/>
              </w:rPr>
            </w:pPr>
          </w:p>
        </w:tc>
        <w:tc>
          <w:tcPr>
            <w:tcW w:w="1206" w:type="dxa"/>
            <w:tcBorders>
              <w:top w:val="single" w:color="auto" w:sz="8" w:space="0"/>
              <w:left w:val="single" w:color="auto" w:sz="8" w:space="0"/>
              <w:bottom w:val="single" w:color="auto" w:sz="8" w:space="0"/>
              <w:right w:val="single" w:color="auto" w:sz="8" w:space="0"/>
            </w:tcBorders>
            <w:vAlign w:val="center"/>
          </w:tcPr>
          <w:p w14:paraId="69FD6B45">
            <w:pPr>
              <w:pStyle w:val="24"/>
              <w:spacing w:line="240" w:lineRule="auto"/>
              <w:ind w:firstLine="0" w:firstLineChars="0"/>
              <w:rPr>
                <w:color w:val="000000"/>
                <w:kern w:val="0"/>
              </w:rPr>
            </w:pPr>
          </w:p>
        </w:tc>
        <w:tc>
          <w:tcPr>
            <w:tcW w:w="1206" w:type="dxa"/>
            <w:tcBorders>
              <w:top w:val="single" w:color="auto" w:sz="8" w:space="0"/>
              <w:left w:val="single" w:color="auto" w:sz="8" w:space="0"/>
              <w:bottom w:val="single" w:color="auto" w:sz="8" w:space="0"/>
              <w:right w:val="single" w:color="auto" w:sz="8" w:space="0"/>
            </w:tcBorders>
            <w:vAlign w:val="center"/>
          </w:tcPr>
          <w:p w14:paraId="01646688">
            <w:pPr>
              <w:pStyle w:val="24"/>
              <w:spacing w:line="240" w:lineRule="auto"/>
              <w:ind w:firstLine="0" w:firstLineChars="0"/>
              <w:rPr>
                <w:color w:val="000000"/>
                <w:kern w:val="0"/>
              </w:rPr>
            </w:pPr>
          </w:p>
        </w:tc>
      </w:tr>
      <w:tr w14:paraId="7E3997CB">
        <w:tblPrEx>
          <w:tblCellMar>
            <w:top w:w="0" w:type="dxa"/>
            <w:left w:w="108" w:type="dxa"/>
            <w:bottom w:w="0" w:type="dxa"/>
            <w:right w:w="108" w:type="dxa"/>
          </w:tblCellMar>
        </w:tblPrEx>
        <w:trPr>
          <w:trHeight w:val="340" w:hRule="atLeast"/>
        </w:trPr>
        <w:tc>
          <w:tcPr>
            <w:tcW w:w="671" w:type="dxa"/>
            <w:tcBorders>
              <w:top w:val="single" w:color="auto" w:sz="8" w:space="0"/>
              <w:left w:val="single" w:color="auto" w:sz="8" w:space="0"/>
              <w:bottom w:val="single" w:color="auto" w:sz="8" w:space="0"/>
              <w:right w:val="single" w:color="auto" w:sz="8" w:space="0"/>
            </w:tcBorders>
            <w:vAlign w:val="center"/>
          </w:tcPr>
          <w:p w14:paraId="2384A069">
            <w:pPr>
              <w:pStyle w:val="24"/>
              <w:spacing w:line="240" w:lineRule="auto"/>
              <w:ind w:firstLine="0" w:firstLineChars="0"/>
              <w:rPr>
                <w:rFonts w:hint="eastAsia" w:eastAsia="宋体"/>
                <w:color w:val="000000"/>
                <w:kern w:val="0"/>
                <w:lang w:eastAsia="zh-CN"/>
              </w:rPr>
            </w:pPr>
            <w:r>
              <w:rPr>
                <w:rFonts w:hint="eastAsia"/>
                <w:color w:val="000000"/>
                <w:kern w:val="0"/>
              </w:rPr>
              <w:t>2</w:t>
            </w:r>
            <w:r>
              <w:rPr>
                <w:rFonts w:hint="eastAsia"/>
                <w:color w:val="000000"/>
                <w:kern w:val="0"/>
                <w:lang w:val="en-US" w:eastAsia="zh-CN"/>
              </w:rPr>
              <w:t>1</w:t>
            </w:r>
          </w:p>
        </w:tc>
        <w:tc>
          <w:tcPr>
            <w:tcW w:w="4230" w:type="dxa"/>
            <w:tcBorders>
              <w:top w:val="single" w:color="auto" w:sz="8" w:space="0"/>
              <w:left w:val="single" w:color="auto" w:sz="8" w:space="0"/>
              <w:bottom w:val="single" w:color="auto" w:sz="8" w:space="0"/>
              <w:right w:val="single" w:color="auto" w:sz="8" w:space="0"/>
            </w:tcBorders>
            <w:vAlign w:val="center"/>
          </w:tcPr>
          <w:p w14:paraId="1BA51D75">
            <w:pPr>
              <w:pStyle w:val="24"/>
              <w:spacing w:line="240" w:lineRule="auto"/>
              <w:ind w:firstLine="0" w:firstLineChars="0"/>
              <w:jc w:val="both"/>
              <w:rPr>
                <w:color w:val="000000"/>
                <w:kern w:val="0"/>
              </w:rPr>
            </w:pPr>
            <w:r>
              <w:rPr>
                <w:rFonts w:hint="eastAsia"/>
                <w:color w:val="000000"/>
                <w:kern w:val="0"/>
              </w:rPr>
              <w:t>一般</w:t>
            </w:r>
            <w:r>
              <w:rPr>
                <w:rFonts w:hint="eastAsia"/>
                <w:color w:val="000000"/>
                <w:kern w:val="0"/>
                <w:lang w:val="en-US" w:eastAsia="zh-CN"/>
              </w:rPr>
              <w:t>工业</w:t>
            </w:r>
            <w:r>
              <w:rPr>
                <w:rFonts w:hint="eastAsia"/>
                <w:color w:val="000000"/>
                <w:kern w:val="0"/>
              </w:rPr>
              <w:t>固体废物优先进行厂内回收利用</w:t>
            </w:r>
          </w:p>
        </w:tc>
        <w:tc>
          <w:tcPr>
            <w:tcW w:w="1206" w:type="dxa"/>
            <w:tcBorders>
              <w:top w:val="single" w:color="auto" w:sz="8" w:space="0"/>
              <w:left w:val="single" w:color="auto" w:sz="8" w:space="0"/>
              <w:bottom w:val="single" w:color="auto" w:sz="8" w:space="0"/>
              <w:right w:val="single" w:color="auto" w:sz="8" w:space="0"/>
            </w:tcBorders>
            <w:vAlign w:val="center"/>
          </w:tcPr>
          <w:p w14:paraId="2D171EC0">
            <w:pPr>
              <w:pStyle w:val="24"/>
              <w:spacing w:line="240" w:lineRule="auto"/>
              <w:ind w:firstLine="0" w:firstLineChars="0"/>
              <w:rPr>
                <w:color w:val="000000"/>
                <w:kern w:val="0"/>
              </w:rPr>
            </w:pPr>
          </w:p>
        </w:tc>
        <w:tc>
          <w:tcPr>
            <w:tcW w:w="1206" w:type="dxa"/>
            <w:tcBorders>
              <w:top w:val="single" w:color="auto" w:sz="8" w:space="0"/>
              <w:left w:val="single" w:color="auto" w:sz="8" w:space="0"/>
              <w:bottom w:val="single" w:color="auto" w:sz="8" w:space="0"/>
              <w:right w:val="single" w:color="auto" w:sz="8" w:space="0"/>
            </w:tcBorders>
            <w:vAlign w:val="center"/>
          </w:tcPr>
          <w:p w14:paraId="4360A845">
            <w:pPr>
              <w:pStyle w:val="24"/>
              <w:spacing w:line="240" w:lineRule="auto"/>
              <w:ind w:firstLine="0" w:firstLineChars="0"/>
              <w:rPr>
                <w:color w:val="000000"/>
                <w:kern w:val="0"/>
              </w:rPr>
            </w:pPr>
          </w:p>
        </w:tc>
        <w:tc>
          <w:tcPr>
            <w:tcW w:w="1206" w:type="dxa"/>
            <w:tcBorders>
              <w:top w:val="single" w:color="auto" w:sz="8" w:space="0"/>
              <w:left w:val="single" w:color="auto" w:sz="8" w:space="0"/>
              <w:bottom w:val="single" w:color="auto" w:sz="8" w:space="0"/>
              <w:right w:val="single" w:color="auto" w:sz="8" w:space="0"/>
            </w:tcBorders>
            <w:vAlign w:val="center"/>
          </w:tcPr>
          <w:p w14:paraId="4C191EAD">
            <w:pPr>
              <w:pStyle w:val="24"/>
              <w:spacing w:line="240" w:lineRule="auto"/>
              <w:ind w:firstLine="0" w:firstLineChars="0"/>
              <w:rPr>
                <w:color w:val="000000"/>
                <w:kern w:val="0"/>
              </w:rPr>
            </w:pPr>
          </w:p>
        </w:tc>
      </w:tr>
      <w:tr w14:paraId="1445FCD9">
        <w:tblPrEx>
          <w:tblCellMar>
            <w:top w:w="0" w:type="dxa"/>
            <w:left w:w="108" w:type="dxa"/>
            <w:bottom w:w="0" w:type="dxa"/>
            <w:right w:w="108" w:type="dxa"/>
          </w:tblCellMar>
        </w:tblPrEx>
        <w:trPr>
          <w:trHeight w:val="340" w:hRule="atLeast"/>
        </w:trPr>
        <w:tc>
          <w:tcPr>
            <w:tcW w:w="671" w:type="dxa"/>
            <w:tcBorders>
              <w:top w:val="single" w:color="auto" w:sz="8" w:space="0"/>
              <w:left w:val="single" w:color="auto" w:sz="8" w:space="0"/>
              <w:bottom w:val="single" w:color="auto" w:sz="8" w:space="0"/>
              <w:right w:val="single" w:color="auto" w:sz="8" w:space="0"/>
            </w:tcBorders>
            <w:vAlign w:val="center"/>
          </w:tcPr>
          <w:p w14:paraId="0222B8EA">
            <w:pPr>
              <w:pStyle w:val="24"/>
              <w:spacing w:line="240" w:lineRule="auto"/>
              <w:ind w:firstLine="0" w:firstLineChars="0"/>
              <w:rPr>
                <w:rFonts w:hint="default" w:eastAsia="宋体"/>
                <w:color w:val="000000"/>
                <w:kern w:val="0"/>
                <w:lang w:val="en-US" w:eastAsia="zh-CN"/>
              </w:rPr>
            </w:pPr>
            <w:r>
              <w:rPr>
                <w:rFonts w:hint="eastAsia"/>
                <w:color w:val="000000"/>
                <w:kern w:val="0"/>
                <w:lang w:val="en-US" w:eastAsia="zh-CN"/>
              </w:rPr>
              <w:t>22</w:t>
            </w:r>
          </w:p>
        </w:tc>
        <w:tc>
          <w:tcPr>
            <w:tcW w:w="4230" w:type="dxa"/>
            <w:tcBorders>
              <w:top w:val="single" w:color="auto" w:sz="8" w:space="0"/>
              <w:left w:val="single" w:color="auto" w:sz="8" w:space="0"/>
              <w:bottom w:val="single" w:color="auto" w:sz="8" w:space="0"/>
              <w:right w:val="single" w:color="auto" w:sz="8" w:space="0"/>
            </w:tcBorders>
            <w:vAlign w:val="center"/>
          </w:tcPr>
          <w:p w14:paraId="71756726">
            <w:pPr>
              <w:pStyle w:val="24"/>
              <w:spacing w:line="240" w:lineRule="auto"/>
              <w:ind w:firstLine="0" w:firstLineChars="0"/>
              <w:jc w:val="both"/>
              <w:rPr>
                <w:color w:val="000000"/>
                <w:kern w:val="0"/>
              </w:rPr>
            </w:pPr>
            <w:r>
              <w:rPr>
                <w:rFonts w:hint="eastAsia"/>
                <w:color w:val="000000"/>
                <w:kern w:val="0"/>
              </w:rPr>
              <w:t>有固体废物管理规章制度且有台账记录</w:t>
            </w:r>
          </w:p>
        </w:tc>
        <w:tc>
          <w:tcPr>
            <w:tcW w:w="1206" w:type="dxa"/>
            <w:tcBorders>
              <w:top w:val="single" w:color="auto" w:sz="8" w:space="0"/>
              <w:left w:val="single" w:color="auto" w:sz="8" w:space="0"/>
              <w:bottom w:val="single" w:color="auto" w:sz="8" w:space="0"/>
              <w:right w:val="single" w:color="auto" w:sz="8" w:space="0"/>
            </w:tcBorders>
            <w:vAlign w:val="center"/>
          </w:tcPr>
          <w:p w14:paraId="7960D5B4">
            <w:pPr>
              <w:pStyle w:val="24"/>
              <w:spacing w:line="240" w:lineRule="auto"/>
              <w:ind w:firstLine="0" w:firstLineChars="0"/>
              <w:rPr>
                <w:color w:val="000000"/>
                <w:kern w:val="0"/>
              </w:rPr>
            </w:pPr>
          </w:p>
        </w:tc>
        <w:tc>
          <w:tcPr>
            <w:tcW w:w="1206" w:type="dxa"/>
            <w:tcBorders>
              <w:top w:val="single" w:color="auto" w:sz="8" w:space="0"/>
              <w:left w:val="single" w:color="auto" w:sz="8" w:space="0"/>
              <w:bottom w:val="single" w:color="auto" w:sz="8" w:space="0"/>
              <w:right w:val="single" w:color="auto" w:sz="8" w:space="0"/>
            </w:tcBorders>
            <w:vAlign w:val="center"/>
          </w:tcPr>
          <w:p w14:paraId="09283DF8">
            <w:pPr>
              <w:pStyle w:val="24"/>
              <w:spacing w:line="240" w:lineRule="auto"/>
              <w:ind w:firstLine="0" w:firstLineChars="0"/>
              <w:rPr>
                <w:color w:val="000000"/>
                <w:kern w:val="0"/>
              </w:rPr>
            </w:pPr>
          </w:p>
        </w:tc>
        <w:tc>
          <w:tcPr>
            <w:tcW w:w="1206" w:type="dxa"/>
            <w:tcBorders>
              <w:top w:val="single" w:color="auto" w:sz="8" w:space="0"/>
              <w:left w:val="single" w:color="auto" w:sz="8" w:space="0"/>
              <w:bottom w:val="single" w:color="auto" w:sz="8" w:space="0"/>
              <w:right w:val="single" w:color="auto" w:sz="8" w:space="0"/>
            </w:tcBorders>
            <w:vAlign w:val="center"/>
          </w:tcPr>
          <w:p w14:paraId="48BD1EAA">
            <w:pPr>
              <w:pStyle w:val="24"/>
              <w:spacing w:line="240" w:lineRule="auto"/>
              <w:ind w:firstLine="0" w:firstLineChars="0"/>
              <w:rPr>
                <w:color w:val="000000"/>
                <w:kern w:val="0"/>
              </w:rPr>
            </w:pPr>
          </w:p>
        </w:tc>
      </w:tr>
      <w:tr w14:paraId="3F0085F0">
        <w:tblPrEx>
          <w:tblCellMar>
            <w:top w:w="0" w:type="dxa"/>
            <w:left w:w="108" w:type="dxa"/>
            <w:bottom w:w="0" w:type="dxa"/>
            <w:right w:w="108" w:type="dxa"/>
          </w:tblCellMar>
        </w:tblPrEx>
        <w:trPr>
          <w:trHeight w:val="340" w:hRule="atLeast"/>
        </w:trPr>
        <w:tc>
          <w:tcPr>
            <w:tcW w:w="671" w:type="dxa"/>
            <w:tcBorders>
              <w:top w:val="single" w:color="auto" w:sz="8" w:space="0"/>
              <w:left w:val="single" w:color="auto" w:sz="8" w:space="0"/>
              <w:bottom w:val="single" w:color="auto" w:sz="8" w:space="0"/>
              <w:right w:val="single" w:color="auto" w:sz="8" w:space="0"/>
            </w:tcBorders>
            <w:vAlign w:val="center"/>
          </w:tcPr>
          <w:p w14:paraId="5BBB000E">
            <w:pPr>
              <w:pStyle w:val="24"/>
              <w:spacing w:line="240" w:lineRule="auto"/>
              <w:ind w:firstLine="0" w:firstLineChars="0"/>
              <w:rPr>
                <w:rFonts w:hint="eastAsia" w:eastAsia="宋体"/>
                <w:color w:val="000000"/>
                <w:kern w:val="0"/>
                <w:lang w:eastAsia="zh-CN"/>
              </w:rPr>
            </w:pPr>
            <w:r>
              <w:rPr>
                <w:rFonts w:hint="eastAsia"/>
                <w:color w:val="000000"/>
                <w:kern w:val="0"/>
              </w:rPr>
              <w:t>2</w:t>
            </w:r>
            <w:r>
              <w:rPr>
                <w:rFonts w:hint="eastAsia"/>
                <w:color w:val="000000"/>
                <w:kern w:val="0"/>
                <w:lang w:val="en-US" w:eastAsia="zh-CN"/>
              </w:rPr>
              <w:t>3</w:t>
            </w:r>
          </w:p>
        </w:tc>
        <w:tc>
          <w:tcPr>
            <w:tcW w:w="4230" w:type="dxa"/>
            <w:tcBorders>
              <w:top w:val="single" w:color="auto" w:sz="8" w:space="0"/>
              <w:left w:val="single" w:color="auto" w:sz="8" w:space="0"/>
              <w:bottom w:val="single" w:color="auto" w:sz="8" w:space="0"/>
              <w:right w:val="single" w:color="auto" w:sz="8" w:space="0"/>
            </w:tcBorders>
            <w:vAlign w:val="center"/>
          </w:tcPr>
          <w:p w14:paraId="689028C7">
            <w:pPr>
              <w:pStyle w:val="24"/>
              <w:spacing w:line="240" w:lineRule="auto"/>
              <w:ind w:firstLine="0" w:firstLineChars="0"/>
              <w:jc w:val="both"/>
              <w:rPr>
                <w:color w:val="000000"/>
                <w:kern w:val="0"/>
              </w:rPr>
            </w:pPr>
            <w:r>
              <w:rPr>
                <w:rFonts w:hint="eastAsia"/>
                <w:color w:val="000000"/>
                <w:kern w:val="0"/>
              </w:rPr>
              <w:t>危险废物已委托有资质的单位处理处置并有台账、转运联单等记录</w:t>
            </w:r>
          </w:p>
        </w:tc>
        <w:tc>
          <w:tcPr>
            <w:tcW w:w="1206" w:type="dxa"/>
            <w:tcBorders>
              <w:top w:val="single" w:color="auto" w:sz="8" w:space="0"/>
              <w:left w:val="single" w:color="auto" w:sz="8" w:space="0"/>
              <w:bottom w:val="single" w:color="auto" w:sz="8" w:space="0"/>
              <w:right w:val="single" w:color="auto" w:sz="8" w:space="0"/>
            </w:tcBorders>
            <w:vAlign w:val="center"/>
          </w:tcPr>
          <w:p w14:paraId="59979A61">
            <w:pPr>
              <w:pStyle w:val="24"/>
              <w:spacing w:line="240" w:lineRule="auto"/>
              <w:ind w:firstLine="0" w:firstLineChars="0"/>
              <w:rPr>
                <w:color w:val="000000"/>
                <w:kern w:val="0"/>
              </w:rPr>
            </w:pPr>
          </w:p>
        </w:tc>
        <w:tc>
          <w:tcPr>
            <w:tcW w:w="1206" w:type="dxa"/>
            <w:tcBorders>
              <w:top w:val="single" w:color="auto" w:sz="8" w:space="0"/>
              <w:left w:val="single" w:color="auto" w:sz="8" w:space="0"/>
              <w:bottom w:val="single" w:color="auto" w:sz="8" w:space="0"/>
              <w:right w:val="single" w:color="auto" w:sz="8" w:space="0"/>
            </w:tcBorders>
            <w:vAlign w:val="center"/>
          </w:tcPr>
          <w:p w14:paraId="38DF01EA">
            <w:pPr>
              <w:pStyle w:val="24"/>
              <w:spacing w:line="240" w:lineRule="auto"/>
              <w:ind w:firstLine="0" w:firstLineChars="0"/>
              <w:rPr>
                <w:color w:val="000000"/>
                <w:kern w:val="0"/>
              </w:rPr>
            </w:pPr>
          </w:p>
        </w:tc>
        <w:tc>
          <w:tcPr>
            <w:tcW w:w="1206" w:type="dxa"/>
            <w:tcBorders>
              <w:top w:val="single" w:color="auto" w:sz="8" w:space="0"/>
              <w:left w:val="single" w:color="auto" w:sz="8" w:space="0"/>
              <w:bottom w:val="single" w:color="auto" w:sz="8" w:space="0"/>
              <w:right w:val="single" w:color="auto" w:sz="8" w:space="0"/>
            </w:tcBorders>
            <w:vAlign w:val="center"/>
          </w:tcPr>
          <w:p w14:paraId="38DDE7C3">
            <w:pPr>
              <w:pStyle w:val="24"/>
              <w:spacing w:line="240" w:lineRule="auto"/>
              <w:ind w:firstLine="0" w:firstLineChars="0"/>
              <w:rPr>
                <w:color w:val="000000"/>
                <w:kern w:val="0"/>
              </w:rPr>
            </w:pPr>
          </w:p>
        </w:tc>
      </w:tr>
      <w:tr w14:paraId="33DFA4CC">
        <w:tblPrEx>
          <w:tblCellMar>
            <w:top w:w="0" w:type="dxa"/>
            <w:left w:w="108" w:type="dxa"/>
            <w:bottom w:w="0" w:type="dxa"/>
            <w:right w:w="108" w:type="dxa"/>
          </w:tblCellMar>
        </w:tblPrEx>
        <w:trPr>
          <w:trHeight w:val="340" w:hRule="atLeast"/>
        </w:trPr>
        <w:tc>
          <w:tcPr>
            <w:tcW w:w="671" w:type="dxa"/>
            <w:tcBorders>
              <w:top w:val="single" w:color="auto" w:sz="8" w:space="0"/>
              <w:left w:val="single" w:color="auto" w:sz="8" w:space="0"/>
              <w:bottom w:val="single" w:color="auto" w:sz="8" w:space="0"/>
              <w:right w:val="single" w:color="auto" w:sz="8" w:space="0"/>
            </w:tcBorders>
            <w:vAlign w:val="center"/>
          </w:tcPr>
          <w:p w14:paraId="36DF9411">
            <w:pPr>
              <w:pStyle w:val="24"/>
              <w:spacing w:line="240" w:lineRule="auto"/>
              <w:ind w:firstLine="0" w:firstLineChars="0"/>
              <w:rPr>
                <w:rFonts w:hint="eastAsia" w:eastAsia="宋体"/>
                <w:color w:val="000000"/>
                <w:kern w:val="0"/>
                <w:lang w:eastAsia="zh-CN"/>
              </w:rPr>
            </w:pPr>
            <w:r>
              <w:rPr>
                <w:rFonts w:hint="eastAsia"/>
                <w:color w:val="000000"/>
                <w:kern w:val="0"/>
              </w:rPr>
              <w:t>2</w:t>
            </w:r>
            <w:r>
              <w:rPr>
                <w:rFonts w:hint="eastAsia"/>
                <w:color w:val="000000"/>
                <w:kern w:val="0"/>
                <w:lang w:val="en-US" w:eastAsia="zh-CN"/>
              </w:rPr>
              <w:t>4</w:t>
            </w:r>
          </w:p>
        </w:tc>
        <w:tc>
          <w:tcPr>
            <w:tcW w:w="4230" w:type="dxa"/>
            <w:tcBorders>
              <w:top w:val="single" w:color="auto" w:sz="8" w:space="0"/>
              <w:left w:val="single" w:color="auto" w:sz="8" w:space="0"/>
              <w:bottom w:val="single" w:color="auto" w:sz="8" w:space="0"/>
              <w:right w:val="single" w:color="auto" w:sz="8" w:space="0"/>
            </w:tcBorders>
            <w:vAlign w:val="center"/>
          </w:tcPr>
          <w:p w14:paraId="3463FC17">
            <w:pPr>
              <w:pStyle w:val="24"/>
              <w:spacing w:line="240" w:lineRule="auto"/>
              <w:ind w:firstLine="0" w:firstLineChars="0"/>
              <w:jc w:val="both"/>
              <w:rPr>
                <w:color w:val="000000"/>
                <w:kern w:val="0"/>
              </w:rPr>
            </w:pPr>
            <w:r>
              <w:rPr>
                <w:rFonts w:hint="eastAsia"/>
                <w:color w:val="000000"/>
                <w:kern w:val="0"/>
              </w:rPr>
              <w:t>制定了有效的突发环境事件应急预案</w:t>
            </w:r>
          </w:p>
        </w:tc>
        <w:tc>
          <w:tcPr>
            <w:tcW w:w="1206" w:type="dxa"/>
            <w:tcBorders>
              <w:top w:val="single" w:color="auto" w:sz="8" w:space="0"/>
              <w:left w:val="single" w:color="auto" w:sz="8" w:space="0"/>
              <w:bottom w:val="single" w:color="auto" w:sz="8" w:space="0"/>
              <w:right w:val="single" w:color="auto" w:sz="8" w:space="0"/>
            </w:tcBorders>
            <w:vAlign w:val="center"/>
          </w:tcPr>
          <w:p w14:paraId="272BA519">
            <w:pPr>
              <w:pStyle w:val="24"/>
              <w:spacing w:line="240" w:lineRule="auto"/>
              <w:ind w:firstLine="0" w:firstLineChars="0"/>
              <w:rPr>
                <w:color w:val="000000"/>
                <w:kern w:val="0"/>
              </w:rPr>
            </w:pPr>
          </w:p>
        </w:tc>
        <w:tc>
          <w:tcPr>
            <w:tcW w:w="1206" w:type="dxa"/>
            <w:tcBorders>
              <w:top w:val="single" w:color="auto" w:sz="8" w:space="0"/>
              <w:left w:val="single" w:color="auto" w:sz="8" w:space="0"/>
              <w:bottom w:val="single" w:color="auto" w:sz="8" w:space="0"/>
              <w:right w:val="single" w:color="auto" w:sz="8" w:space="0"/>
            </w:tcBorders>
            <w:vAlign w:val="center"/>
          </w:tcPr>
          <w:p w14:paraId="355FBE71">
            <w:pPr>
              <w:pStyle w:val="24"/>
              <w:spacing w:line="240" w:lineRule="auto"/>
              <w:ind w:firstLine="0" w:firstLineChars="0"/>
              <w:rPr>
                <w:color w:val="000000"/>
                <w:kern w:val="0"/>
              </w:rPr>
            </w:pPr>
          </w:p>
        </w:tc>
        <w:tc>
          <w:tcPr>
            <w:tcW w:w="1206" w:type="dxa"/>
            <w:tcBorders>
              <w:top w:val="single" w:color="auto" w:sz="8" w:space="0"/>
              <w:left w:val="single" w:color="auto" w:sz="8" w:space="0"/>
              <w:bottom w:val="single" w:color="auto" w:sz="8" w:space="0"/>
              <w:right w:val="single" w:color="auto" w:sz="8" w:space="0"/>
            </w:tcBorders>
            <w:vAlign w:val="center"/>
          </w:tcPr>
          <w:p w14:paraId="518520DE">
            <w:pPr>
              <w:pStyle w:val="24"/>
              <w:spacing w:line="240" w:lineRule="auto"/>
              <w:ind w:firstLine="0" w:firstLineChars="0"/>
              <w:rPr>
                <w:color w:val="000000"/>
                <w:kern w:val="0"/>
              </w:rPr>
            </w:pPr>
          </w:p>
        </w:tc>
      </w:tr>
      <w:tr w14:paraId="6DBBB5F5">
        <w:tblPrEx>
          <w:tblCellMar>
            <w:top w:w="0" w:type="dxa"/>
            <w:left w:w="108" w:type="dxa"/>
            <w:bottom w:w="0" w:type="dxa"/>
            <w:right w:w="108" w:type="dxa"/>
          </w:tblCellMar>
        </w:tblPrEx>
        <w:trPr>
          <w:trHeight w:val="340" w:hRule="atLeast"/>
        </w:trPr>
        <w:tc>
          <w:tcPr>
            <w:tcW w:w="671" w:type="dxa"/>
            <w:tcBorders>
              <w:top w:val="single" w:color="auto" w:sz="8" w:space="0"/>
              <w:left w:val="single" w:color="auto" w:sz="8" w:space="0"/>
              <w:bottom w:val="single" w:color="auto" w:sz="8" w:space="0"/>
              <w:right w:val="single" w:color="auto" w:sz="8" w:space="0"/>
            </w:tcBorders>
            <w:vAlign w:val="center"/>
          </w:tcPr>
          <w:p w14:paraId="6EC35445">
            <w:pPr>
              <w:pStyle w:val="24"/>
              <w:spacing w:line="240" w:lineRule="auto"/>
              <w:ind w:firstLine="0" w:firstLineChars="0"/>
              <w:rPr>
                <w:rFonts w:hint="eastAsia" w:eastAsia="宋体"/>
                <w:color w:val="000000"/>
                <w:kern w:val="0"/>
                <w:lang w:eastAsia="zh-CN"/>
              </w:rPr>
            </w:pPr>
            <w:r>
              <w:rPr>
                <w:rFonts w:hint="eastAsia"/>
                <w:color w:val="000000"/>
                <w:kern w:val="0"/>
              </w:rPr>
              <w:t>2</w:t>
            </w:r>
            <w:r>
              <w:rPr>
                <w:rFonts w:hint="eastAsia"/>
                <w:color w:val="000000"/>
                <w:kern w:val="0"/>
                <w:lang w:val="en-US" w:eastAsia="zh-CN"/>
              </w:rPr>
              <w:t>5</w:t>
            </w:r>
          </w:p>
        </w:tc>
        <w:tc>
          <w:tcPr>
            <w:tcW w:w="4230" w:type="dxa"/>
            <w:tcBorders>
              <w:top w:val="single" w:color="auto" w:sz="8" w:space="0"/>
              <w:left w:val="single" w:color="auto" w:sz="8" w:space="0"/>
              <w:bottom w:val="single" w:color="auto" w:sz="8" w:space="0"/>
              <w:right w:val="single" w:color="auto" w:sz="8" w:space="0"/>
            </w:tcBorders>
            <w:vAlign w:val="center"/>
          </w:tcPr>
          <w:p w14:paraId="79310EA4">
            <w:pPr>
              <w:pStyle w:val="24"/>
              <w:spacing w:line="240" w:lineRule="auto"/>
              <w:ind w:firstLine="0" w:firstLineChars="0"/>
              <w:jc w:val="both"/>
              <w:rPr>
                <w:color w:val="000000"/>
                <w:kern w:val="0"/>
              </w:rPr>
            </w:pPr>
            <w:r>
              <w:rPr>
                <w:rFonts w:hint="eastAsia"/>
                <w:color w:val="000000"/>
                <w:kern w:val="0"/>
              </w:rPr>
              <w:t>周围居民对企业没有环境投诉</w:t>
            </w:r>
          </w:p>
        </w:tc>
        <w:tc>
          <w:tcPr>
            <w:tcW w:w="1206" w:type="dxa"/>
            <w:tcBorders>
              <w:top w:val="single" w:color="auto" w:sz="8" w:space="0"/>
              <w:left w:val="single" w:color="auto" w:sz="8" w:space="0"/>
              <w:bottom w:val="single" w:color="auto" w:sz="8" w:space="0"/>
              <w:right w:val="single" w:color="auto" w:sz="8" w:space="0"/>
            </w:tcBorders>
            <w:vAlign w:val="center"/>
          </w:tcPr>
          <w:p w14:paraId="53FD2A25">
            <w:pPr>
              <w:pStyle w:val="24"/>
              <w:spacing w:line="240" w:lineRule="auto"/>
              <w:ind w:firstLine="0" w:firstLineChars="0"/>
              <w:rPr>
                <w:color w:val="000000"/>
                <w:kern w:val="0"/>
              </w:rPr>
            </w:pPr>
          </w:p>
        </w:tc>
        <w:tc>
          <w:tcPr>
            <w:tcW w:w="1206" w:type="dxa"/>
            <w:tcBorders>
              <w:top w:val="single" w:color="auto" w:sz="8" w:space="0"/>
              <w:left w:val="single" w:color="auto" w:sz="8" w:space="0"/>
              <w:bottom w:val="single" w:color="auto" w:sz="8" w:space="0"/>
              <w:right w:val="single" w:color="auto" w:sz="8" w:space="0"/>
            </w:tcBorders>
            <w:vAlign w:val="center"/>
          </w:tcPr>
          <w:p w14:paraId="6C28936A">
            <w:pPr>
              <w:pStyle w:val="24"/>
              <w:spacing w:line="240" w:lineRule="auto"/>
              <w:ind w:firstLine="0" w:firstLineChars="0"/>
              <w:rPr>
                <w:color w:val="000000"/>
                <w:kern w:val="0"/>
              </w:rPr>
            </w:pPr>
          </w:p>
        </w:tc>
        <w:tc>
          <w:tcPr>
            <w:tcW w:w="1206" w:type="dxa"/>
            <w:tcBorders>
              <w:top w:val="single" w:color="auto" w:sz="8" w:space="0"/>
              <w:left w:val="single" w:color="auto" w:sz="8" w:space="0"/>
              <w:bottom w:val="single" w:color="auto" w:sz="8" w:space="0"/>
              <w:right w:val="single" w:color="auto" w:sz="8" w:space="0"/>
            </w:tcBorders>
            <w:vAlign w:val="center"/>
          </w:tcPr>
          <w:p w14:paraId="7DBA0067">
            <w:pPr>
              <w:pStyle w:val="24"/>
              <w:spacing w:line="240" w:lineRule="auto"/>
              <w:ind w:firstLine="0" w:firstLineChars="0"/>
              <w:rPr>
                <w:color w:val="000000"/>
                <w:kern w:val="0"/>
              </w:rPr>
            </w:pPr>
          </w:p>
        </w:tc>
      </w:tr>
    </w:tbl>
    <w:p w14:paraId="7C776ABE">
      <w:pPr>
        <w:pStyle w:val="4"/>
        <w:adjustRightInd w:val="0"/>
        <w:snapToGrid w:val="0"/>
        <w:spacing w:before="156" w:beforeLines="50" w:after="0" w:line="240" w:lineRule="auto"/>
        <w:ind w:firstLine="0" w:firstLineChars="0"/>
        <w:jc w:val="center"/>
      </w:pPr>
      <w:r>
        <w:rPr>
          <w:rFonts w:hint="eastAsia"/>
        </w:rPr>
        <w:t>工作表</w:t>
      </w:r>
      <w:r>
        <w:rPr>
          <w:rFonts w:hint="eastAsia"/>
          <w:lang w:val="en-US" w:eastAsia="zh-CN"/>
        </w:rPr>
        <w:t>A.7</w:t>
      </w:r>
      <w:r>
        <w:rPr>
          <w:rFonts w:hint="eastAsia"/>
        </w:rPr>
        <w:t xml:space="preserve"> 管理现场考察表</w:t>
      </w:r>
    </w:p>
    <w:tbl>
      <w:tblPr>
        <w:tblStyle w:val="11"/>
        <w:tblW w:w="8519" w:type="dxa"/>
        <w:tblInd w:w="0" w:type="dxa"/>
        <w:tblLayout w:type="fixed"/>
        <w:tblCellMar>
          <w:top w:w="0" w:type="dxa"/>
          <w:left w:w="108" w:type="dxa"/>
          <w:bottom w:w="0" w:type="dxa"/>
          <w:right w:w="108" w:type="dxa"/>
        </w:tblCellMar>
      </w:tblPr>
      <w:tblGrid>
        <w:gridCol w:w="656"/>
        <w:gridCol w:w="4290"/>
        <w:gridCol w:w="1191"/>
        <w:gridCol w:w="1191"/>
        <w:gridCol w:w="1191"/>
      </w:tblGrid>
      <w:tr w14:paraId="61DE4599">
        <w:tblPrEx>
          <w:tblCellMar>
            <w:top w:w="0" w:type="dxa"/>
            <w:left w:w="108" w:type="dxa"/>
            <w:bottom w:w="0" w:type="dxa"/>
            <w:right w:w="108" w:type="dxa"/>
          </w:tblCellMar>
        </w:tblPrEx>
        <w:trPr>
          <w:trHeight w:val="340" w:hRule="atLeast"/>
        </w:trPr>
        <w:tc>
          <w:tcPr>
            <w:tcW w:w="6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06AF7BE">
            <w:pPr>
              <w:pStyle w:val="24"/>
              <w:spacing w:line="240" w:lineRule="auto"/>
              <w:ind w:firstLine="0" w:firstLineChars="0"/>
              <w:rPr>
                <w:b/>
                <w:bCs/>
                <w:color w:val="000000"/>
                <w:kern w:val="0"/>
              </w:rPr>
            </w:pPr>
            <w:r>
              <w:rPr>
                <w:b/>
                <w:bCs/>
                <w:color w:val="000000"/>
                <w:kern w:val="0"/>
                <w:lang w:bidi="ar"/>
              </w:rPr>
              <w:t>序号</w:t>
            </w:r>
          </w:p>
        </w:tc>
        <w:tc>
          <w:tcPr>
            <w:tcW w:w="42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6F6968B">
            <w:pPr>
              <w:pStyle w:val="24"/>
              <w:spacing w:line="240" w:lineRule="auto"/>
              <w:ind w:firstLine="0" w:firstLineChars="0"/>
              <w:rPr>
                <w:b/>
                <w:bCs/>
                <w:color w:val="000000"/>
                <w:kern w:val="0"/>
              </w:rPr>
            </w:pPr>
            <w:r>
              <w:rPr>
                <w:b/>
                <w:bCs/>
                <w:color w:val="000000"/>
                <w:kern w:val="0"/>
                <w:lang w:bidi="ar"/>
              </w:rPr>
              <w:t>调查项目</w:t>
            </w:r>
          </w:p>
        </w:tc>
        <w:tc>
          <w:tcPr>
            <w:tcW w:w="3573"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0CCCC261">
            <w:pPr>
              <w:pStyle w:val="24"/>
              <w:spacing w:line="240" w:lineRule="auto"/>
              <w:ind w:firstLine="0" w:firstLineChars="0"/>
              <w:rPr>
                <w:b/>
                <w:bCs/>
                <w:color w:val="000000"/>
                <w:kern w:val="0"/>
              </w:rPr>
            </w:pPr>
            <w:r>
              <w:rPr>
                <w:b/>
                <w:bCs/>
                <w:color w:val="000000"/>
                <w:kern w:val="0"/>
                <w:lang w:bidi="ar"/>
              </w:rPr>
              <w:t>企业现状</w:t>
            </w:r>
          </w:p>
        </w:tc>
      </w:tr>
      <w:tr w14:paraId="06E9775E">
        <w:tblPrEx>
          <w:tblCellMar>
            <w:top w:w="0" w:type="dxa"/>
            <w:left w:w="108" w:type="dxa"/>
            <w:bottom w:w="0" w:type="dxa"/>
            <w:right w:w="108" w:type="dxa"/>
          </w:tblCellMar>
        </w:tblPrEx>
        <w:trPr>
          <w:trHeight w:val="340" w:hRule="atLeast"/>
        </w:trPr>
        <w:tc>
          <w:tcPr>
            <w:tcW w:w="6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C097979">
            <w:pPr>
              <w:pStyle w:val="24"/>
              <w:spacing w:line="240" w:lineRule="auto"/>
              <w:ind w:firstLine="0" w:firstLineChars="0"/>
              <w:rPr>
                <w:b/>
                <w:bCs/>
                <w:color w:val="000000"/>
                <w:kern w:val="0"/>
              </w:rPr>
            </w:pPr>
          </w:p>
        </w:tc>
        <w:tc>
          <w:tcPr>
            <w:tcW w:w="42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2D6A5F5">
            <w:pPr>
              <w:pStyle w:val="24"/>
              <w:spacing w:line="240" w:lineRule="auto"/>
              <w:ind w:firstLine="0" w:firstLineChars="0"/>
              <w:rPr>
                <w:b/>
                <w:bCs/>
                <w:color w:val="000000"/>
                <w:kern w:val="0"/>
              </w:rPr>
            </w:pPr>
          </w:p>
        </w:tc>
        <w:tc>
          <w:tcPr>
            <w:tcW w:w="11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B8590A">
            <w:pPr>
              <w:pStyle w:val="24"/>
              <w:spacing w:line="240" w:lineRule="auto"/>
              <w:ind w:firstLine="0" w:firstLineChars="0"/>
              <w:rPr>
                <w:b/>
                <w:bCs/>
                <w:color w:val="000000"/>
                <w:kern w:val="0"/>
              </w:rPr>
            </w:pPr>
            <w:r>
              <w:rPr>
                <w:b/>
                <w:bCs/>
                <w:color w:val="000000"/>
                <w:kern w:val="0"/>
                <w:lang w:bidi="ar"/>
              </w:rPr>
              <w:t>有/是</w:t>
            </w:r>
          </w:p>
        </w:tc>
        <w:tc>
          <w:tcPr>
            <w:tcW w:w="11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D78107">
            <w:pPr>
              <w:pStyle w:val="24"/>
              <w:spacing w:line="240" w:lineRule="auto"/>
              <w:ind w:firstLine="0" w:firstLineChars="0"/>
              <w:rPr>
                <w:b/>
                <w:bCs/>
                <w:color w:val="000000"/>
                <w:kern w:val="0"/>
              </w:rPr>
            </w:pPr>
            <w:r>
              <w:rPr>
                <w:b/>
                <w:bCs/>
                <w:color w:val="000000"/>
                <w:kern w:val="0"/>
                <w:lang w:bidi="ar"/>
              </w:rPr>
              <w:t>无/不是</w:t>
            </w:r>
          </w:p>
        </w:tc>
        <w:tc>
          <w:tcPr>
            <w:tcW w:w="119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B183C3">
            <w:pPr>
              <w:pStyle w:val="24"/>
              <w:spacing w:line="240" w:lineRule="auto"/>
              <w:ind w:firstLine="0" w:firstLineChars="0"/>
              <w:rPr>
                <w:b/>
                <w:bCs/>
                <w:color w:val="000000"/>
                <w:kern w:val="0"/>
              </w:rPr>
            </w:pPr>
            <w:r>
              <w:rPr>
                <w:b/>
                <w:bCs/>
                <w:color w:val="000000"/>
                <w:kern w:val="0"/>
                <w:lang w:bidi="ar"/>
              </w:rPr>
              <w:t>不适合</w:t>
            </w:r>
          </w:p>
        </w:tc>
      </w:tr>
      <w:tr w14:paraId="1ECD7844">
        <w:tblPrEx>
          <w:tblCellMar>
            <w:top w:w="0" w:type="dxa"/>
            <w:left w:w="108" w:type="dxa"/>
            <w:bottom w:w="0" w:type="dxa"/>
            <w:right w:w="108" w:type="dxa"/>
          </w:tblCellMar>
        </w:tblPrEx>
        <w:trPr>
          <w:trHeight w:val="340" w:hRule="atLeast"/>
        </w:trPr>
        <w:tc>
          <w:tcPr>
            <w:tcW w:w="656" w:type="dxa"/>
            <w:tcBorders>
              <w:top w:val="nil"/>
              <w:left w:val="single" w:color="000000" w:sz="8" w:space="0"/>
              <w:bottom w:val="single" w:color="000000" w:sz="8" w:space="0"/>
              <w:right w:val="single" w:color="000000" w:sz="8" w:space="0"/>
            </w:tcBorders>
            <w:shd w:val="clear" w:color="auto" w:fill="auto"/>
            <w:vAlign w:val="center"/>
          </w:tcPr>
          <w:p w14:paraId="7D2167F6">
            <w:pPr>
              <w:pStyle w:val="24"/>
              <w:spacing w:line="240" w:lineRule="auto"/>
              <w:ind w:firstLine="0" w:firstLineChars="0"/>
              <w:rPr>
                <w:color w:val="000000"/>
                <w:kern w:val="0"/>
              </w:rPr>
            </w:pPr>
            <w:r>
              <w:rPr>
                <w:color w:val="000000"/>
                <w:kern w:val="0"/>
                <w:lang w:bidi="ar"/>
              </w:rPr>
              <w:t>1</w:t>
            </w:r>
          </w:p>
        </w:tc>
        <w:tc>
          <w:tcPr>
            <w:tcW w:w="4290" w:type="dxa"/>
            <w:tcBorders>
              <w:top w:val="nil"/>
              <w:left w:val="nil"/>
              <w:bottom w:val="single" w:color="000000" w:sz="8" w:space="0"/>
              <w:right w:val="single" w:color="000000" w:sz="8" w:space="0"/>
            </w:tcBorders>
            <w:shd w:val="clear" w:color="auto" w:fill="auto"/>
            <w:vAlign w:val="center"/>
          </w:tcPr>
          <w:p w14:paraId="77388BC9">
            <w:pPr>
              <w:pStyle w:val="24"/>
              <w:spacing w:line="240" w:lineRule="auto"/>
              <w:ind w:firstLine="0" w:firstLineChars="0"/>
              <w:jc w:val="both"/>
              <w:rPr>
                <w:color w:val="000000"/>
                <w:kern w:val="0"/>
              </w:rPr>
            </w:pPr>
            <w:r>
              <w:rPr>
                <w:rFonts w:hint="eastAsia"/>
                <w:color w:val="000000"/>
                <w:kern w:val="0"/>
              </w:rPr>
              <w:t>已建立并落实完善的现场管理制度，现场无浪费现象</w:t>
            </w:r>
          </w:p>
        </w:tc>
        <w:tc>
          <w:tcPr>
            <w:tcW w:w="1191" w:type="dxa"/>
            <w:tcBorders>
              <w:top w:val="nil"/>
              <w:left w:val="nil"/>
              <w:bottom w:val="single" w:color="000000" w:sz="8" w:space="0"/>
              <w:right w:val="single" w:color="000000" w:sz="8" w:space="0"/>
            </w:tcBorders>
            <w:shd w:val="clear" w:color="auto" w:fill="auto"/>
            <w:vAlign w:val="center"/>
          </w:tcPr>
          <w:p w14:paraId="7D0E733D">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1D624C0B">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56FEA423">
            <w:pPr>
              <w:pStyle w:val="24"/>
              <w:spacing w:line="240" w:lineRule="auto"/>
              <w:ind w:firstLine="0" w:firstLineChars="0"/>
              <w:rPr>
                <w:color w:val="000000"/>
                <w:kern w:val="0"/>
              </w:rPr>
            </w:pPr>
          </w:p>
        </w:tc>
      </w:tr>
      <w:tr w14:paraId="7154E66A">
        <w:tblPrEx>
          <w:tblCellMar>
            <w:top w:w="0" w:type="dxa"/>
            <w:left w:w="108" w:type="dxa"/>
            <w:bottom w:w="0" w:type="dxa"/>
            <w:right w:w="108" w:type="dxa"/>
          </w:tblCellMar>
        </w:tblPrEx>
        <w:trPr>
          <w:trHeight w:val="340" w:hRule="atLeast"/>
        </w:trPr>
        <w:tc>
          <w:tcPr>
            <w:tcW w:w="656" w:type="dxa"/>
            <w:tcBorders>
              <w:top w:val="nil"/>
              <w:left w:val="single" w:color="000000" w:sz="8" w:space="0"/>
              <w:bottom w:val="single" w:color="000000" w:sz="8" w:space="0"/>
              <w:right w:val="single" w:color="000000" w:sz="8" w:space="0"/>
            </w:tcBorders>
            <w:shd w:val="clear" w:color="auto" w:fill="auto"/>
            <w:vAlign w:val="center"/>
          </w:tcPr>
          <w:p w14:paraId="55BDB0D4">
            <w:pPr>
              <w:pStyle w:val="24"/>
              <w:spacing w:line="240" w:lineRule="auto"/>
              <w:ind w:firstLine="0" w:firstLineChars="0"/>
              <w:rPr>
                <w:color w:val="000000"/>
                <w:kern w:val="0"/>
                <w:lang w:bidi="ar"/>
              </w:rPr>
            </w:pPr>
            <w:r>
              <w:rPr>
                <w:rFonts w:hint="eastAsia"/>
                <w:color w:val="000000"/>
                <w:kern w:val="0"/>
                <w:lang w:bidi="ar"/>
              </w:rPr>
              <w:t>2</w:t>
            </w:r>
          </w:p>
        </w:tc>
        <w:tc>
          <w:tcPr>
            <w:tcW w:w="4290" w:type="dxa"/>
            <w:tcBorders>
              <w:top w:val="nil"/>
              <w:left w:val="nil"/>
              <w:bottom w:val="single" w:color="000000" w:sz="8" w:space="0"/>
              <w:right w:val="single" w:color="000000" w:sz="8" w:space="0"/>
            </w:tcBorders>
            <w:shd w:val="clear" w:color="auto" w:fill="auto"/>
            <w:vAlign w:val="center"/>
          </w:tcPr>
          <w:p w14:paraId="66C95628">
            <w:pPr>
              <w:pStyle w:val="24"/>
              <w:spacing w:line="240" w:lineRule="auto"/>
              <w:ind w:firstLine="0" w:firstLineChars="0"/>
              <w:jc w:val="both"/>
              <w:rPr>
                <w:color w:val="000000"/>
                <w:kern w:val="0"/>
              </w:rPr>
            </w:pPr>
            <w:r>
              <w:rPr>
                <w:rFonts w:hint="eastAsia"/>
                <w:color w:val="000000"/>
                <w:kern w:val="0"/>
              </w:rPr>
              <w:t>建立岗位操作规程，员工严格按照操作规程操作</w:t>
            </w:r>
          </w:p>
        </w:tc>
        <w:tc>
          <w:tcPr>
            <w:tcW w:w="1191" w:type="dxa"/>
            <w:tcBorders>
              <w:top w:val="nil"/>
              <w:left w:val="nil"/>
              <w:bottom w:val="single" w:color="000000" w:sz="8" w:space="0"/>
              <w:right w:val="single" w:color="000000" w:sz="8" w:space="0"/>
            </w:tcBorders>
            <w:shd w:val="clear" w:color="auto" w:fill="auto"/>
            <w:vAlign w:val="center"/>
          </w:tcPr>
          <w:p w14:paraId="44EA7920">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020EEE1F">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761292CD">
            <w:pPr>
              <w:pStyle w:val="24"/>
              <w:spacing w:line="240" w:lineRule="auto"/>
              <w:ind w:firstLine="0" w:firstLineChars="0"/>
              <w:rPr>
                <w:color w:val="000000"/>
                <w:kern w:val="0"/>
              </w:rPr>
            </w:pPr>
          </w:p>
        </w:tc>
      </w:tr>
      <w:tr w14:paraId="6485165A">
        <w:tblPrEx>
          <w:tblCellMar>
            <w:top w:w="0" w:type="dxa"/>
            <w:left w:w="108" w:type="dxa"/>
            <w:bottom w:w="0" w:type="dxa"/>
            <w:right w:w="108" w:type="dxa"/>
          </w:tblCellMar>
        </w:tblPrEx>
        <w:trPr>
          <w:trHeight w:val="340" w:hRule="atLeast"/>
        </w:trPr>
        <w:tc>
          <w:tcPr>
            <w:tcW w:w="656" w:type="dxa"/>
            <w:tcBorders>
              <w:top w:val="nil"/>
              <w:left w:val="single" w:color="000000" w:sz="8" w:space="0"/>
              <w:bottom w:val="single" w:color="000000" w:sz="8" w:space="0"/>
              <w:right w:val="single" w:color="000000" w:sz="8" w:space="0"/>
            </w:tcBorders>
            <w:shd w:val="clear" w:color="auto" w:fill="auto"/>
            <w:vAlign w:val="center"/>
          </w:tcPr>
          <w:p w14:paraId="0F30464A">
            <w:pPr>
              <w:pStyle w:val="24"/>
              <w:spacing w:line="240" w:lineRule="auto"/>
              <w:ind w:firstLine="0" w:firstLineChars="0"/>
              <w:rPr>
                <w:color w:val="000000"/>
                <w:kern w:val="0"/>
                <w:lang w:bidi="ar"/>
              </w:rPr>
            </w:pPr>
            <w:r>
              <w:rPr>
                <w:rFonts w:hint="eastAsia"/>
                <w:color w:val="000000"/>
                <w:kern w:val="0"/>
                <w:lang w:bidi="ar"/>
              </w:rPr>
              <w:t>3</w:t>
            </w:r>
          </w:p>
        </w:tc>
        <w:tc>
          <w:tcPr>
            <w:tcW w:w="4290" w:type="dxa"/>
            <w:tcBorders>
              <w:top w:val="nil"/>
              <w:left w:val="nil"/>
              <w:bottom w:val="single" w:color="000000" w:sz="8" w:space="0"/>
              <w:right w:val="single" w:color="000000" w:sz="8" w:space="0"/>
            </w:tcBorders>
            <w:shd w:val="clear" w:color="auto" w:fill="auto"/>
            <w:vAlign w:val="center"/>
          </w:tcPr>
          <w:p w14:paraId="4256BB44">
            <w:pPr>
              <w:pStyle w:val="24"/>
              <w:spacing w:line="240" w:lineRule="auto"/>
              <w:ind w:firstLine="0" w:firstLineChars="0"/>
              <w:jc w:val="both"/>
              <w:rPr>
                <w:color w:val="000000"/>
                <w:kern w:val="0"/>
              </w:rPr>
            </w:pPr>
            <w:r>
              <w:rPr>
                <w:rFonts w:hint="eastAsia"/>
                <w:color w:val="000000"/>
                <w:kern w:val="0"/>
              </w:rPr>
              <w:t>建立原辅料质量控制制度，对原辅料进行质量抽检</w:t>
            </w:r>
          </w:p>
        </w:tc>
        <w:tc>
          <w:tcPr>
            <w:tcW w:w="1191" w:type="dxa"/>
            <w:tcBorders>
              <w:top w:val="nil"/>
              <w:left w:val="nil"/>
              <w:bottom w:val="single" w:color="000000" w:sz="8" w:space="0"/>
              <w:right w:val="single" w:color="000000" w:sz="8" w:space="0"/>
            </w:tcBorders>
            <w:shd w:val="clear" w:color="auto" w:fill="auto"/>
            <w:vAlign w:val="center"/>
          </w:tcPr>
          <w:p w14:paraId="742DECB1">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545E2BB8">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6BBAC552">
            <w:pPr>
              <w:pStyle w:val="24"/>
              <w:spacing w:line="240" w:lineRule="auto"/>
              <w:ind w:firstLine="0" w:firstLineChars="0"/>
              <w:rPr>
                <w:color w:val="000000"/>
                <w:kern w:val="0"/>
              </w:rPr>
            </w:pPr>
          </w:p>
        </w:tc>
      </w:tr>
      <w:tr w14:paraId="3A6DDB3C">
        <w:tblPrEx>
          <w:tblCellMar>
            <w:top w:w="0" w:type="dxa"/>
            <w:left w:w="108" w:type="dxa"/>
            <w:bottom w:w="0" w:type="dxa"/>
            <w:right w:w="108" w:type="dxa"/>
          </w:tblCellMar>
        </w:tblPrEx>
        <w:trPr>
          <w:trHeight w:val="340" w:hRule="atLeast"/>
        </w:trPr>
        <w:tc>
          <w:tcPr>
            <w:tcW w:w="656" w:type="dxa"/>
            <w:tcBorders>
              <w:top w:val="nil"/>
              <w:left w:val="single" w:color="000000" w:sz="8" w:space="0"/>
              <w:bottom w:val="single" w:color="000000" w:sz="8" w:space="0"/>
              <w:right w:val="single" w:color="000000" w:sz="8" w:space="0"/>
            </w:tcBorders>
            <w:shd w:val="clear" w:color="auto" w:fill="auto"/>
            <w:vAlign w:val="center"/>
          </w:tcPr>
          <w:p w14:paraId="2ECCBB56">
            <w:pPr>
              <w:pStyle w:val="24"/>
              <w:spacing w:line="240" w:lineRule="auto"/>
              <w:ind w:firstLine="0" w:firstLineChars="0"/>
              <w:rPr>
                <w:color w:val="000000"/>
                <w:kern w:val="0"/>
                <w:lang w:bidi="ar"/>
              </w:rPr>
            </w:pPr>
            <w:r>
              <w:rPr>
                <w:rFonts w:hint="eastAsia"/>
                <w:color w:val="000000"/>
                <w:kern w:val="0"/>
                <w:lang w:bidi="ar"/>
              </w:rPr>
              <w:t>4</w:t>
            </w:r>
          </w:p>
        </w:tc>
        <w:tc>
          <w:tcPr>
            <w:tcW w:w="4290" w:type="dxa"/>
            <w:tcBorders>
              <w:top w:val="nil"/>
              <w:left w:val="nil"/>
              <w:bottom w:val="single" w:color="000000" w:sz="8" w:space="0"/>
              <w:right w:val="single" w:color="000000" w:sz="8" w:space="0"/>
            </w:tcBorders>
            <w:shd w:val="clear" w:color="auto" w:fill="auto"/>
            <w:vAlign w:val="center"/>
          </w:tcPr>
          <w:p w14:paraId="34AC50ED">
            <w:pPr>
              <w:pStyle w:val="24"/>
              <w:spacing w:line="240" w:lineRule="auto"/>
              <w:ind w:firstLine="0" w:firstLineChars="0"/>
              <w:jc w:val="both"/>
              <w:rPr>
                <w:color w:val="000000"/>
                <w:kern w:val="0"/>
              </w:rPr>
            </w:pPr>
            <w:r>
              <w:rPr>
                <w:rFonts w:hint="eastAsia"/>
                <w:color w:val="000000"/>
                <w:kern w:val="0"/>
              </w:rPr>
              <w:t>建立并执行了生产质量管理制度</w:t>
            </w:r>
          </w:p>
        </w:tc>
        <w:tc>
          <w:tcPr>
            <w:tcW w:w="1191" w:type="dxa"/>
            <w:tcBorders>
              <w:top w:val="nil"/>
              <w:left w:val="nil"/>
              <w:bottom w:val="single" w:color="000000" w:sz="8" w:space="0"/>
              <w:right w:val="single" w:color="000000" w:sz="8" w:space="0"/>
            </w:tcBorders>
            <w:shd w:val="clear" w:color="auto" w:fill="auto"/>
            <w:vAlign w:val="center"/>
          </w:tcPr>
          <w:p w14:paraId="3802D280">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09C305C4">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4240FCD0">
            <w:pPr>
              <w:pStyle w:val="24"/>
              <w:spacing w:line="240" w:lineRule="auto"/>
              <w:ind w:firstLine="0" w:firstLineChars="0"/>
              <w:rPr>
                <w:color w:val="000000"/>
                <w:kern w:val="0"/>
              </w:rPr>
            </w:pPr>
          </w:p>
        </w:tc>
      </w:tr>
      <w:tr w14:paraId="42C3FFBB">
        <w:tblPrEx>
          <w:tblCellMar>
            <w:top w:w="0" w:type="dxa"/>
            <w:left w:w="108" w:type="dxa"/>
            <w:bottom w:w="0" w:type="dxa"/>
            <w:right w:w="108" w:type="dxa"/>
          </w:tblCellMar>
        </w:tblPrEx>
        <w:trPr>
          <w:trHeight w:val="340" w:hRule="atLeast"/>
        </w:trPr>
        <w:tc>
          <w:tcPr>
            <w:tcW w:w="656" w:type="dxa"/>
            <w:tcBorders>
              <w:top w:val="nil"/>
              <w:left w:val="single" w:color="000000" w:sz="8" w:space="0"/>
              <w:bottom w:val="single" w:color="000000" w:sz="8" w:space="0"/>
              <w:right w:val="single" w:color="000000" w:sz="8" w:space="0"/>
            </w:tcBorders>
            <w:shd w:val="clear" w:color="auto" w:fill="auto"/>
            <w:vAlign w:val="center"/>
          </w:tcPr>
          <w:p w14:paraId="2FBECE46">
            <w:pPr>
              <w:pStyle w:val="24"/>
              <w:spacing w:line="240" w:lineRule="auto"/>
              <w:ind w:firstLine="0" w:firstLineChars="0"/>
              <w:rPr>
                <w:color w:val="000000"/>
                <w:kern w:val="0"/>
                <w:lang w:bidi="ar"/>
              </w:rPr>
            </w:pPr>
            <w:r>
              <w:rPr>
                <w:rFonts w:hint="eastAsia"/>
                <w:color w:val="000000"/>
                <w:kern w:val="0"/>
                <w:lang w:bidi="ar"/>
              </w:rPr>
              <w:t>5</w:t>
            </w:r>
          </w:p>
        </w:tc>
        <w:tc>
          <w:tcPr>
            <w:tcW w:w="4290" w:type="dxa"/>
            <w:tcBorders>
              <w:top w:val="nil"/>
              <w:left w:val="nil"/>
              <w:bottom w:val="single" w:color="000000" w:sz="8" w:space="0"/>
              <w:right w:val="single" w:color="000000" w:sz="8" w:space="0"/>
            </w:tcBorders>
            <w:shd w:val="clear" w:color="auto" w:fill="auto"/>
            <w:vAlign w:val="center"/>
          </w:tcPr>
          <w:p w14:paraId="1527B526">
            <w:pPr>
              <w:pStyle w:val="24"/>
              <w:spacing w:line="240" w:lineRule="auto"/>
              <w:ind w:firstLine="0" w:firstLineChars="0"/>
              <w:jc w:val="both"/>
              <w:rPr>
                <w:color w:val="000000"/>
                <w:kern w:val="0"/>
              </w:rPr>
            </w:pPr>
            <w:r>
              <w:rPr>
                <w:rFonts w:hint="eastAsia" w:cs="Times New Roman" w:eastAsiaTheme="majorEastAsia"/>
              </w:rPr>
              <w:t>落实生产质量实时监控和预防管理措施</w:t>
            </w:r>
          </w:p>
        </w:tc>
        <w:tc>
          <w:tcPr>
            <w:tcW w:w="1191" w:type="dxa"/>
            <w:tcBorders>
              <w:top w:val="nil"/>
              <w:left w:val="nil"/>
              <w:bottom w:val="single" w:color="000000" w:sz="8" w:space="0"/>
              <w:right w:val="single" w:color="000000" w:sz="8" w:space="0"/>
            </w:tcBorders>
            <w:shd w:val="clear" w:color="auto" w:fill="auto"/>
            <w:vAlign w:val="center"/>
          </w:tcPr>
          <w:p w14:paraId="4EE42815">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79426174">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606EC9E6">
            <w:pPr>
              <w:pStyle w:val="24"/>
              <w:spacing w:line="240" w:lineRule="auto"/>
              <w:ind w:firstLine="0" w:firstLineChars="0"/>
              <w:rPr>
                <w:color w:val="000000"/>
                <w:kern w:val="0"/>
              </w:rPr>
            </w:pPr>
          </w:p>
        </w:tc>
      </w:tr>
      <w:tr w14:paraId="481AA7E3">
        <w:tblPrEx>
          <w:tblCellMar>
            <w:top w:w="0" w:type="dxa"/>
            <w:left w:w="108" w:type="dxa"/>
            <w:bottom w:w="0" w:type="dxa"/>
            <w:right w:w="108" w:type="dxa"/>
          </w:tblCellMar>
        </w:tblPrEx>
        <w:trPr>
          <w:trHeight w:val="340" w:hRule="atLeast"/>
        </w:trPr>
        <w:tc>
          <w:tcPr>
            <w:tcW w:w="656" w:type="dxa"/>
            <w:tcBorders>
              <w:top w:val="nil"/>
              <w:left w:val="single" w:color="000000" w:sz="8" w:space="0"/>
              <w:bottom w:val="single" w:color="000000" w:sz="8" w:space="0"/>
              <w:right w:val="single" w:color="000000" w:sz="8" w:space="0"/>
            </w:tcBorders>
            <w:shd w:val="clear" w:color="auto" w:fill="auto"/>
            <w:vAlign w:val="center"/>
          </w:tcPr>
          <w:p w14:paraId="01B37D46">
            <w:pPr>
              <w:pStyle w:val="24"/>
              <w:spacing w:line="240" w:lineRule="auto"/>
              <w:ind w:firstLine="0" w:firstLineChars="0"/>
              <w:rPr>
                <w:color w:val="000000"/>
                <w:kern w:val="0"/>
                <w:lang w:bidi="ar"/>
              </w:rPr>
            </w:pPr>
            <w:r>
              <w:rPr>
                <w:rFonts w:hint="eastAsia"/>
                <w:color w:val="000000"/>
                <w:kern w:val="0"/>
                <w:lang w:bidi="ar"/>
              </w:rPr>
              <w:t>6</w:t>
            </w:r>
          </w:p>
        </w:tc>
        <w:tc>
          <w:tcPr>
            <w:tcW w:w="4290" w:type="dxa"/>
            <w:tcBorders>
              <w:top w:val="nil"/>
              <w:left w:val="nil"/>
              <w:bottom w:val="single" w:color="000000" w:sz="8" w:space="0"/>
              <w:right w:val="single" w:color="000000" w:sz="8" w:space="0"/>
            </w:tcBorders>
            <w:shd w:val="clear" w:color="auto" w:fill="auto"/>
            <w:vAlign w:val="center"/>
          </w:tcPr>
          <w:p w14:paraId="556F71B9">
            <w:pPr>
              <w:pStyle w:val="24"/>
              <w:spacing w:line="240" w:lineRule="auto"/>
              <w:ind w:firstLine="0" w:firstLineChars="0"/>
              <w:jc w:val="both"/>
              <w:rPr>
                <w:rFonts w:cs="Times New Roman" w:eastAsiaTheme="majorEastAsia"/>
              </w:rPr>
            </w:pPr>
            <w:r>
              <w:rPr>
                <w:rFonts w:hint="eastAsia" w:cs="Times New Roman" w:eastAsiaTheme="majorEastAsia"/>
              </w:rPr>
              <w:t>建立物质计量统计管理制度，计量设备校准、数据分析及评估统计记录完整</w:t>
            </w:r>
          </w:p>
        </w:tc>
        <w:tc>
          <w:tcPr>
            <w:tcW w:w="1191" w:type="dxa"/>
            <w:tcBorders>
              <w:top w:val="nil"/>
              <w:left w:val="nil"/>
              <w:bottom w:val="single" w:color="000000" w:sz="8" w:space="0"/>
              <w:right w:val="single" w:color="000000" w:sz="8" w:space="0"/>
            </w:tcBorders>
            <w:shd w:val="clear" w:color="auto" w:fill="auto"/>
            <w:vAlign w:val="center"/>
          </w:tcPr>
          <w:p w14:paraId="5D08ADFD">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503E6B6C">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337E6E4B">
            <w:pPr>
              <w:pStyle w:val="24"/>
              <w:spacing w:line="240" w:lineRule="auto"/>
              <w:ind w:firstLine="0" w:firstLineChars="0"/>
              <w:rPr>
                <w:color w:val="000000"/>
                <w:kern w:val="0"/>
              </w:rPr>
            </w:pPr>
          </w:p>
        </w:tc>
      </w:tr>
      <w:tr w14:paraId="0B3ECB93">
        <w:tblPrEx>
          <w:tblCellMar>
            <w:top w:w="0" w:type="dxa"/>
            <w:left w:w="108" w:type="dxa"/>
            <w:bottom w:w="0" w:type="dxa"/>
            <w:right w:w="108" w:type="dxa"/>
          </w:tblCellMar>
        </w:tblPrEx>
        <w:trPr>
          <w:trHeight w:val="340" w:hRule="atLeast"/>
        </w:trPr>
        <w:tc>
          <w:tcPr>
            <w:tcW w:w="656" w:type="dxa"/>
            <w:tcBorders>
              <w:top w:val="nil"/>
              <w:left w:val="single" w:color="000000" w:sz="8" w:space="0"/>
              <w:bottom w:val="single" w:color="000000" w:sz="8" w:space="0"/>
              <w:right w:val="single" w:color="000000" w:sz="8" w:space="0"/>
            </w:tcBorders>
            <w:shd w:val="clear" w:color="auto" w:fill="auto"/>
            <w:vAlign w:val="center"/>
          </w:tcPr>
          <w:p w14:paraId="41A3F88F">
            <w:pPr>
              <w:pStyle w:val="24"/>
              <w:spacing w:line="240" w:lineRule="auto"/>
              <w:ind w:firstLine="0" w:firstLineChars="0"/>
              <w:rPr>
                <w:color w:val="000000"/>
                <w:kern w:val="0"/>
                <w:lang w:bidi="ar"/>
              </w:rPr>
            </w:pPr>
            <w:r>
              <w:rPr>
                <w:rFonts w:hint="eastAsia"/>
                <w:color w:val="000000"/>
                <w:kern w:val="0"/>
                <w:lang w:bidi="ar"/>
              </w:rPr>
              <w:t>7</w:t>
            </w:r>
          </w:p>
        </w:tc>
        <w:tc>
          <w:tcPr>
            <w:tcW w:w="4290" w:type="dxa"/>
            <w:tcBorders>
              <w:top w:val="nil"/>
              <w:left w:val="nil"/>
              <w:bottom w:val="single" w:color="000000" w:sz="8" w:space="0"/>
              <w:right w:val="single" w:color="000000" w:sz="8" w:space="0"/>
            </w:tcBorders>
            <w:shd w:val="clear" w:color="auto" w:fill="auto"/>
            <w:vAlign w:val="center"/>
          </w:tcPr>
          <w:p w14:paraId="455BB044">
            <w:pPr>
              <w:pStyle w:val="24"/>
              <w:spacing w:line="240" w:lineRule="auto"/>
              <w:ind w:firstLine="0" w:firstLineChars="0"/>
              <w:jc w:val="both"/>
              <w:rPr>
                <w:rFonts w:cs="Times New Roman" w:eastAsiaTheme="majorEastAsia"/>
                <w:highlight w:val="yellow"/>
              </w:rPr>
            </w:pPr>
            <w:r>
              <w:rPr>
                <w:color w:val="000000"/>
                <w:kern w:val="0"/>
                <w:lang w:bidi="ar"/>
              </w:rPr>
              <w:t>建立信息流管理</w:t>
            </w:r>
            <w:r>
              <w:rPr>
                <w:rFonts w:hint="eastAsia"/>
                <w:color w:val="000000"/>
                <w:kern w:val="0"/>
                <w:lang w:bidi="ar"/>
              </w:rPr>
              <w:t>制度</w:t>
            </w:r>
            <w:r>
              <w:rPr>
                <w:color w:val="000000"/>
                <w:kern w:val="0"/>
                <w:lang w:bidi="ar"/>
              </w:rPr>
              <w:t>，详细记录生产过程，具有可回溯性</w:t>
            </w:r>
          </w:p>
        </w:tc>
        <w:tc>
          <w:tcPr>
            <w:tcW w:w="1191" w:type="dxa"/>
            <w:tcBorders>
              <w:top w:val="nil"/>
              <w:left w:val="nil"/>
              <w:bottom w:val="single" w:color="000000" w:sz="8" w:space="0"/>
              <w:right w:val="single" w:color="000000" w:sz="8" w:space="0"/>
            </w:tcBorders>
            <w:shd w:val="clear" w:color="auto" w:fill="auto"/>
            <w:vAlign w:val="center"/>
          </w:tcPr>
          <w:p w14:paraId="5F4C8F4A">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72F447AE">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26BDDCE2">
            <w:pPr>
              <w:pStyle w:val="24"/>
              <w:spacing w:line="240" w:lineRule="auto"/>
              <w:ind w:firstLine="0" w:firstLineChars="0"/>
              <w:rPr>
                <w:color w:val="000000"/>
                <w:kern w:val="0"/>
              </w:rPr>
            </w:pPr>
          </w:p>
        </w:tc>
      </w:tr>
      <w:tr w14:paraId="5A557197">
        <w:tblPrEx>
          <w:tblCellMar>
            <w:top w:w="0" w:type="dxa"/>
            <w:left w:w="108" w:type="dxa"/>
            <w:bottom w:w="0" w:type="dxa"/>
            <w:right w:w="108" w:type="dxa"/>
          </w:tblCellMar>
        </w:tblPrEx>
        <w:trPr>
          <w:trHeight w:val="340" w:hRule="atLeast"/>
        </w:trPr>
        <w:tc>
          <w:tcPr>
            <w:tcW w:w="656" w:type="dxa"/>
            <w:tcBorders>
              <w:top w:val="nil"/>
              <w:left w:val="single" w:color="000000" w:sz="8" w:space="0"/>
              <w:bottom w:val="single" w:color="000000" w:sz="8" w:space="0"/>
              <w:right w:val="single" w:color="000000" w:sz="8" w:space="0"/>
            </w:tcBorders>
            <w:shd w:val="clear" w:color="auto" w:fill="auto"/>
            <w:vAlign w:val="center"/>
          </w:tcPr>
          <w:p w14:paraId="08AEFAEF">
            <w:pPr>
              <w:pStyle w:val="24"/>
              <w:spacing w:line="240" w:lineRule="auto"/>
              <w:ind w:firstLine="0" w:firstLineChars="0"/>
              <w:rPr>
                <w:color w:val="000000"/>
                <w:kern w:val="0"/>
                <w:lang w:bidi="ar"/>
              </w:rPr>
            </w:pPr>
            <w:r>
              <w:rPr>
                <w:rFonts w:hint="eastAsia"/>
                <w:color w:val="000000"/>
                <w:kern w:val="0"/>
                <w:lang w:bidi="ar"/>
              </w:rPr>
              <w:t>8</w:t>
            </w:r>
          </w:p>
        </w:tc>
        <w:tc>
          <w:tcPr>
            <w:tcW w:w="4290" w:type="dxa"/>
            <w:tcBorders>
              <w:top w:val="nil"/>
              <w:left w:val="nil"/>
              <w:bottom w:val="single" w:color="000000" w:sz="8" w:space="0"/>
              <w:right w:val="single" w:color="000000" w:sz="8" w:space="0"/>
            </w:tcBorders>
            <w:shd w:val="clear" w:color="auto" w:fill="auto"/>
            <w:vAlign w:val="center"/>
          </w:tcPr>
          <w:p w14:paraId="174D42B3">
            <w:pPr>
              <w:pStyle w:val="24"/>
              <w:spacing w:line="240" w:lineRule="auto"/>
              <w:ind w:firstLine="0" w:firstLineChars="0"/>
              <w:jc w:val="both"/>
              <w:rPr>
                <w:color w:val="000000"/>
                <w:kern w:val="0"/>
                <w:lang w:bidi="ar"/>
              </w:rPr>
            </w:pPr>
            <w:r>
              <w:rPr>
                <w:color w:val="000000"/>
                <w:kern w:val="0"/>
                <w:lang w:bidi="ar"/>
              </w:rPr>
              <w:t>采用了</w:t>
            </w:r>
            <w:r>
              <w:rPr>
                <w:rFonts w:hint="eastAsia"/>
                <w:color w:val="000000"/>
                <w:kern w:val="0"/>
                <w:lang w:bidi="ar"/>
              </w:rPr>
              <w:t>信息化管理技术和平台</w:t>
            </w:r>
          </w:p>
        </w:tc>
        <w:tc>
          <w:tcPr>
            <w:tcW w:w="1191" w:type="dxa"/>
            <w:tcBorders>
              <w:top w:val="nil"/>
              <w:left w:val="nil"/>
              <w:bottom w:val="single" w:color="000000" w:sz="8" w:space="0"/>
              <w:right w:val="single" w:color="000000" w:sz="8" w:space="0"/>
            </w:tcBorders>
            <w:shd w:val="clear" w:color="auto" w:fill="auto"/>
            <w:vAlign w:val="center"/>
          </w:tcPr>
          <w:p w14:paraId="5D7E541D">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1454685D">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24D3DE33">
            <w:pPr>
              <w:pStyle w:val="24"/>
              <w:spacing w:line="240" w:lineRule="auto"/>
              <w:ind w:firstLine="0" w:firstLineChars="0"/>
              <w:rPr>
                <w:color w:val="000000"/>
                <w:kern w:val="0"/>
              </w:rPr>
            </w:pPr>
          </w:p>
        </w:tc>
      </w:tr>
      <w:tr w14:paraId="3B0E517F">
        <w:tblPrEx>
          <w:tblCellMar>
            <w:top w:w="0" w:type="dxa"/>
            <w:left w:w="108" w:type="dxa"/>
            <w:bottom w:w="0" w:type="dxa"/>
            <w:right w:w="108" w:type="dxa"/>
          </w:tblCellMar>
        </w:tblPrEx>
        <w:trPr>
          <w:trHeight w:val="340" w:hRule="atLeast"/>
        </w:trPr>
        <w:tc>
          <w:tcPr>
            <w:tcW w:w="656" w:type="dxa"/>
            <w:tcBorders>
              <w:top w:val="nil"/>
              <w:left w:val="single" w:color="000000" w:sz="8" w:space="0"/>
              <w:bottom w:val="single" w:color="000000" w:sz="8" w:space="0"/>
              <w:right w:val="single" w:color="000000" w:sz="8" w:space="0"/>
            </w:tcBorders>
            <w:shd w:val="clear" w:color="auto" w:fill="auto"/>
            <w:vAlign w:val="center"/>
          </w:tcPr>
          <w:p w14:paraId="0235D33E">
            <w:pPr>
              <w:pStyle w:val="24"/>
              <w:spacing w:line="240" w:lineRule="auto"/>
              <w:ind w:firstLine="0" w:firstLineChars="0"/>
              <w:rPr>
                <w:color w:val="000000"/>
                <w:kern w:val="0"/>
              </w:rPr>
            </w:pPr>
            <w:r>
              <w:rPr>
                <w:rFonts w:hint="eastAsia"/>
                <w:color w:val="000000"/>
                <w:kern w:val="0"/>
              </w:rPr>
              <w:t>9</w:t>
            </w:r>
          </w:p>
        </w:tc>
        <w:tc>
          <w:tcPr>
            <w:tcW w:w="4290" w:type="dxa"/>
            <w:tcBorders>
              <w:top w:val="nil"/>
              <w:left w:val="nil"/>
              <w:bottom w:val="single" w:color="000000" w:sz="8" w:space="0"/>
              <w:right w:val="single" w:color="000000" w:sz="8" w:space="0"/>
            </w:tcBorders>
            <w:shd w:val="clear" w:color="auto" w:fill="auto"/>
            <w:vAlign w:val="center"/>
          </w:tcPr>
          <w:p w14:paraId="4003A603">
            <w:pPr>
              <w:pStyle w:val="24"/>
              <w:spacing w:line="240" w:lineRule="auto"/>
              <w:ind w:firstLine="0" w:firstLineChars="0"/>
              <w:jc w:val="both"/>
              <w:rPr>
                <w:color w:val="000000"/>
                <w:kern w:val="0"/>
              </w:rPr>
            </w:pPr>
            <w:r>
              <w:rPr>
                <w:rFonts w:hint="eastAsia"/>
                <w:color w:val="000000"/>
                <w:kern w:val="0"/>
                <w:lang w:bidi="ar"/>
              </w:rPr>
              <w:t>制定</w:t>
            </w:r>
            <w:r>
              <w:rPr>
                <w:color w:val="000000"/>
                <w:kern w:val="0"/>
                <w:lang w:bidi="ar"/>
              </w:rPr>
              <w:t>并执行</w:t>
            </w:r>
            <w:r>
              <w:rPr>
                <w:rFonts w:hint="eastAsia"/>
                <w:color w:val="000000"/>
                <w:kern w:val="0"/>
                <w:lang w:bidi="ar"/>
              </w:rPr>
              <w:t>了</w:t>
            </w:r>
            <w:r>
              <w:rPr>
                <w:color w:val="000000"/>
                <w:kern w:val="0"/>
                <w:lang w:bidi="ar"/>
              </w:rPr>
              <w:t>完善的环境管理制度</w:t>
            </w:r>
          </w:p>
        </w:tc>
        <w:tc>
          <w:tcPr>
            <w:tcW w:w="1191" w:type="dxa"/>
            <w:tcBorders>
              <w:top w:val="nil"/>
              <w:left w:val="nil"/>
              <w:bottom w:val="single" w:color="000000" w:sz="8" w:space="0"/>
              <w:right w:val="single" w:color="000000" w:sz="8" w:space="0"/>
            </w:tcBorders>
            <w:shd w:val="clear" w:color="auto" w:fill="auto"/>
            <w:vAlign w:val="center"/>
          </w:tcPr>
          <w:p w14:paraId="58CA0A70">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1F41A4BE">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25B85B2B">
            <w:pPr>
              <w:pStyle w:val="24"/>
              <w:spacing w:line="240" w:lineRule="auto"/>
              <w:ind w:firstLine="0" w:firstLineChars="0"/>
              <w:rPr>
                <w:color w:val="000000"/>
                <w:kern w:val="0"/>
              </w:rPr>
            </w:pPr>
          </w:p>
        </w:tc>
      </w:tr>
      <w:tr w14:paraId="60223639">
        <w:tblPrEx>
          <w:tblCellMar>
            <w:top w:w="0" w:type="dxa"/>
            <w:left w:w="108" w:type="dxa"/>
            <w:bottom w:w="0" w:type="dxa"/>
            <w:right w:w="108" w:type="dxa"/>
          </w:tblCellMar>
        </w:tblPrEx>
        <w:trPr>
          <w:trHeight w:val="340" w:hRule="atLeast"/>
        </w:trPr>
        <w:tc>
          <w:tcPr>
            <w:tcW w:w="656" w:type="dxa"/>
            <w:tcBorders>
              <w:top w:val="nil"/>
              <w:left w:val="single" w:color="000000" w:sz="8" w:space="0"/>
              <w:bottom w:val="single" w:color="000000" w:sz="8" w:space="0"/>
              <w:right w:val="single" w:color="000000" w:sz="8" w:space="0"/>
            </w:tcBorders>
            <w:shd w:val="clear" w:color="auto" w:fill="auto"/>
            <w:vAlign w:val="center"/>
          </w:tcPr>
          <w:p w14:paraId="7CA3DEB5">
            <w:pPr>
              <w:pStyle w:val="24"/>
              <w:spacing w:line="240" w:lineRule="auto"/>
              <w:ind w:firstLine="0" w:firstLineChars="0"/>
              <w:rPr>
                <w:color w:val="000000"/>
                <w:kern w:val="0"/>
              </w:rPr>
            </w:pPr>
            <w:r>
              <w:rPr>
                <w:rFonts w:hint="eastAsia"/>
                <w:color w:val="000000"/>
                <w:kern w:val="0"/>
              </w:rPr>
              <w:t>10</w:t>
            </w:r>
          </w:p>
        </w:tc>
        <w:tc>
          <w:tcPr>
            <w:tcW w:w="4290" w:type="dxa"/>
            <w:tcBorders>
              <w:top w:val="nil"/>
              <w:left w:val="nil"/>
              <w:bottom w:val="single" w:color="000000" w:sz="8" w:space="0"/>
              <w:right w:val="single" w:color="000000" w:sz="8" w:space="0"/>
            </w:tcBorders>
            <w:shd w:val="clear" w:color="auto" w:fill="auto"/>
            <w:vAlign w:val="center"/>
          </w:tcPr>
          <w:p w14:paraId="1D019FE7">
            <w:pPr>
              <w:pStyle w:val="24"/>
              <w:spacing w:line="240" w:lineRule="auto"/>
              <w:ind w:firstLine="0" w:firstLineChars="0"/>
              <w:jc w:val="both"/>
              <w:rPr>
                <w:color w:val="000000"/>
                <w:kern w:val="0"/>
              </w:rPr>
            </w:pPr>
            <w:r>
              <w:rPr>
                <w:color w:val="000000"/>
                <w:kern w:val="0"/>
                <w:lang w:bidi="ar"/>
              </w:rPr>
              <w:t>建设有废水、废气处理设施运行管理系统</w:t>
            </w:r>
          </w:p>
        </w:tc>
        <w:tc>
          <w:tcPr>
            <w:tcW w:w="1191" w:type="dxa"/>
            <w:tcBorders>
              <w:top w:val="nil"/>
              <w:left w:val="nil"/>
              <w:bottom w:val="single" w:color="000000" w:sz="8" w:space="0"/>
              <w:right w:val="single" w:color="000000" w:sz="8" w:space="0"/>
            </w:tcBorders>
            <w:shd w:val="clear" w:color="auto" w:fill="auto"/>
            <w:vAlign w:val="center"/>
          </w:tcPr>
          <w:p w14:paraId="1F0FD319">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421620B7">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5A8F0070">
            <w:pPr>
              <w:pStyle w:val="24"/>
              <w:spacing w:line="240" w:lineRule="auto"/>
              <w:ind w:firstLine="0" w:firstLineChars="0"/>
              <w:rPr>
                <w:color w:val="000000"/>
                <w:kern w:val="0"/>
              </w:rPr>
            </w:pPr>
          </w:p>
        </w:tc>
      </w:tr>
      <w:tr w14:paraId="7502E89B">
        <w:tblPrEx>
          <w:tblCellMar>
            <w:top w:w="0" w:type="dxa"/>
            <w:left w:w="108" w:type="dxa"/>
            <w:bottom w:w="0" w:type="dxa"/>
            <w:right w:w="108" w:type="dxa"/>
          </w:tblCellMar>
        </w:tblPrEx>
        <w:trPr>
          <w:trHeight w:val="340" w:hRule="atLeast"/>
        </w:trPr>
        <w:tc>
          <w:tcPr>
            <w:tcW w:w="656" w:type="dxa"/>
            <w:tcBorders>
              <w:top w:val="nil"/>
              <w:left w:val="single" w:color="000000" w:sz="8" w:space="0"/>
              <w:bottom w:val="single" w:color="000000" w:sz="8" w:space="0"/>
              <w:right w:val="single" w:color="000000" w:sz="8" w:space="0"/>
            </w:tcBorders>
            <w:shd w:val="clear" w:color="auto" w:fill="auto"/>
            <w:vAlign w:val="center"/>
          </w:tcPr>
          <w:p w14:paraId="1775D06D">
            <w:pPr>
              <w:pStyle w:val="24"/>
              <w:spacing w:line="240" w:lineRule="auto"/>
              <w:ind w:firstLine="0" w:firstLineChars="0"/>
              <w:rPr>
                <w:color w:val="000000"/>
                <w:kern w:val="0"/>
              </w:rPr>
            </w:pPr>
            <w:r>
              <w:rPr>
                <w:rFonts w:hint="eastAsia"/>
                <w:color w:val="000000"/>
                <w:kern w:val="0"/>
              </w:rPr>
              <w:t>11</w:t>
            </w:r>
          </w:p>
        </w:tc>
        <w:tc>
          <w:tcPr>
            <w:tcW w:w="4290" w:type="dxa"/>
            <w:tcBorders>
              <w:top w:val="nil"/>
              <w:left w:val="nil"/>
              <w:bottom w:val="single" w:color="000000" w:sz="8" w:space="0"/>
              <w:right w:val="single" w:color="000000" w:sz="8" w:space="0"/>
            </w:tcBorders>
            <w:shd w:val="clear" w:color="auto" w:fill="auto"/>
            <w:vAlign w:val="center"/>
          </w:tcPr>
          <w:p w14:paraId="0082438B">
            <w:pPr>
              <w:pStyle w:val="24"/>
              <w:spacing w:line="240" w:lineRule="auto"/>
              <w:ind w:firstLine="0" w:firstLineChars="0"/>
              <w:jc w:val="both"/>
              <w:rPr>
                <w:color w:val="000000"/>
                <w:kern w:val="0"/>
                <w:lang w:bidi="ar"/>
              </w:rPr>
            </w:pPr>
            <w:r>
              <w:rPr>
                <w:rFonts w:hint="eastAsia"/>
                <w:color w:val="000000"/>
                <w:kern w:val="0"/>
                <w:lang w:bidi="ar"/>
              </w:rPr>
              <w:t>建立固体废物管理制度</w:t>
            </w:r>
          </w:p>
        </w:tc>
        <w:tc>
          <w:tcPr>
            <w:tcW w:w="1191" w:type="dxa"/>
            <w:tcBorders>
              <w:top w:val="nil"/>
              <w:left w:val="nil"/>
              <w:bottom w:val="single" w:color="000000" w:sz="8" w:space="0"/>
              <w:right w:val="single" w:color="000000" w:sz="8" w:space="0"/>
            </w:tcBorders>
            <w:shd w:val="clear" w:color="auto" w:fill="auto"/>
            <w:vAlign w:val="center"/>
          </w:tcPr>
          <w:p w14:paraId="060CC165">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1DAA0F91">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13F678AD">
            <w:pPr>
              <w:pStyle w:val="24"/>
              <w:spacing w:line="240" w:lineRule="auto"/>
              <w:ind w:firstLine="0" w:firstLineChars="0"/>
              <w:rPr>
                <w:color w:val="000000"/>
                <w:kern w:val="0"/>
              </w:rPr>
            </w:pPr>
          </w:p>
        </w:tc>
      </w:tr>
      <w:tr w14:paraId="36371054">
        <w:tblPrEx>
          <w:tblCellMar>
            <w:top w:w="0" w:type="dxa"/>
            <w:left w:w="108" w:type="dxa"/>
            <w:bottom w:w="0" w:type="dxa"/>
            <w:right w:w="108" w:type="dxa"/>
          </w:tblCellMar>
        </w:tblPrEx>
        <w:trPr>
          <w:trHeight w:val="340" w:hRule="atLeast"/>
        </w:trPr>
        <w:tc>
          <w:tcPr>
            <w:tcW w:w="656" w:type="dxa"/>
            <w:tcBorders>
              <w:top w:val="nil"/>
              <w:left w:val="single" w:color="000000" w:sz="8" w:space="0"/>
              <w:bottom w:val="single" w:color="000000" w:sz="8" w:space="0"/>
              <w:right w:val="single" w:color="000000" w:sz="8" w:space="0"/>
            </w:tcBorders>
            <w:shd w:val="clear" w:color="auto" w:fill="auto"/>
            <w:vAlign w:val="center"/>
          </w:tcPr>
          <w:p w14:paraId="34FC2D53">
            <w:pPr>
              <w:pStyle w:val="24"/>
              <w:spacing w:line="240" w:lineRule="auto"/>
              <w:ind w:firstLine="0" w:firstLineChars="0"/>
              <w:rPr>
                <w:color w:val="000000"/>
                <w:kern w:val="0"/>
              </w:rPr>
            </w:pPr>
            <w:r>
              <w:rPr>
                <w:rFonts w:hint="eastAsia"/>
                <w:color w:val="000000"/>
                <w:kern w:val="0"/>
              </w:rPr>
              <w:t>12</w:t>
            </w:r>
          </w:p>
        </w:tc>
        <w:tc>
          <w:tcPr>
            <w:tcW w:w="4290" w:type="dxa"/>
            <w:tcBorders>
              <w:top w:val="nil"/>
              <w:left w:val="nil"/>
              <w:bottom w:val="single" w:color="000000" w:sz="8" w:space="0"/>
              <w:right w:val="single" w:color="000000" w:sz="8" w:space="0"/>
            </w:tcBorders>
            <w:shd w:val="clear" w:color="auto" w:fill="auto"/>
            <w:vAlign w:val="center"/>
          </w:tcPr>
          <w:p w14:paraId="121CCDA6">
            <w:pPr>
              <w:pStyle w:val="24"/>
              <w:spacing w:line="240" w:lineRule="auto"/>
              <w:ind w:firstLine="0" w:firstLineChars="0"/>
              <w:jc w:val="both"/>
              <w:rPr>
                <w:color w:val="000000"/>
                <w:kern w:val="0"/>
              </w:rPr>
            </w:pPr>
            <w:r>
              <w:rPr>
                <w:color w:val="000000"/>
                <w:kern w:val="0"/>
                <w:lang w:bidi="ar"/>
              </w:rPr>
              <w:t>建立环境管理体系</w:t>
            </w:r>
          </w:p>
        </w:tc>
        <w:tc>
          <w:tcPr>
            <w:tcW w:w="1191" w:type="dxa"/>
            <w:tcBorders>
              <w:top w:val="nil"/>
              <w:left w:val="nil"/>
              <w:bottom w:val="single" w:color="000000" w:sz="8" w:space="0"/>
              <w:right w:val="single" w:color="000000" w:sz="8" w:space="0"/>
            </w:tcBorders>
            <w:shd w:val="clear" w:color="auto" w:fill="auto"/>
            <w:vAlign w:val="center"/>
          </w:tcPr>
          <w:p w14:paraId="1BCA46BA">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3FCA8152">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4D0462D4">
            <w:pPr>
              <w:pStyle w:val="24"/>
              <w:spacing w:line="240" w:lineRule="auto"/>
              <w:ind w:firstLine="0" w:firstLineChars="0"/>
              <w:rPr>
                <w:color w:val="000000"/>
                <w:kern w:val="0"/>
              </w:rPr>
            </w:pPr>
          </w:p>
        </w:tc>
      </w:tr>
      <w:tr w14:paraId="316DF30D">
        <w:tblPrEx>
          <w:tblCellMar>
            <w:top w:w="0" w:type="dxa"/>
            <w:left w:w="108" w:type="dxa"/>
            <w:bottom w:w="0" w:type="dxa"/>
            <w:right w:w="108" w:type="dxa"/>
          </w:tblCellMar>
        </w:tblPrEx>
        <w:trPr>
          <w:trHeight w:val="340" w:hRule="atLeast"/>
        </w:trPr>
        <w:tc>
          <w:tcPr>
            <w:tcW w:w="656" w:type="dxa"/>
            <w:tcBorders>
              <w:top w:val="nil"/>
              <w:left w:val="single" w:color="000000" w:sz="8" w:space="0"/>
              <w:bottom w:val="single" w:color="000000" w:sz="8" w:space="0"/>
              <w:right w:val="single" w:color="000000" w:sz="8" w:space="0"/>
            </w:tcBorders>
            <w:shd w:val="clear" w:color="auto" w:fill="auto"/>
            <w:vAlign w:val="center"/>
          </w:tcPr>
          <w:p w14:paraId="55C3F65A">
            <w:pPr>
              <w:pStyle w:val="24"/>
              <w:spacing w:line="240" w:lineRule="auto"/>
              <w:ind w:firstLine="0" w:firstLineChars="0"/>
              <w:rPr>
                <w:color w:val="000000"/>
                <w:kern w:val="0"/>
              </w:rPr>
            </w:pPr>
            <w:r>
              <w:rPr>
                <w:rFonts w:hint="eastAsia"/>
                <w:color w:val="000000"/>
                <w:kern w:val="0"/>
              </w:rPr>
              <w:t>13</w:t>
            </w:r>
          </w:p>
        </w:tc>
        <w:tc>
          <w:tcPr>
            <w:tcW w:w="4290" w:type="dxa"/>
            <w:tcBorders>
              <w:top w:val="nil"/>
              <w:left w:val="nil"/>
              <w:bottom w:val="single" w:color="000000" w:sz="8" w:space="0"/>
              <w:right w:val="single" w:color="000000" w:sz="8" w:space="0"/>
            </w:tcBorders>
            <w:shd w:val="clear" w:color="auto" w:fill="auto"/>
            <w:vAlign w:val="center"/>
          </w:tcPr>
          <w:p w14:paraId="558D092F">
            <w:pPr>
              <w:pStyle w:val="24"/>
              <w:spacing w:line="240" w:lineRule="auto"/>
              <w:ind w:firstLine="0" w:firstLineChars="0"/>
              <w:jc w:val="both"/>
              <w:rPr>
                <w:color w:val="000000"/>
                <w:kern w:val="0"/>
              </w:rPr>
            </w:pPr>
            <w:r>
              <w:rPr>
                <w:color w:val="000000"/>
                <w:kern w:val="0"/>
                <w:lang w:bidi="ar"/>
              </w:rPr>
              <w:t>建立能源管理体系</w:t>
            </w:r>
          </w:p>
        </w:tc>
        <w:tc>
          <w:tcPr>
            <w:tcW w:w="1191" w:type="dxa"/>
            <w:tcBorders>
              <w:top w:val="nil"/>
              <w:left w:val="nil"/>
              <w:bottom w:val="single" w:color="000000" w:sz="8" w:space="0"/>
              <w:right w:val="single" w:color="000000" w:sz="8" w:space="0"/>
            </w:tcBorders>
            <w:shd w:val="clear" w:color="auto" w:fill="auto"/>
            <w:vAlign w:val="center"/>
          </w:tcPr>
          <w:p w14:paraId="527714F1">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2C50B280">
            <w:pPr>
              <w:pStyle w:val="24"/>
              <w:spacing w:line="240" w:lineRule="auto"/>
              <w:ind w:firstLine="0" w:firstLineChars="0"/>
              <w:rPr>
                <w:color w:val="000000"/>
                <w:kern w:val="0"/>
              </w:rPr>
            </w:pPr>
          </w:p>
        </w:tc>
        <w:tc>
          <w:tcPr>
            <w:tcW w:w="1191" w:type="dxa"/>
            <w:tcBorders>
              <w:top w:val="nil"/>
              <w:left w:val="nil"/>
              <w:bottom w:val="single" w:color="000000" w:sz="8" w:space="0"/>
              <w:right w:val="single" w:color="000000" w:sz="8" w:space="0"/>
            </w:tcBorders>
            <w:shd w:val="clear" w:color="auto" w:fill="auto"/>
            <w:vAlign w:val="center"/>
          </w:tcPr>
          <w:p w14:paraId="2520FEDC">
            <w:pPr>
              <w:pStyle w:val="24"/>
              <w:spacing w:line="240" w:lineRule="auto"/>
              <w:ind w:firstLine="0" w:firstLineChars="0"/>
              <w:rPr>
                <w:color w:val="000000"/>
                <w:kern w:val="0"/>
              </w:rPr>
            </w:pPr>
          </w:p>
        </w:tc>
      </w:tr>
    </w:tbl>
    <w:p w14:paraId="209E4136">
      <w:pPr>
        <w:keepNext/>
        <w:keepLines/>
        <w:pageBreakBefore w:val="0"/>
        <w:widowControl w:val="0"/>
        <w:kinsoku/>
        <w:wordWrap/>
        <w:overflowPunct/>
        <w:topLinePunct w:val="0"/>
        <w:autoSpaceDE/>
        <w:autoSpaceDN/>
        <w:bidi w:val="0"/>
        <w:adjustRightInd w:val="0"/>
        <w:snapToGrid w:val="0"/>
        <w:spacing w:before="313" w:beforeLines="100" w:after="0" w:line="240" w:lineRule="auto"/>
        <w:ind w:firstLineChars="0"/>
        <w:jc w:val="center"/>
        <w:textAlignment w:val="auto"/>
        <w:rPr>
          <w:rFonts w:hint="eastAsia"/>
        </w:rPr>
      </w:pPr>
    </w:p>
    <w:p w14:paraId="2FFF104A">
      <w:pPr>
        <w:pStyle w:val="4"/>
        <w:keepNext/>
        <w:keepLines/>
        <w:pageBreakBefore w:val="0"/>
        <w:widowControl w:val="0"/>
        <w:kinsoku/>
        <w:wordWrap/>
        <w:overflowPunct/>
        <w:topLinePunct w:val="0"/>
        <w:autoSpaceDE/>
        <w:autoSpaceDN/>
        <w:bidi w:val="0"/>
        <w:adjustRightInd w:val="0"/>
        <w:snapToGrid w:val="0"/>
        <w:spacing w:before="313" w:beforeLines="100" w:after="0" w:line="240" w:lineRule="auto"/>
        <w:ind w:firstLine="0" w:firstLineChars="0"/>
        <w:jc w:val="center"/>
        <w:textAlignment w:val="auto"/>
      </w:pPr>
      <w:r>
        <w:rPr>
          <w:rFonts w:hint="eastAsia"/>
        </w:rPr>
        <w:t>工作表</w:t>
      </w:r>
      <w:r>
        <w:rPr>
          <w:rFonts w:hint="eastAsia"/>
          <w:lang w:val="en-US" w:eastAsia="zh-CN"/>
        </w:rPr>
        <w:t>A.8</w:t>
      </w:r>
      <w:r>
        <w:rPr>
          <w:rFonts w:hint="eastAsia"/>
        </w:rPr>
        <w:t xml:space="preserve"> 人员现场考察表</w:t>
      </w:r>
    </w:p>
    <w:tbl>
      <w:tblPr>
        <w:tblStyle w:val="11"/>
        <w:tblW w:w="8519" w:type="dxa"/>
        <w:tblInd w:w="0" w:type="dxa"/>
        <w:tblLayout w:type="fixed"/>
        <w:tblCellMar>
          <w:top w:w="0" w:type="dxa"/>
          <w:left w:w="108" w:type="dxa"/>
          <w:bottom w:w="0" w:type="dxa"/>
          <w:right w:w="108" w:type="dxa"/>
        </w:tblCellMar>
      </w:tblPr>
      <w:tblGrid>
        <w:gridCol w:w="671"/>
        <w:gridCol w:w="4275"/>
        <w:gridCol w:w="1191"/>
        <w:gridCol w:w="1191"/>
        <w:gridCol w:w="1191"/>
      </w:tblGrid>
      <w:tr w14:paraId="1A58E5DC">
        <w:tblPrEx>
          <w:tblCellMar>
            <w:top w:w="0" w:type="dxa"/>
            <w:left w:w="108" w:type="dxa"/>
            <w:bottom w:w="0" w:type="dxa"/>
            <w:right w:w="108" w:type="dxa"/>
          </w:tblCellMar>
        </w:tblPrEx>
        <w:trPr>
          <w:trHeight w:val="283" w:hRule="atLeast"/>
        </w:trPr>
        <w:tc>
          <w:tcPr>
            <w:tcW w:w="67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E32C61E">
            <w:pPr>
              <w:pStyle w:val="24"/>
              <w:spacing w:line="240" w:lineRule="auto"/>
              <w:ind w:firstLine="0" w:firstLineChars="0"/>
              <w:rPr>
                <w:rFonts w:cs="Times New Roman" w:eastAsiaTheme="minorEastAsia"/>
                <w:b/>
                <w:bCs/>
                <w:color w:val="000000"/>
                <w:kern w:val="0"/>
                <w:lang w:bidi="ar"/>
              </w:rPr>
            </w:pPr>
            <w:r>
              <w:rPr>
                <w:rFonts w:cs="Times New Roman" w:eastAsiaTheme="minorEastAsia"/>
                <w:b/>
                <w:bCs/>
                <w:color w:val="000000"/>
                <w:kern w:val="0"/>
                <w:lang w:bidi="ar"/>
              </w:rPr>
              <w:t>序号</w:t>
            </w:r>
          </w:p>
        </w:tc>
        <w:tc>
          <w:tcPr>
            <w:tcW w:w="4275" w:type="dxa"/>
            <w:vMerge w:val="restart"/>
            <w:tcBorders>
              <w:top w:val="single" w:color="000000" w:sz="8" w:space="0"/>
              <w:left w:val="nil"/>
              <w:bottom w:val="single" w:color="000000" w:sz="8" w:space="0"/>
              <w:right w:val="single" w:color="000000" w:sz="8" w:space="0"/>
            </w:tcBorders>
            <w:shd w:val="clear" w:color="auto" w:fill="auto"/>
            <w:vAlign w:val="center"/>
          </w:tcPr>
          <w:p w14:paraId="3FF5A7EE">
            <w:pPr>
              <w:pStyle w:val="24"/>
              <w:spacing w:line="240" w:lineRule="auto"/>
              <w:ind w:firstLine="0" w:firstLineChars="0"/>
              <w:rPr>
                <w:rFonts w:cs="Times New Roman" w:eastAsiaTheme="minorEastAsia"/>
                <w:b/>
                <w:bCs/>
                <w:color w:val="000000"/>
                <w:kern w:val="0"/>
                <w:lang w:bidi="ar"/>
              </w:rPr>
            </w:pPr>
            <w:r>
              <w:rPr>
                <w:rFonts w:cs="Times New Roman" w:eastAsiaTheme="minorEastAsia"/>
                <w:b/>
                <w:bCs/>
                <w:color w:val="000000"/>
                <w:kern w:val="0"/>
                <w:lang w:bidi="ar"/>
              </w:rPr>
              <w:t>调查项目</w:t>
            </w:r>
          </w:p>
        </w:tc>
        <w:tc>
          <w:tcPr>
            <w:tcW w:w="3573" w:type="dxa"/>
            <w:gridSpan w:val="3"/>
            <w:tcBorders>
              <w:top w:val="single" w:color="000000" w:sz="8" w:space="0"/>
              <w:left w:val="nil"/>
              <w:bottom w:val="single" w:color="000000" w:sz="8" w:space="0"/>
              <w:right w:val="single" w:color="000000" w:sz="8" w:space="0"/>
            </w:tcBorders>
            <w:shd w:val="clear" w:color="auto" w:fill="auto"/>
            <w:vAlign w:val="center"/>
          </w:tcPr>
          <w:p w14:paraId="44DAA75E">
            <w:pPr>
              <w:pStyle w:val="24"/>
              <w:spacing w:line="240" w:lineRule="auto"/>
              <w:ind w:firstLine="0" w:firstLineChars="0"/>
              <w:rPr>
                <w:rFonts w:cs="Times New Roman" w:eastAsiaTheme="minorEastAsia"/>
                <w:b/>
                <w:bCs/>
                <w:color w:val="000000"/>
                <w:kern w:val="0"/>
                <w:lang w:bidi="ar"/>
              </w:rPr>
            </w:pPr>
            <w:r>
              <w:rPr>
                <w:rFonts w:cs="Times New Roman" w:eastAsiaTheme="minorEastAsia"/>
                <w:b/>
                <w:bCs/>
                <w:color w:val="000000"/>
                <w:kern w:val="0"/>
                <w:lang w:bidi="ar"/>
              </w:rPr>
              <w:t>企业现状</w:t>
            </w:r>
          </w:p>
        </w:tc>
      </w:tr>
      <w:tr w14:paraId="17B800B2">
        <w:tblPrEx>
          <w:tblCellMar>
            <w:top w:w="0" w:type="dxa"/>
            <w:left w:w="108" w:type="dxa"/>
            <w:bottom w:w="0" w:type="dxa"/>
            <w:right w:w="108" w:type="dxa"/>
          </w:tblCellMar>
        </w:tblPrEx>
        <w:trPr>
          <w:trHeight w:val="283" w:hRule="atLeast"/>
        </w:trPr>
        <w:tc>
          <w:tcPr>
            <w:tcW w:w="6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40CBFC6">
            <w:pPr>
              <w:pStyle w:val="24"/>
              <w:ind w:firstLine="422"/>
              <w:rPr>
                <w:rFonts w:cs="Times New Roman" w:eastAsiaTheme="minorEastAsia"/>
                <w:b/>
                <w:bCs/>
                <w:color w:val="000000"/>
                <w:kern w:val="0"/>
                <w:lang w:bidi="ar"/>
              </w:rPr>
            </w:pPr>
          </w:p>
        </w:tc>
        <w:tc>
          <w:tcPr>
            <w:tcW w:w="4275" w:type="dxa"/>
            <w:vMerge w:val="continue"/>
            <w:tcBorders>
              <w:top w:val="single" w:color="000000" w:sz="8" w:space="0"/>
              <w:left w:val="nil"/>
              <w:bottom w:val="single" w:color="000000" w:sz="8" w:space="0"/>
              <w:right w:val="single" w:color="000000" w:sz="8" w:space="0"/>
            </w:tcBorders>
            <w:shd w:val="clear" w:color="auto" w:fill="auto"/>
            <w:vAlign w:val="center"/>
          </w:tcPr>
          <w:p w14:paraId="2194AC73">
            <w:pPr>
              <w:pStyle w:val="24"/>
              <w:ind w:firstLine="422"/>
              <w:rPr>
                <w:rFonts w:cs="Times New Roman" w:eastAsiaTheme="minorEastAsia"/>
                <w:b/>
                <w:bCs/>
                <w:color w:val="000000"/>
                <w:kern w:val="0"/>
                <w:lang w:bidi="ar"/>
              </w:rPr>
            </w:pPr>
          </w:p>
        </w:tc>
        <w:tc>
          <w:tcPr>
            <w:tcW w:w="1191" w:type="dxa"/>
            <w:tcBorders>
              <w:top w:val="single" w:color="000000" w:sz="8" w:space="0"/>
              <w:left w:val="nil"/>
              <w:bottom w:val="single" w:color="000000" w:sz="8" w:space="0"/>
              <w:right w:val="single" w:color="000000" w:sz="8" w:space="0"/>
            </w:tcBorders>
            <w:shd w:val="clear" w:color="auto" w:fill="auto"/>
            <w:vAlign w:val="center"/>
          </w:tcPr>
          <w:p w14:paraId="34BFADB3">
            <w:pPr>
              <w:pStyle w:val="24"/>
              <w:spacing w:line="240" w:lineRule="auto"/>
              <w:ind w:firstLine="0" w:firstLineChars="0"/>
              <w:rPr>
                <w:rFonts w:cs="Times New Roman" w:eastAsiaTheme="minorEastAsia"/>
                <w:b/>
                <w:bCs/>
                <w:color w:val="000000"/>
                <w:kern w:val="0"/>
                <w:lang w:bidi="ar"/>
              </w:rPr>
            </w:pPr>
            <w:r>
              <w:rPr>
                <w:rFonts w:cs="Times New Roman" w:eastAsiaTheme="minorEastAsia"/>
                <w:b/>
                <w:bCs/>
                <w:color w:val="000000"/>
                <w:kern w:val="0"/>
                <w:lang w:bidi="ar"/>
              </w:rPr>
              <w:t>有/是</w:t>
            </w:r>
          </w:p>
        </w:tc>
        <w:tc>
          <w:tcPr>
            <w:tcW w:w="1191" w:type="dxa"/>
            <w:tcBorders>
              <w:top w:val="single" w:color="000000" w:sz="8" w:space="0"/>
              <w:left w:val="nil"/>
              <w:bottom w:val="single" w:color="000000" w:sz="8" w:space="0"/>
              <w:right w:val="single" w:color="000000" w:sz="8" w:space="0"/>
            </w:tcBorders>
            <w:shd w:val="clear" w:color="auto" w:fill="auto"/>
            <w:vAlign w:val="center"/>
          </w:tcPr>
          <w:p w14:paraId="36CF34F5">
            <w:pPr>
              <w:pStyle w:val="24"/>
              <w:spacing w:line="240" w:lineRule="auto"/>
              <w:ind w:firstLine="0" w:firstLineChars="0"/>
              <w:rPr>
                <w:rFonts w:cs="Times New Roman" w:eastAsiaTheme="minorEastAsia"/>
                <w:b/>
                <w:bCs/>
                <w:color w:val="000000"/>
                <w:kern w:val="0"/>
                <w:lang w:bidi="ar"/>
              </w:rPr>
            </w:pPr>
            <w:r>
              <w:rPr>
                <w:rFonts w:cs="Times New Roman" w:eastAsiaTheme="minorEastAsia"/>
                <w:b/>
                <w:bCs/>
                <w:color w:val="000000"/>
                <w:kern w:val="0"/>
                <w:lang w:bidi="ar"/>
              </w:rPr>
              <w:t>无/不是</w:t>
            </w:r>
          </w:p>
        </w:tc>
        <w:tc>
          <w:tcPr>
            <w:tcW w:w="1191" w:type="dxa"/>
            <w:tcBorders>
              <w:top w:val="single" w:color="000000" w:sz="8" w:space="0"/>
              <w:left w:val="nil"/>
              <w:bottom w:val="single" w:color="000000" w:sz="8" w:space="0"/>
              <w:right w:val="single" w:color="000000" w:sz="8" w:space="0"/>
            </w:tcBorders>
            <w:shd w:val="clear" w:color="auto" w:fill="auto"/>
            <w:vAlign w:val="center"/>
          </w:tcPr>
          <w:p w14:paraId="5674AD90">
            <w:pPr>
              <w:pStyle w:val="24"/>
              <w:spacing w:line="240" w:lineRule="auto"/>
              <w:ind w:firstLine="0" w:firstLineChars="0"/>
              <w:rPr>
                <w:rFonts w:cs="Times New Roman" w:eastAsiaTheme="minorEastAsia"/>
                <w:b/>
                <w:bCs/>
                <w:color w:val="000000"/>
                <w:kern w:val="0"/>
                <w:lang w:bidi="ar"/>
              </w:rPr>
            </w:pPr>
            <w:r>
              <w:rPr>
                <w:rFonts w:cs="Times New Roman" w:eastAsiaTheme="minorEastAsia"/>
                <w:b/>
                <w:bCs/>
                <w:color w:val="000000"/>
                <w:kern w:val="0"/>
                <w:lang w:bidi="ar"/>
              </w:rPr>
              <w:t>不适合</w:t>
            </w:r>
          </w:p>
        </w:tc>
      </w:tr>
      <w:tr w14:paraId="7C9E3CB3">
        <w:tblPrEx>
          <w:tblCellMar>
            <w:top w:w="0" w:type="dxa"/>
            <w:left w:w="108" w:type="dxa"/>
            <w:bottom w:w="0" w:type="dxa"/>
            <w:right w:w="108" w:type="dxa"/>
          </w:tblCellMar>
        </w:tblPrEx>
        <w:trPr>
          <w:trHeight w:val="283" w:hRule="atLeast"/>
        </w:trPr>
        <w:tc>
          <w:tcPr>
            <w:tcW w:w="671" w:type="dxa"/>
            <w:tcBorders>
              <w:top w:val="nil"/>
              <w:left w:val="single" w:color="000000" w:sz="8" w:space="0"/>
              <w:bottom w:val="single" w:color="000000" w:sz="8" w:space="0"/>
              <w:right w:val="single" w:color="000000" w:sz="8" w:space="0"/>
            </w:tcBorders>
            <w:shd w:val="clear" w:color="auto" w:fill="auto"/>
            <w:vAlign w:val="center"/>
          </w:tcPr>
          <w:p w14:paraId="74A1D323">
            <w:pPr>
              <w:pStyle w:val="24"/>
              <w:spacing w:line="240" w:lineRule="auto"/>
              <w:ind w:firstLine="0" w:firstLineChars="0"/>
              <w:rPr>
                <w:rFonts w:cs="Times New Roman" w:eastAsiaTheme="minorEastAsia"/>
                <w:color w:val="000000"/>
                <w:kern w:val="0"/>
                <w:lang w:bidi="ar"/>
              </w:rPr>
            </w:pPr>
            <w:r>
              <w:rPr>
                <w:rFonts w:cs="Times New Roman" w:eastAsiaTheme="minorEastAsia"/>
                <w:color w:val="000000"/>
                <w:kern w:val="0"/>
                <w:lang w:bidi="ar"/>
              </w:rPr>
              <w:t>1</w:t>
            </w:r>
          </w:p>
        </w:tc>
        <w:tc>
          <w:tcPr>
            <w:tcW w:w="4275" w:type="dxa"/>
            <w:tcBorders>
              <w:top w:val="nil"/>
              <w:left w:val="nil"/>
              <w:bottom w:val="single" w:color="000000" w:sz="8" w:space="0"/>
              <w:right w:val="single" w:color="000000" w:sz="8" w:space="0"/>
            </w:tcBorders>
            <w:shd w:val="clear" w:color="auto" w:fill="auto"/>
            <w:vAlign w:val="center"/>
          </w:tcPr>
          <w:p w14:paraId="1DFF439B">
            <w:pPr>
              <w:pStyle w:val="24"/>
              <w:spacing w:line="240" w:lineRule="auto"/>
              <w:ind w:firstLine="0" w:firstLineChars="0"/>
              <w:jc w:val="both"/>
              <w:rPr>
                <w:color w:val="000000"/>
                <w:kern w:val="0"/>
                <w:lang w:bidi="ar"/>
              </w:rPr>
            </w:pPr>
            <w:r>
              <w:rPr>
                <w:color w:val="000000"/>
                <w:kern w:val="0"/>
                <w:lang w:bidi="ar"/>
              </w:rPr>
              <w:t>定期</w:t>
            </w:r>
            <w:r>
              <w:rPr>
                <w:rFonts w:hint="eastAsia"/>
                <w:color w:val="000000"/>
                <w:kern w:val="0"/>
                <w:lang w:val="en-US" w:eastAsia="zh-CN" w:bidi="ar"/>
              </w:rPr>
              <w:t>组织</w:t>
            </w:r>
            <w:r>
              <w:rPr>
                <w:color w:val="000000"/>
                <w:kern w:val="0"/>
                <w:lang w:bidi="ar"/>
              </w:rPr>
              <w:t>节能环保及清洁生产培训</w:t>
            </w:r>
          </w:p>
        </w:tc>
        <w:tc>
          <w:tcPr>
            <w:tcW w:w="1191" w:type="dxa"/>
            <w:tcBorders>
              <w:top w:val="nil"/>
              <w:left w:val="nil"/>
              <w:bottom w:val="single" w:color="000000" w:sz="8" w:space="0"/>
              <w:right w:val="single" w:color="000000" w:sz="8" w:space="0"/>
            </w:tcBorders>
            <w:shd w:val="clear" w:color="auto" w:fill="auto"/>
            <w:vAlign w:val="center"/>
          </w:tcPr>
          <w:p w14:paraId="33FB3A3C">
            <w:pPr>
              <w:pStyle w:val="24"/>
              <w:ind w:firstLine="420"/>
              <w:rPr>
                <w:rFonts w:cs="Times New Roman" w:eastAsiaTheme="minorEastAsia"/>
                <w:color w:val="000000"/>
                <w:kern w:val="0"/>
                <w:lang w:bidi="ar"/>
              </w:rPr>
            </w:pPr>
          </w:p>
        </w:tc>
        <w:tc>
          <w:tcPr>
            <w:tcW w:w="1191" w:type="dxa"/>
            <w:tcBorders>
              <w:top w:val="nil"/>
              <w:left w:val="nil"/>
              <w:bottom w:val="single" w:color="000000" w:sz="8" w:space="0"/>
              <w:right w:val="single" w:color="000000" w:sz="8" w:space="0"/>
            </w:tcBorders>
            <w:shd w:val="clear" w:color="auto" w:fill="auto"/>
            <w:vAlign w:val="center"/>
          </w:tcPr>
          <w:p w14:paraId="4CF14B10">
            <w:pPr>
              <w:pStyle w:val="24"/>
              <w:ind w:firstLine="420"/>
              <w:rPr>
                <w:rFonts w:cs="Times New Roman" w:eastAsiaTheme="minorEastAsia"/>
                <w:color w:val="000000"/>
                <w:kern w:val="0"/>
                <w:lang w:bidi="ar"/>
              </w:rPr>
            </w:pPr>
          </w:p>
        </w:tc>
        <w:tc>
          <w:tcPr>
            <w:tcW w:w="1191" w:type="dxa"/>
            <w:tcBorders>
              <w:top w:val="nil"/>
              <w:left w:val="nil"/>
              <w:bottom w:val="single" w:color="000000" w:sz="8" w:space="0"/>
              <w:right w:val="single" w:color="000000" w:sz="8" w:space="0"/>
            </w:tcBorders>
            <w:shd w:val="clear" w:color="auto" w:fill="auto"/>
            <w:vAlign w:val="center"/>
          </w:tcPr>
          <w:p w14:paraId="5C2CA422">
            <w:pPr>
              <w:pStyle w:val="24"/>
              <w:ind w:firstLine="420"/>
              <w:rPr>
                <w:rFonts w:cs="Times New Roman" w:eastAsiaTheme="minorEastAsia"/>
                <w:color w:val="000000"/>
                <w:kern w:val="0"/>
                <w:lang w:bidi="ar"/>
              </w:rPr>
            </w:pPr>
          </w:p>
        </w:tc>
      </w:tr>
      <w:tr w14:paraId="6758D8CF">
        <w:tblPrEx>
          <w:tblCellMar>
            <w:top w:w="0" w:type="dxa"/>
            <w:left w:w="108" w:type="dxa"/>
            <w:bottom w:w="0" w:type="dxa"/>
            <w:right w:w="108" w:type="dxa"/>
          </w:tblCellMar>
        </w:tblPrEx>
        <w:trPr>
          <w:trHeight w:val="283" w:hRule="atLeast"/>
        </w:trPr>
        <w:tc>
          <w:tcPr>
            <w:tcW w:w="671" w:type="dxa"/>
            <w:tcBorders>
              <w:top w:val="nil"/>
              <w:left w:val="single" w:color="000000" w:sz="8" w:space="0"/>
              <w:bottom w:val="single" w:color="000000" w:sz="8" w:space="0"/>
              <w:right w:val="single" w:color="000000" w:sz="8" w:space="0"/>
            </w:tcBorders>
            <w:shd w:val="clear" w:color="auto" w:fill="auto"/>
            <w:vAlign w:val="center"/>
          </w:tcPr>
          <w:p w14:paraId="4499D0F3">
            <w:pPr>
              <w:pStyle w:val="24"/>
              <w:spacing w:line="240" w:lineRule="auto"/>
              <w:ind w:firstLine="0" w:firstLineChars="0"/>
              <w:rPr>
                <w:rFonts w:cs="Times New Roman" w:eastAsiaTheme="minorEastAsia"/>
                <w:color w:val="000000"/>
                <w:kern w:val="0"/>
                <w:lang w:bidi="ar"/>
              </w:rPr>
            </w:pPr>
            <w:r>
              <w:rPr>
                <w:rFonts w:cs="Times New Roman" w:eastAsiaTheme="minorEastAsia"/>
                <w:color w:val="000000"/>
                <w:kern w:val="0"/>
                <w:lang w:bidi="ar"/>
              </w:rPr>
              <w:t>2</w:t>
            </w:r>
          </w:p>
        </w:tc>
        <w:tc>
          <w:tcPr>
            <w:tcW w:w="4275" w:type="dxa"/>
            <w:tcBorders>
              <w:top w:val="nil"/>
              <w:left w:val="nil"/>
              <w:bottom w:val="single" w:color="000000" w:sz="8" w:space="0"/>
              <w:right w:val="single" w:color="000000" w:sz="8" w:space="0"/>
            </w:tcBorders>
            <w:shd w:val="clear" w:color="auto" w:fill="auto"/>
            <w:vAlign w:val="center"/>
          </w:tcPr>
          <w:p w14:paraId="3B8B6E86">
            <w:pPr>
              <w:pStyle w:val="24"/>
              <w:spacing w:line="240" w:lineRule="auto"/>
              <w:ind w:firstLine="0" w:firstLineChars="0"/>
              <w:jc w:val="both"/>
              <w:rPr>
                <w:color w:val="000000"/>
                <w:kern w:val="0"/>
                <w:lang w:bidi="ar"/>
              </w:rPr>
            </w:pPr>
            <w:r>
              <w:rPr>
                <w:color w:val="000000"/>
                <w:kern w:val="0"/>
                <w:lang w:bidi="ar"/>
              </w:rPr>
              <w:t>每个员工上岗</w:t>
            </w:r>
            <w:r>
              <w:rPr>
                <w:rFonts w:hint="eastAsia"/>
                <w:color w:val="000000"/>
                <w:kern w:val="0"/>
                <w:lang w:val="en-US" w:eastAsia="zh-CN" w:bidi="ar"/>
              </w:rPr>
              <w:t>前</w:t>
            </w:r>
            <w:r>
              <w:rPr>
                <w:color w:val="000000"/>
                <w:kern w:val="0"/>
                <w:lang w:bidi="ar"/>
              </w:rPr>
              <w:t>都有业务、节能环保及清洁生产培训</w:t>
            </w:r>
          </w:p>
        </w:tc>
        <w:tc>
          <w:tcPr>
            <w:tcW w:w="1191" w:type="dxa"/>
            <w:tcBorders>
              <w:top w:val="nil"/>
              <w:left w:val="nil"/>
              <w:bottom w:val="single" w:color="000000" w:sz="8" w:space="0"/>
              <w:right w:val="single" w:color="000000" w:sz="8" w:space="0"/>
            </w:tcBorders>
            <w:shd w:val="clear" w:color="auto" w:fill="auto"/>
            <w:vAlign w:val="center"/>
          </w:tcPr>
          <w:p w14:paraId="04D8A83B">
            <w:pPr>
              <w:pStyle w:val="24"/>
              <w:ind w:firstLine="420"/>
              <w:rPr>
                <w:rFonts w:cs="Times New Roman" w:eastAsiaTheme="minorEastAsia"/>
                <w:color w:val="000000"/>
                <w:kern w:val="0"/>
                <w:lang w:bidi="ar"/>
              </w:rPr>
            </w:pPr>
          </w:p>
        </w:tc>
        <w:tc>
          <w:tcPr>
            <w:tcW w:w="1191" w:type="dxa"/>
            <w:tcBorders>
              <w:top w:val="nil"/>
              <w:left w:val="nil"/>
              <w:bottom w:val="single" w:color="000000" w:sz="8" w:space="0"/>
              <w:right w:val="single" w:color="000000" w:sz="8" w:space="0"/>
            </w:tcBorders>
            <w:shd w:val="clear" w:color="auto" w:fill="auto"/>
            <w:vAlign w:val="center"/>
          </w:tcPr>
          <w:p w14:paraId="31BBD21A">
            <w:pPr>
              <w:pStyle w:val="24"/>
              <w:ind w:firstLine="420"/>
              <w:rPr>
                <w:rFonts w:cs="Times New Roman" w:eastAsiaTheme="minorEastAsia"/>
                <w:color w:val="000000"/>
                <w:kern w:val="0"/>
                <w:lang w:bidi="ar"/>
              </w:rPr>
            </w:pPr>
          </w:p>
        </w:tc>
        <w:tc>
          <w:tcPr>
            <w:tcW w:w="1191" w:type="dxa"/>
            <w:tcBorders>
              <w:top w:val="nil"/>
              <w:left w:val="nil"/>
              <w:bottom w:val="single" w:color="000000" w:sz="8" w:space="0"/>
              <w:right w:val="single" w:color="000000" w:sz="8" w:space="0"/>
            </w:tcBorders>
            <w:shd w:val="clear" w:color="auto" w:fill="auto"/>
            <w:vAlign w:val="center"/>
          </w:tcPr>
          <w:p w14:paraId="4C70AB09">
            <w:pPr>
              <w:pStyle w:val="24"/>
              <w:ind w:firstLine="420"/>
              <w:rPr>
                <w:rFonts w:cs="Times New Roman" w:eastAsiaTheme="minorEastAsia"/>
                <w:color w:val="000000"/>
                <w:kern w:val="0"/>
                <w:lang w:bidi="ar"/>
              </w:rPr>
            </w:pPr>
          </w:p>
        </w:tc>
      </w:tr>
      <w:tr w14:paraId="718C5BB0">
        <w:tblPrEx>
          <w:tblCellMar>
            <w:top w:w="0" w:type="dxa"/>
            <w:left w:w="108" w:type="dxa"/>
            <w:bottom w:w="0" w:type="dxa"/>
            <w:right w:w="108" w:type="dxa"/>
          </w:tblCellMar>
        </w:tblPrEx>
        <w:trPr>
          <w:trHeight w:val="283" w:hRule="atLeast"/>
        </w:trPr>
        <w:tc>
          <w:tcPr>
            <w:tcW w:w="671" w:type="dxa"/>
            <w:tcBorders>
              <w:top w:val="nil"/>
              <w:left w:val="single" w:color="000000" w:sz="8" w:space="0"/>
              <w:bottom w:val="single" w:color="000000" w:sz="8" w:space="0"/>
              <w:right w:val="single" w:color="000000" w:sz="8" w:space="0"/>
            </w:tcBorders>
            <w:shd w:val="clear" w:color="auto" w:fill="auto"/>
            <w:vAlign w:val="center"/>
          </w:tcPr>
          <w:p w14:paraId="51AD83D3">
            <w:pPr>
              <w:pStyle w:val="24"/>
              <w:spacing w:line="240" w:lineRule="auto"/>
              <w:ind w:firstLine="0" w:firstLineChars="0"/>
              <w:rPr>
                <w:rFonts w:cs="Times New Roman" w:eastAsiaTheme="minorEastAsia"/>
                <w:color w:val="000000"/>
                <w:kern w:val="0"/>
                <w:lang w:bidi="ar"/>
              </w:rPr>
            </w:pPr>
            <w:r>
              <w:rPr>
                <w:rFonts w:hint="eastAsia" w:cs="Times New Roman" w:eastAsiaTheme="minorEastAsia"/>
                <w:color w:val="000000"/>
                <w:kern w:val="0"/>
                <w:lang w:bidi="ar"/>
              </w:rPr>
              <w:t>3</w:t>
            </w:r>
          </w:p>
        </w:tc>
        <w:tc>
          <w:tcPr>
            <w:tcW w:w="4275" w:type="dxa"/>
            <w:tcBorders>
              <w:top w:val="nil"/>
              <w:left w:val="nil"/>
              <w:bottom w:val="single" w:color="000000" w:sz="8" w:space="0"/>
              <w:right w:val="single" w:color="000000" w:sz="8" w:space="0"/>
            </w:tcBorders>
            <w:shd w:val="clear" w:color="auto" w:fill="auto"/>
            <w:vAlign w:val="center"/>
          </w:tcPr>
          <w:p w14:paraId="02BBD153">
            <w:pPr>
              <w:pStyle w:val="24"/>
              <w:spacing w:line="240" w:lineRule="auto"/>
              <w:ind w:firstLine="0" w:firstLineChars="0"/>
              <w:jc w:val="both"/>
              <w:rPr>
                <w:color w:val="000000"/>
                <w:kern w:val="0"/>
                <w:lang w:bidi="ar"/>
              </w:rPr>
            </w:pPr>
            <w:r>
              <w:rPr>
                <w:rFonts w:hint="eastAsia"/>
                <w:color w:val="000000"/>
                <w:kern w:val="0"/>
                <w:lang w:bidi="ar"/>
              </w:rPr>
              <w:t>建立培训</w:t>
            </w:r>
            <w:r>
              <w:rPr>
                <w:rFonts w:hint="eastAsia"/>
                <w:color w:val="000000"/>
                <w:kern w:val="0"/>
                <w:lang w:val="en-US" w:eastAsia="zh-CN" w:bidi="ar"/>
              </w:rPr>
              <w:t>机制</w:t>
            </w:r>
            <w:r>
              <w:rPr>
                <w:rFonts w:hint="eastAsia"/>
                <w:color w:val="000000"/>
                <w:kern w:val="0"/>
                <w:lang w:bidi="ar"/>
              </w:rPr>
              <w:t>，培训内容实用</w:t>
            </w:r>
          </w:p>
        </w:tc>
        <w:tc>
          <w:tcPr>
            <w:tcW w:w="1191" w:type="dxa"/>
            <w:tcBorders>
              <w:top w:val="nil"/>
              <w:left w:val="nil"/>
              <w:bottom w:val="single" w:color="000000" w:sz="8" w:space="0"/>
              <w:right w:val="single" w:color="000000" w:sz="8" w:space="0"/>
            </w:tcBorders>
            <w:shd w:val="clear" w:color="auto" w:fill="auto"/>
            <w:vAlign w:val="center"/>
          </w:tcPr>
          <w:p w14:paraId="7A4DA6BD">
            <w:pPr>
              <w:pStyle w:val="24"/>
              <w:ind w:firstLine="420"/>
              <w:rPr>
                <w:rFonts w:cs="Times New Roman" w:eastAsiaTheme="minorEastAsia"/>
                <w:color w:val="000000"/>
                <w:kern w:val="0"/>
                <w:lang w:bidi="ar"/>
              </w:rPr>
            </w:pPr>
          </w:p>
        </w:tc>
        <w:tc>
          <w:tcPr>
            <w:tcW w:w="1191" w:type="dxa"/>
            <w:tcBorders>
              <w:top w:val="nil"/>
              <w:left w:val="nil"/>
              <w:bottom w:val="single" w:color="000000" w:sz="8" w:space="0"/>
              <w:right w:val="single" w:color="000000" w:sz="8" w:space="0"/>
            </w:tcBorders>
            <w:shd w:val="clear" w:color="auto" w:fill="auto"/>
            <w:vAlign w:val="center"/>
          </w:tcPr>
          <w:p w14:paraId="447CF79C">
            <w:pPr>
              <w:pStyle w:val="24"/>
              <w:ind w:firstLine="420"/>
              <w:rPr>
                <w:rFonts w:cs="Times New Roman" w:eastAsiaTheme="minorEastAsia"/>
                <w:color w:val="000000"/>
                <w:kern w:val="0"/>
                <w:lang w:bidi="ar"/>
              </w:rPr>
            </w:pPr>
          </w:p>
        </w:tc>
        <w:tc>
          <w:tcPr>
            <w:tcW w:w="1191" w:type="dxa"/>
            <w:tcBorders>
              <w:top w:val="nil"/>
              <w:left w:val="nil"/>
              <w:bottom w:val="single" w:color="000000" w:sz="8" w:space="0"/>
              <w:right w:val="single" w:color="000000" w:sz="8" w:space="0"/>
            </w:tcBorders>
            <w:shd w:val="clear" w:color="auto" w:fill="auto"/>
            <w:vAlign w:val="center"/>
          </w:tcPr>
          <w:p w14:paraId="60E068D9">
            <w:pPr>
              <w:pStyle w:val="24"/>
              <w:ind w:firstLine="420"/>
              <w:rPr>
                <w:rFonts w:cs="Times New Roman" w:eastAsiaTheme="minorEastAsia"/>
                <w:color w:val="000000"/>
                <w:kern w:val="0"/>
                <w:lang w:bidi="ar"/>
              </w:rPr>
            </w:pPr>
          </w:p>
        </w:tc>
      </w:tr>
      <w:tr w14:paraId="2A7D6E3C">
        <w:tblPrEx>
          <w:tblCellMar>
            <w:top w:w="0" w:type="dxa"/>
            <w:left w:w="108" w:type="dxa"/>
            <w:bottom w:w="0" w:type="dxa"/>
            <w:right w:w="108" w:type="dxa"/>
          </w:tblCellMar>
        </w:tblPrEx>
        <w:trPr>
          <w:trHeight w:val="283" w:hRule="atLeast"/>
        </w:trPr>
        <w:tc>
          <w:tcPr>
            <w:tcW w:w="671" w:type="dxa"/>
            <w:tcBorders>
              <w:top w:val="nil"/>
              <w:left w:val="single" w:color="000000" w:sz="8" w:space="0"/>
              <w:bottom w:val="single" w:color="000000" w:sz="8" w:space="0"/>
              <w:right w:val="single" w:color="000000" w:sz="8" w:space="0"/>
            </w:tcBorders>
            <w:shd w:val="clear" w:color="auto" w:fill="auto"/>
            <w:vAlign w:val="center"/>
          </w:tcPr>
          <w:p w14:paraId="14295B50">
            <w:pPr>
              <w:pStyle w:val="24"/>
              <w:spacing w:line="240" w:lineRule="auto"/>
              <w:ind w:firstLine="0" w:firstLineChars="0"/>
              <w:rPr>
                <w:rFonts w:cs="Times New Roman" w:eastAsiaTheme="minorEastAsia"/>
                <w:color w:val="000000"/>
                <w:kern w:val="0"/>
                <w:lang w:bidi="ar"/>
              </w:rPr>
            </w:pPr>
            <w:r>
              <w:rPr>
                <w:rFonts w:cs="Times New Roman" w:eastAsiaTheme="minorEastAsia"/>
                <w:color w:val="000000"/>
                <w:kern w:val="0"/>
                <w:lang w:bidi="ar"/>
              </w:rPr>
              <w:t>4</w:t>
            </w:r>
          </w:p>
        </w:tc>
        <w:tc>
          <w:tcPr>
            <w:tcW w:w="4275" w:type="dxa"/>
            <w:tcBorders>
              <w:top w:val="nil"/>
              <w:left w:val="nil"/>
              <w:bottom w:val="single" w:color="000000" w:sz="8" w:space="0"/>
              <w:right w:val="single" w:color="000000" w:sz="8" w:space="0"/>
            </w:tcBorders>
            <w:shd w:val="clear" w:color="auto" w:fill="auto"/>
            <w:vAlign w:val="center"/>
          </w:tcPr>
          <w:p w14:paraId="6E3A1948">
            <w:pPr>
              <w:pStyle w:val="24"/>
              <w:spacing w:line="240" w:lineRule="auto"/>
              <w:ind w:firstLine="0" w:firstLineChars="0"/>
              <w:jc w:val="both"/>
              <w:rPr>
                <w:color w:val="000000"/>
                <w:kern w:val="0"/>
                <w:lang w:bidi="ar"/>
              </w:rPr>
            </w:pPr>
            <w:r>
              <w:rPr>
                <w:color w:val="000000"/>
                <w:kern w:val="0"/>
                <w:lang w:bidi="ar"/>
              </w:rPr>
              <w:t>对各个岗位均有绩效考核制度</w:t>
            </w:r>
          </w:p>
        </w:tc>
        <w:tc>
          <w:tcPr>
            <w:tcW w:w="1191" w:type="dxa"/>
            <w:tcBorders>
              <w:top w:val="nil"/>
              <w:left w:val="nil"/>
              <w:bottom w:val="single" w:color="000000" w:sz="8" w:space="0"/>
              <w:right w:val="single" w:color="000000" w:sz="8" w:space="0"/>
            </w:tcBorders>
            <w:shd w:val="clear" w:color="auto" w:fill="auto"/>
            <w:vAlign w:val="center"/>
          </w:tcPr>
          <w:p w14:paraId="5601C3C6">
            <w:pPr>
              <w:pStyle w:val="24"/>
              <w:ind w:firstLine="420"/>
              <w:rPr>
                <w:rFonts w:cs="Times New Roman" w:eastAsiaTheme="minorEastAsia"/>
                <w:color w:val="000000"/>
                <w:kern w:val="0"/>
                <w:lang w:bidi="ar"/>
              </w:rPr>
            </w:pPr>
          </w:p>
        </w:tc>
        <w:tc>
          <w:tcPr>
            <w:tcW w:w="1191" w:type="dxa"/>
            <w:tcBorders>
              <w:top w:val="nil"/>
              <w:left w:val="nil"/>
              <w:bottom w:val="single" w:color="000000" w:sz="8" w:space="0"/>
              <w:right w:val="single" w:color="000000" w:sz="8" w:space="0"/>
            </w:tcBorders>
            <w:shd w:val="clear" w:color="auto" w:fill="auto"/>
            <w:vAlign w:val="center"/>
          </w:tcPr>
          <w:p w14:paraId="540D0D00">
            <w:pPr>
              <w:pStyle w:val="24"/>
              <w:ind w:firstLine="420"/>
              <w:rPr>
                <w:rFonts w:cs="Times New Roman" w:eastAsiaTheme="minorEastAsia"/>
                <w:color w:val="000000"/>
                <w:kern w:val="0"/>
                <w:lang w:bidi="ar"/>
              </w:rPr>
            </w:pPr>
          </w:p>
        </w:tc>
        <w:tc>
          <w:tcPr>
            <w:tcW w:w="1191" w:type="dxa"/>
            <w:tcBorders>
              <w:top w:val="nil"/>
              <w:left w:val="nil"/>
              <w:bottom w:val="single" w:color="000000" w:sz="8" w:space="0"/>
              <w:right w:val="single" w:color="000000" w:sz="8" w:space="0"/>
            </w:tcBorders>
            <w:shd w:val="clear" w:color="auto" w:fill="auto"/>
            <w:vAlign w:val="center"/>
          </w:tcPr>
          <w:p w14:paraId="736376EE">
            <w:pPr>
              <w:pStyle w:val="24"/>
              <w:ind w:firstLine="420"/>
              <w:rPr>
                <w:rFonts w:cs="Times New Roman" w:eastAsiaTheme="minorEastAsia"/>
                <w:color w:val="000000"/>
                <w:kern w:val="0"/>
                <w:lang w:bidi="ar"/>
              </w:rPr>
            </w:pPr>
          </w:p>
        </w:tc>
      </w:tr>
      <w:tr w14:paraId="0A4EB6EA">
        <w:tblPrEx>
          <w:tblCellMar>
            <w:top w:w="0" w:type="dxa"/>
            <w:left w:w="108" w:type="dxa"/>
            <w:bottom w:w="0" w:type="dxa"/>
            <w:right w:w="108" w:type="dxa"/>
          </w:tblCellMar>
        </w:tblPrEx>
        <w:trPr>
          <w:trHeight w:val="283" w:hRule="atLeast"/>
        </w:trPr>
        <w:tc>
          <w:tcPr>
            <w:tcW w:w="671" w:type="dxa"/>
            <w:tcBorders>
              <w:top w:val="nil"/>
              <w:left w:val="single" w:color="000000" w:sz="8" w:space="0"/>
              <w:bottom w:val="single" w:color="000000" w:sz="8" w:space="0"/>
              <w:right w:val="single" w:color="000000" w:sz="8" w:space="0"/>
            </w:tcBorders>
            <w:shd w:val="clear" w:color="auto" w:fill="auto"/>
            <w:vAlign w:val="center"/>
          </w:tcPr>
          <w:p w14:paraId="41ACE36C">
            <w:pPr>
              <w:pStyle w:val="24"/>
              <w:spacing w:line="240" w:lineRule="auto"/>
              <w:ind w:firstLine="0" w:firstLineChars="0"/>
              <w:rPr>
                <w:rFonts w:cs="Times New Roman" w:eastAsiaTheme="minorEastAsia"/>
                <w:color w:val="000000"/>
                <w:kern w:val="0"/>
                <w:lang w:bidi="ar"/>
              </w:rPr>
            </w:pPr>
            <w:r>
              <w:rPr>
                <w:rFonts w:cs="Times New Roman" w:eastAsiaTheme="minorEastAsia"/>
                <w:color w:val="000000"/>
                <w:kern w:val="0"/>
                <w:lang w:bidi="ar"/>
              </w:rPr>
              <w:t>5</w:t>
            </w:r>
          </w:p>
        </w:tc>
        <w:tc>
          <w:tcPr>
            <w:tcW w:w="4275" w:type="dxa"/>
            <w:tcBorders>
              <w:top w:val="nil"/>
              <w:left w:val="nil"/>
              <w:bottom w:val="single" w:color="000000" w:sz="8" w:space="0"/>
              <w:right w:val="single" w:color="000000" w:sz="8" w:space="0"/>
            </w:tcBorders>
            <w:shd w:val="clear" w:color="auto" w:fill="auto"/>
            <w:vAlign w:val="center"/>
          </w:tcPr>
          <w:p w14:paraId="73526CD7">
            <w:pPr>
              <w:pStyle w:val="24"/>
              <w:spacing w:line="240" w:lineRule="auto"/>
              <w:ind w:firstLine="0" w:firstLineChars="0"/>
              <w:jc w:val="both"/>
              <w:rPr>
                <w:color w:val="000000"/>
                <w:kern w:val="0"/>
                <w:lang w:bidi="ar"/>
              </w:rPr>
            </w:pPr>
            <w:r>
              <w:rPr>
                <w:rFonts w:hint="eastAsia"/>
                <w:color w:val="000000"/>
                <w:kern w:val="0"/>
                <w:lang w:bidi="ar"/>
              </w:rPr>
              <w:t>员工操作熟练，失误率低</w:t>
            </w:r>
          </w:p>
        </w:tc>
        <w:tc>
          <w:tcPr>
            <w:tcW w:w="1191" w:type="dxa"/>
            <w:tcBorders>
              <w:top w:val="nil"/>
              <w:left w:val="nil"/>
              <w:bottom w:val="single" w:color="000000" w:sz="8" w:space="0"/>
              <w:right w:val="single" w:color="000000" w:sz="8" w:space="0"/>
            </w:tcBorders>
            <w:shd w:val="clear" w:color="auto" w:fill="auto"/>
            <w:vAlign w:val="center"/>
          </w:tcPr>
          <w:p w14:paraId="09B031F6">
            <w:pPr>
              <w:pStyle w:val="24"/>
              <w:ind w:firstLine="420"/>
              <w:rPr>
                <w:rFonts w:cs="Times New Roman" w:eastAsiaTheme="minorEastAsia"/>
                <w:color w:val="000000"/>
                <w:kern w:val="0"/>
                <w:lang w:bidi="ar"/>
              </w:rPr>
            </w:pPr>
          </w:p>
        </w:tc>
        <w:tc>
          <w:tcPr>
            <w:tcW w:w="1191" w:type="dxa"/>
            <w:tcBorders>
              <w:top w:val="nil"/>
              <w:left w:val="nil"/>
              <w:bottom w:val="single" w:color="000000" w:sz="8" w:space="0"/>
              <w:right w:val="single" w:color="000000" w:sz="8" w:space="0"/>
            </w:tcBorders>
            <w:shd w:val="clear" w:color="auto" w:fill="auto"/>
            <w:vAlign w:val="center"/>
          </w:tcPr>
          <w:p w14:paraId="15D1C25A">
            <w:pPr>
              <w:pStyle w:val="24"/>
              <w:ind w:firstLine="420"/>
              <w:rPr>
                <w:rFonts w:cs="Times New Roman" w:eastAsiaTheme="minorEastAsia"/>
                <w:color w:val="000000"/>
                <w:kern w:val="0"/>
                <w:lang w:bidi="ar"/>
              </w:rPr>
            </w:pPr>
          </w:p>
        </w:tc>
        <w:tc>
          <w:tcPr>
            <w:tcW w:w="1191" w:type="dxa"/>
            <w:tcBorders>
              <w:top w:val="nil"/>
              <w:left w:val="nil"/>
              <w:bottom w:val="single" w:color="000000" w:sz="8" w:space="0"/>
              <w:right w:val="single" w:color="000000" w:sz="8" w:space="0"/>
            </w:tcBorders>
            <w:shd w:val="clear" w:color="auto" w:fill="auto"/>
            <w:vAlign w:val="center"/>
          </w:tcPr>
          <w:p w14:paraId="4892D587">
            <w:pPr>
              <w:pStyle w:val="24"/>
              <w:ind w:firstLine="420"/>
              <w:rPr>
                <w:rFonts w:cs="Times New Roman" w:eastAsiaTheme="minorEastAsia"/>
                <w:color w:val="000000"/>
                <w:kern w:val="0"/>
                <w:lang w:bidi="ar"/>
              </w:rPr>
            </w:pPr>
          </w:p>
        </w:tc>
      </w:tr>
      <w:tr w14:paraId="0F63F388">
        <w:tblPrEx>
          <w:tblCellMar>
            <w:top w:w="0" w:type="dxa"/>
            <w:left w:w="108" w:type="dxa"/>
            <w:bottom w:w="0" w:type="dxa"/>
            <w:right w:w="108" w:type="dxa"/>
          </w:tblCellMar>
        </w:tblPrEx>
        <w:trPr>
          <w:trHeight w:val="283" w:hRule="atLeast"/>
        </w:trPr>
        <w:tc>
          <w:tcPr>
            <w:tcW w:w="671" w:type="dxa"/>
            <w:tcBorders>
              <w:top w:val="nil"/>
              <w:left w:val="single" w:color="000000" w:sz="8" w:space="0"/>
              <w:bottom w:val="single" w:color="000000" w:sz="8" w:space="0"/>
              <w:right w:val="single" w:color="000000" w:sz="8" w:space="0"/>
            </w:tcBorders>
            <w:shd w:val="clear" w:color="auto" w:fill="auto"/>
            <w:vAlign w:val="center"/>
          </w:tcPr>
          <w:p w14:paraId="584B4204">
            <w:pPr>
              <w:pStyle w:val="24"/>
              <w:spacing w:line="240" w:lineRule="auto"/>
              <w:ind w:firstLine="0" w:firstLineChars="0"/>
              <w:rPr>
                <w:rFonts w:cs="Times New Roman" w:eastAsiaTheme="minorEastAsia"/>
                <w:color w:val="000000"/>
                <w:kern w:val="0"/>
                <w:lang w:bidi="ar"/>
              </w:rPr>
            </w:pPr>
            <w:r>
              <w:rPr>
                <w:rFonts w:cs="Times New Roman" w:eastAsiaTheme="minorEastAsia"/>
                <w:color w:val="000000"/>
                <w:kern w:val="0"/>
                <w:lang w:bidi="ar"/>
              </w:rPr>
              <w:t>6</w:t>
            </w:r>
          </w:p>
        </w:tc>
        <w:tc>
          <w:tcPr>
            <w:tcW w:w="4275" w:type="dxa"/>
            <w:tcBorders>
              <w:top w:val="nil"/>
              <w:left w:val="nil"/>
              <w:bottom w:val="single" w:color="000000" w:sz="8" w:space="0"/>
              <w:right w:val="single" w:color="000000" w:sz="8" w:space="0"/>
            </w:tcBorders>
            <w:shd w:val="clear" w:color="auto" w:fill="auto"/>
            <w:vAlign w:val="center"/>
          </w:tcPr>
          <w:p w14:paraId="7C2F6544">
            <w:pPr>
              <w:pStyle w:val="24"/>
              <w:spacing w:line="240" w:lineRule="auto"/>
              <w:ind w:firstLine="0" w:firstLineChars="0"/>
              <w:jc w:val="both"/>
              <w:rPr>
                <w:color w:val="000000"/>
                <w:kern w:val="0"/>
                <w:lang w:bidi="ar"/>
              </w:rPr>
            </w:pPr>
            <w:r>
              <w:rPr>
                <w:color w:val="000000"/>
                <w:kern w:val="0"/>
                <w:lang w:bidi="ar"/>
              </w:rPr>
              <w:t>大部分车间有管理看板</w:t>
            </w:r>
          </w:p>
        </w:tc>
        <w:tc>
          <w:tcPr>
            <w:tcW w:w="1191" w:type="dxa"/>
            <w:tcBorders>
              <w:top w:val="nil"/>
              <w:left w:val="nil"/>
              <w:bottom w:val="single" w:color="000000" w:sz="8" w:space="0"/>
              <w:right w:val="single" w:color="000000" w:sz="8" w:space="0"/>
            </w:tcBorders>
            <w:shd w:val="clear" w:color="auto" w:fill="auto"/>
            <w:vAlign w:val="center"/>
          </w:tcPr>
          <w:p w14:paraId="50623A73">
            <w:pPr>
              <w:pStyle w:val="24"/>
              <w:ind w:firstLine="420"/>
              <w:rPr>
                <w:rFonts w:cs="Times New Roman" w:eastAsiaTheme="minorEastAsia"/>
                <w:color w:val="000000"/>
                <w:kern w:val="0"/>
                <w:lang w:bidi="ar"/>
              </w:rPr>
            </w:pPr>
          </w:p>
        </w:tc>
        <w:tc>
          <w:tcPr>
            <w:tcW w:w="1191" w:type="dxa"/>
            <w:tcBorders>
              <w:top w:val="nil"/>
              <w:left w:val="nil"/>
              <w:bottom w:val="single" w:color="000000" w:sz="8" w:space="0"/>
              <w:right w:val="single" w:color="000000" w:sz="8" w:space="0"/>
            </w:tcBorders>
            <w:shd w:val="clear" w:color="auto" w:fill="auto"/>
            <w:vAlign w:val="center"/>
          </w:tcPr>
          <w:p w14:paraId="343789C0">
            <w:pPr>
              <w:pStyle w:val="24"/>
              <w:ind w:firstLine="420"/>
              <w:rPr>
                <w:rFonts w:cs="Times New Roman" w:eastAsiaTheme="minorEastAsia"/>
                <w:color w:val="000000"/>
                <w:kern w:val="0"/>
                <w:lang w:bidi="ar"/>
              </w:rPr>
            </w:pPr>
          </w:p>
        </w:tc>
        <w:tc>
          <w:tcPr>
            <w:tcW w:w="1191" w:type="dxa"/>
            <w:tcBorders>
              <w:top w:val="nil"/>
              <w:left w:val="nil"/>
              <w:bottom w:val="single" w:color="000000" w:sz="8" w:space="0"/>
              <w:right w:val="single" w:color="000000" w:sz="8" w:space="0"/>
            </w:tcBorders>
            <w:shd w:val="clear" w:color="auto" w:fill="auto"/>
            <w:vAlign w:val="center"/>
          </w:tcPr>
          <w:p w14:paraId="240C0B3D">
            <w:pPr>
              <w:pStyle w:val="24"/>
              <w:ind w:firstLine="420"/>
              <w:rPr>
                <w:rFonts w:cs="Times New Roman" w:eastAsiaTheme="minorEastAsia"/>
                <w:color w:val="000000"/>
                <w:kern w:val="0"/>
                <w:lang w:bidi="ar"/>
              </w:rPr>
            </w:pPr>
          </w:p>
        </w:tc>
      </w:tr>
      <w:tr w14:paraId="211DA3B1">
        <w:tblPrEx>
          <w:tblCellMar>
            <w:top w:w="0" w:type="dxa"/>
            <w:left w:w="108" w:type="dxa"/>
            <w:bottom w:w="0" w:type="dxa"/>
            <w:right w:w="108" w:type="dxa"/>
          </w:tblCellMar>
        </w:tblPrEx>
        <w:trPr>
          <w:trHeight w:val="283" w:hRule="atLeast"/>
        </w:trPr>
        <w:tc>
          <w:tcPr>
            <w:tcW w:w="671" w:type="dxa"/>
            <w:tcBorders>
              <w:top w:val="nil"/>
              <w:left w:val="single" w:color="000000" w:sz="8" w:space="0"/>
              <w:bottom w:val="single" w:color="000000" w:sz="8" w:space="0"/>
              <w:right w:val="single" w:color="000000" w:sz="8" w:space="0"/>
            </w:tcBorders>
            <w:shd w:val="clear" w:color="auto" w:fill="auto"/>
            <w:vAlign w:val="center"/>
          </w:tcPr>
          <w:p w14:paraId="27CDD8D3">
            <w:pPr>
              <w:pStyle w:val="24"/>
              <w:spacing w:line="240" w:lineRule="auto"/>
              <w:ind w:firstLine="0" w:firstLineChars="0"/>
              <w:rPr>
                <w:rFonts w:cs="Times New Roman" w:eastAsiaTheme="minorEastAsia"/>
                <w:color w:val="000000"/>
                <w:kern w:val="0"/>
                <w:lang w:bidi="ar"/>
              </w:rPr>
            </w:pPr>
            <w:r>
              <w:rPr>
                <w:rFonts w:cs="Times New Roman" w:eastAsiaTheme="minorEastAsia"/>
                <w:color w:val="000000"/>
                <w:kern w:val="0"/>
                <w:lang w:bidi="ar"/>
              </w:rPr>
              <w:t>7</w:t>
            </w:r>
          </w:p>
        </w:tc>
        <w:tc>
          <w:tcPr>
            <w:tcW w:w="4275" w:type="dxa"/>
            <w:tcBorders>
              <w:top w:val="nil"/>
              <w:left w:val="nil"/>
              <w:bottom w:val="single" w:color="000000" w:sz="8" w:space="0"/>
              <w:right w:val="single" w:color="000000" w:sz="8" w:space="0"/>
            </w:tcBorders>
            <w:shd w:val="clear" w:color="auto" w:fill="auto"/>
            <w:vAlign w:val="center"/>
          </w:tcPr>
          <w:p w14:paraId="349459F6">
            <w:pPr>
              <w:pStyle w:val="24"/>
              <w:spacing w:line="240" w:lineRule="auto"/>
              <w:ind w:firstLine="0" w:firstLineChars="0"/>
              <w:jc w:val="both"/>
              <w:rPr>
                <w:color w:val="000000"/>
                <w:kern w:val="0"/>
                <w:lang w:bidi="ar"/>
              </w:rPr>
            </w:pPr>
            <w:r>
              <w:rPr>
                <w:color w:val="000000"/>
                <w:kern w:val="0"/>
                <w:lang w:bidi="ar"/>
              </w:rPr>
              <w:t>对员工提出的改进意见，采纳后给予奖励</w:t>
            </w:r>
          </w:p>
        </w:tc>
        <w:tc>
          <w:tcPr>
            <w:tcW w:w="1191" w:type="dxa"/>
            <w:tcBorders>
              <w:top w:val="nil"/>
              <w:left w:val="nil"/>
              <w:bottom w:val="single" w:color="000000" w:sz="8" w:space="0"/>
              <w:right w:val="single" w:color="000000" w:sz="8" w:space="0"/>
            </w:tcBorders>
            <w:shd w:val="clear" w:color="auto" w:fill="auto"/>
            <w:vAlign w:val="center"/>
          </w:tcPr>
          <w:p w14:paraId="783CF443">
            <w:pPr>
              <w:pStyle w:val="24"/>
              <w:ind w:firstLine="420"/>
              <w:rPr>
                <w:rFonts w:cs="Times New Roman" w:eastAsiaTheme="minorEastAsia"/>
                <w:color w:val="000000"/>
                <w:kern w:val="0"/>
                <w:lang w:bidi="ar"/>
              </w:rPr>
            </w:pPr>
          </w:p>
        </w:tc>
        <w:tc>
          <w:tcPr>
            <w:tcW w:w="1191" w:type="dxa"/>
            <w:tcBorders>
              <w:top w:val="nil"/>
              <w:left w:val="nil"/>
              <w:bottom w:val="single" w:color="000000" w:sz="8" w:space="0"/>
              <w:right w:val="single" w:color="000000" w:sz="8" w:space="0"/>
            </w:tcBorders>
            <w:shd w:val="clear" w:color="auto" w:fill="auto"/>
            <w:vAlign w:val="center"/>
          </w:tcPr>
          <w:p w14:paraId="5D741B7E">
            <w:pPr>
              <w:pStyle w:val="24"/>
              <w:ind w:firstLine="420"/>
              <w:rPr>
                <w:rFonts w:cs="Times New Roman" w:eastAsiaTheme="minorEastAsia"/>
                <w:color w:val="000000"/>
                <w:kern w:val="0"/>
                <w:lang w:bidi="ar"/>
              </w:rPr>
            </w:pPr>
          </w:p>
        </w:tc>
        <w:tc>
          <w:tcPr>
            <w:tcW w:w="1191" w:type="dxa"/>
            <w:tcBorders>
              <w:top w:val="nil"/>
              <w:left w:val="nil"/>
              <w:bottom w:val="single" w:color="000000" w:sz="8" w:space="0"/>
              <w:right w:val="single" w:color="000000" w:sz="8" w:space="0"/>
            </w:tcBorders>
            <w:shd w:val="clear" w:color="auto" w:fill="auto"/>
            <w:vAlign w:val="center"/>
          </w:tcPr>
          <w:p w14:paraId="5A227DA5">
            <w:pPr>
              <w:pStyle w:val="24"/>
              <w:ind w:firstLine="420"/>
              <w:rPr>
                <w:rFonts w:cs="Times New Roman" w:eastAsiaTheme="minorEastAsia"/>
                <w:color w:val="000000"/>
                <w:kern w:val="0"/>
                <w:lang w:bidi="ar"/>
              </w:rPr>
            </w:pPr>
          </w:p>
        </w:tc>
      </w:tr>
      <w:tr w14:paraId="187D4F2D">
        <w:tblPrEx>
          <w:tblCellMar>
            <w:top w:w="0" w:type="dxa"/>
            <w:left w:w="108" w:type="dxa"/>
            <w:bottom w:w="0" w:type="dxa"/>
            <w:right w:w="108" w:type="dxa"/>
          </w:tblCellMar>
        </w:tblPrEx>
        <w:trPr>
          <w:trHeight w:val="283" w:hRule="atLeast"/>
        </w:trPr>
        <w:tc>
          <w:tcPr>
            <w:tcW w:w="671" w:type="dxa"/>
            <w:tcBorders>
              <w:top w:val="nil"/>
              <w:left w:val="single" w:color="000000" w:sz="8" w:space="0"/>
              <w:bottom w:val="single" w:color="000000" w:sz="8" w:space="0"/>
              <w:right w:val="single" w:color="000000" w:sz="8" w:space="0"/>
            </w:tcBorders>
            <w:shd w:val="clear" w:color="auto" w:fill="auto"/>
            <w:vAlign w:val="center"/>
          </w:tcPr>
          <w:p w14:paraId="1466EAB0">
            <w:pPr>
              <w:pStyle w:val="24"/>
              <w:spacing w:line="240" w:lineRule="auto"/>
              <w:ind w:firstLine="0" w:firstLineChars="0"/>
              <w:rPr>
                <w:rFonts w:cs="Times New Roman" w:eastAsiaTheme="minorEastAsia"/>
                <w:color w:val="000000"/>
                <w:kern w:val="0"/>
                <w:lang w:bidi="ar"/>
              </w:rPr>
            </w:pPr>
            <w:r>
              <w:rPr>
                <w:rFonts w:cs="Times New Roman" w:eastAsiaTheme="minorEastAsia"/>
                <w:color w:val="000000"/>
                <w:kern w:val="0"/>
                <w:lang w:bidi="ar"/>
              </w:rPr>
              <w:t>8</w:t>
            </w:r>
          </w:p>
        </w:tc>
        <w:tc>
          <w:tcPr>
            <w:tcW w:w="4275" w:type="dxa"/>
            <w:tcBorders>
              <w:top w:val="nil"/>
              <w:left w:val="nil"/>
              <w:bottom w:val="single" w:color="000000" w:sz="8" w:space="0"/>
              <w:right w:val="single" w:color="000000" w:sz="8" w:space="0"/>
            </w:tcBorders>
            <w:shd w:val="clear" w:color="auto" w:fill="auto"/>
            <w:vAlign w:val="center"/>
          </w:tcPr>
          <w:p w14:paraId="50EA7E61">
            <w:pPr>
              <w:pStyle w:val="24"/>
              <w:spacing w:line="240" w:lineRule="auto"/>
              <w:ind w:firstLine="0" w:firstLineChars="0"/>
              <w:jc w:val="both"/>
              <w:rPr>
                <w:color w:val="000000"/>
                <w:kern w:val="0"/>
                <w:lang w:bidi="ar"/>
              </w:rPr>
            </w:pPr>
            <w:r>
              <w:rPr>
                <w:color w:val="000000"/>
                <w:kern w:val="0"/>
                <w:lang w:bidi="ar"/>
              </w:rPr>
              <w:t>制定了员工晋升的路线和机制</w:t>
            </w:r>
          </w:p>
        </w:tc>
        <w:tc>
          <w:tcPr>
            <w:tcW w:w="1191" w:type="dxa"/>
            <w:tcBorders>
              <w:top w:val="nil"/>
              <w:left w:val="nil"/>
              <w:bottom w:val="single" w:color="000000" w:sz="8" w:space="0"/>
              <w:right w:val="single" w:color="000000" w:sz="8" w:space="0"/>
            </w:tcBorders>
            <w:shd w:val="clear" w:color="auto" w:fill="auto"/>
            <w:vAlign w:val="center"/>
          </w:tcPr>
          <w:p w14:paraId="6679D5DB">
            <w:pPr>
              <w:pStyle w:val="24"/>
              <w:ind w:firstLine="420"/>
              <w:rPr>
                <w:rFonts w:cs="Times New Roman" w:eastAsiaTheme="minorEastAsia"/>
                <w:color w:val="000000"/>
                <w:kern w:val="0"/>
                <w:lang w:bidi="ar"/>
              </w:rPr>
            </w:pPr>
          </w:p>
        </w:tc>
        <w:tc>
          <w:tcPr>
            <w:tcW w:w="1191" w:type="dxa"/>
            <w:tcBorders>
              <w:top w:val="nil"/>
              <w:left w:val="nil"/>
              <w:bottom w:val="single" w:color="000000" w:sz="8" w:space="0"/>
              <w:right w:val="single" w:color="000000" w:sz="8" w:space="0"/>
            </w:tcBorders>
            <w:shd w:val="clear" w:color="auto" w:fill="auto"/>
            <w:vAlign w:val="center"/>
          </w:tcPr>
          <w:p w14:paraId="5C73D296">
            <w:pPr>
              <w:pStyle w:val="24"/>
              <w:ind w:firstLine="420"/>
              <w:rPr>
                <w:rFonts w:cs="Times New Roman" w:eastAsiaTheme="minorEastAsia"/>
                <w:color w:val="000000"/>
                <w:kern w:val="0"/>
                <w:lang w:bidi="ar"/>
              </w:rPr>
            </w:pPr>
          </w:p>
        </w:tc>
        <w:tc>
          <w:tcPr>
            <w:tcW w:w="1191" w:type="dxa"/>
            <w:tcBorders>
              <w:top w:val="nil"/>
              <w:left w:val="nil"/>
              <w:bottom w:val="single" w:color="000000" w:sz="8" w:space="0"/>
              <w:right w:val="single" w:color="000000" w:sz="8" w:space="0"/>
            </w:tcBorders>
            <w:shd w:val="clear" w:color="auto" w:fill="auto"/>
            <w:vAlign w:val="center"/>
          </w:tcPr>
          <w:p w14:paraId="477EE13D">
            <w:pPr>
              <w:pStyle w:val="24"/>
              <w:ind w:firstLine="420"/>
              <w:rPr>
                <w:rFonts w:cs="Times New Roman" w:eastAsiaTheme="minorEastAsia"/>
                <w:color w:val="000000"/>
                <w:kern w:val="0"/>
                <w:lang w:bidi="ar"/>
              </w:rPr>
            </w:pPr>
          </w:p>
        </w:tc>
      </w:tr>
      <w:tr w14:paraId="1876F778">
        <w:tblPrEx>
          <w:tblCellMar>
            <w:top w:w="0" w:type="dxa"/>
            <w:left w:w="108" w:type="dxa"/>
            <w:bottom w:w="0" w:type="dxa"/>
            <w:right w:w="108" w:type="dxa"/>
          </w:tblCellMar>
        </w:tblPrEx>
        <w:trPr>
          <w:trHeight w:val="283" w:hRule="atLeast"/>
        </w:trPr>
        <w:tc>
          <w:tcPr>
            <w:tcW w:w="671" w:type="dxa"/>
            <w:tcBorders>
              <w:top w:val="nil"/>
              <w:left w:val="single" w:color="000000" w:sz="8" w:space="0"/>
              <w:bottom w:val="single" w:color="000000" w:sz="8" w:space="0"/>
              <w:right w:val="single" w:color="000000" w:sz="8" w:space="0"/>
            </w:tcBorders>
            <w:shd w:val="clear" w:color="auto" w:fill="auto"/>
            <w:vAlign w:val="center"/>
          </w:tcPr>
          <w:p w14:paraId="27F50324">
            <w:pPr>
              <w:pStyle w:val="24"/>
              <w:spacing w:line="240" w:lineRule="auto"/>
              <w:ind w:firstLine="0" w:firstLineChars="0"/>
              <w:rPr>
                <w:rFonts w:cs="Times New Roman" w:eastAsiaTheme="minorEastAsia"/>
                <w:color w:val="000000"/>
                <w:kern w:val="0"/>
                <w:lang w:bidi="ar"/>
              </w:rPr>
            </w:pPr>
            <w:r>
              <w:rPr>
                <w:rFonts w:hint="eastAsia" w:cs="Times New Roman" w:eastAsiaTheme="minorEastAsia"/>
                <w:color w:val="000000"/>
                <w:kern w:val="0"/>
                <w:lang w:bidi="ar"/>
              </w:rPr>
              <w:t>9</w:t>
            </w:r>
          </w:p>
        </w:tc>
        <w:tc>
          <w:tcPr>
            <w:tcW w:w="4275" w:type="dxa"/>
            <w:tcBorders>
              <w:top w:val="nil"/>
              <w:left w:val="nil"/>
              <w:bottom w:val="single" w:color="000000" w:sz="8" w:space="0"/>
              <w:right w:val="single" w:color="000000" w:sz="8" w:space="0"/>
            </w:tcBorders>
            <w:shd w:val="clear" w:color="auto" w:fill="auto"/>
            <w:vAlign w:val="center"/>
          </w:tcPr>
          <w:p w14:paraId="63EB1315">
            <w:pPr>
              <w:pStyle w:val="24"/>
              <w:spacing w:line="240" w:lineRule="auto"/>
              <w:ind w:firstLine="0" w:firstLineChars="0"/>
              <w:jc w:val="both"/>
              <w:rPr>
                <w:color w:val="000000"/>
                <w:kern w:val="0"/>
                <w:lang w:bidi="ar"/>
              </w:rPr>
            </w:pPr>
            <w:r>
              <w:rPr>
                <w:color w:val="000000"/>
                <w:kern w:val="0"/>
                <w:lang w:bidi="ar"/>
              </w:rPr>
              <w:t>制定了确保员工稳定性的政策与措施</w:t>
            </w:r>
          </w:p>
        </w:tc>
        <w:tc>
          <w:tcPr>
            <w:tcW w:w="1191" w:type="dxa"/>
            <w:tcBorders>
              <w:top w:val="nil"/>
              <w:left w:val="nil"/>
              <w:bottom w:val="single" w:color="000000" w:sz="8" w:space="0"/>
              <w:right w:val="single" w:color="000000" w:sz="8" w:space="0"/>
            </w:tcBorders>
            <w:shd w:val="clear" w:color="auto" w:fill="auto"/>
            <w:vAlign w:val="center"/>
          </w:tcPr>
          <w:p w14:paraId="036A0218">
            <w:pPr>
              <w:pStyle w:val="24"/>
              <w:ind w:firstLine="420"/>
              <w:rPr>
                <w:rFonts w:cs="Times New Roman" w:eastAsiaTheme="minorEastAsia"/>
                <w:color w:val="000000"/>
                <w:kern w:val="0"/>
                <w:lang w:bidi="ar"/>
              </w:rPr>
            </w:pPr>
          </w:p>
        </w:tc>
        <w:tc>
          <w:tcPr>
            <w:tcW w:w="1191" w:type="dxa"/>
            <w:tcBorders>
              <w:top w:val="nil"/>
              <w:left w:val="nil"/>
              <w:bottom w:val="single" w:color="000000" w:sz="8" w:space="0"/>
              <w:right w:val="single" w:color="000000" w:sz="8" w:space="0"/>
            </w:tcBorders>
            <w:shd w:val="clear" w:color="auto" w:fill="auto"/>
            <w:vAlign w:val="center"/>
          </w:tcPr>
          <w:p w14:paraId="7BC5172B">
            <w:pPr>
              <w:pStyle w:val="24"/>
              <w:ind w:firstLine="420"/>
              <w:rPr>
                <w:rFonts w:cs="Times New Roman" w:eastAsiaTheme="minorEastAsia"/>
                <w:color w:val="000000"/>
                <w:kern w:val="0"/>
                <w:lang w:bidi="ar"/>
              </w:rPr>
            </w:pPr>
          </w:p>
        </w:tc>
        <w:tc>
          <w:tcPr>
            <w:tcW w:w="1191" w:type="dxa"/>
            <w:tcBorders>
              <w:top w:val="nil"/>
              <w:left w:val="nil"/>
              <w:bottom w:val="single" w:color="000000" w:sz="8" w:space="0"/>
              <w:right w:val="single" w:color="000000" w:sz="8" w:space="0"/>
            </w:tcBorders>
            <w:shd w:val="clear" w:color="auto" w:fill="auto"/>
            <w:vAlign w:val="center"/>
          </w:tcPr>
          <w:p w14:paraId="679063F8">
            <w:pPr>
              <w:pStyle w:val="24"/>
              <w:ind w:firstLine="420"/>
              <w:rPr>
                <w:rFonts w:cs="Times New Roman" w:eastAsiaTheme="minorEastAsia"/>
                <w:color w:val="000000"/>
                <w:kern w:val="0"/>
                <w:lang w:bidi="ar"/>
              </w:rPr>
            </w:pPr>
          </w:p>
        </w:tc>
      </w:tr>
      <w:tr w14:paraId="0A40BD1E">
        <w:tblPrEx>
          <w:tblCellMar>
            <w:top w:w="0" w:type="dxa"/>
            <w:left w:w="108" w:type="dxa"/>
            <w:bottom w:w="0" w:type="dxa"/>
            <w:right w:w="108" w:type="dxa"/>
          </w:tblCellMar>
        </w:tblPrEx>
        <w:trPr>
          <w:trHeight w:val="283" w:hRule="atLeast"/>
        </w:trPr>
        <w:tc>
          <w:tcPr>
            <w:tcW w:w="671" w:type="dxa"/>
            <w:tcBorders>
              <w:top w:val="nil"/>
              <w:left w:val="single" w:color="000000" w:sz="8" w:space="0"/>
              <w:bottom w:val="nil"/>
              <w:right w:val="single" w:color="000000" w:sz="8" w:space="0"/>
            </w:tcBorders>
            <w:shd w:val="clear" w:color="auto" w:fill="auto"/>
            <w:vAlign w:val="center"/>
          </w:tcPr>
          <w:p w14:paraId="50D50C86">
            <w:pPr>
              <w:pStyle w:val="24"/>
              <w:spacing w:line="240" w:lineRule="auto"/>
              <w:ind w:firstLine="0" w:firstLineChars="0"/>
              <w:rPr>
                <w:rFonts w:cs="Times New Roman" w:eastAsiaTheme="minorEastAsia"/>
                <w:color w:val="000000"/>
                <w:kern w:val="0"/>
                <w:lang w:bidi="ar"/>
              </w:rPr>
            </w:pPr>
            <w:r>
              <w:rPr>
                <w:rFonts w:hint="eastAsia" w:cs="Times New Roman" w:eastAsiaTheme="minorEastAsia"/>
                <w:color w:val="000000"/>
                <w:kern w:val="0"/>
                <w:lang w:bidi="ar"/>
              </w:rPr>
              <w:t>10</w:t>
            </w:r>
          </w:p>
        </w:tc>
        <w:tc>
          <w:tcPr>
            <w:tcW w:w="4275" w:type="dxa"/>
            <w:tcBorders>
              <w:top w:val="nil"/>
              <w:left w:val="nil"/>
              <w:bottom w:val="nil"/>
              <w:right w:val="single" w:color="000000" w:sz="8" w:space="0"/>
            </w:tcBorders>
            <w:shd w:val="clear" w:color="auto" w:fill="auto"/>
            <w:vAlign w:val="center"/>
          </w:tcPr>
          <w:p w14:paraId="12BB1CD9">
            <w:pPr>
              <w:pStyle w:val="24"/>
              <w:spacing w:line="240" w:lineRule="auto"/>
              <w:ind w:firstLine="0" w:firstLineChars="0"/>
              <w:jc w:val="both"/>
              <w:rPr>
                <w:color w:val="000000"/>
                <w:kern w:val="0"/>
                <w:lang w:bidi="ar"/>
              </w:rPr>
            </w:pPr>
            <w:r>
              <w:rPr>
                <w:color w:val="000000"/>
                <w:kern w:val="0"/>
                <w:lang w:bidi="ar"/>
              </w:rPr>
              <w:t>员工均了解环保状况以及安全生产要求</w:t>
            </w:r>
          </w:p>
        </w:tc>
        <w:tc>
          <w:tcPr>
            <w:tcW w:w="1191" w:type="dxa"/>
            <w:tcBorders>
              <w:top w:val="nil"/>
              <w:left w:val="nil"/>
              <w:bottom w:val="nil"/>
              <w:right w:val="single" w:color="000000" w:sz="8" w:space="0"/>
            </w:tcBorders>
            <w:shd w:val="clear" w:color="auto" w:fill="auto"/>
            <w:vAlign w:val="center"/>
          </w:tcPr>
          <w:p w14:paraId="094E4B74">
            <w:pPr>
              <w:pStyle w:val="24"/>
              <w:ind w:firstLine="420"/>
              <w:rPr>
                <w:rFonts w:cs="Times New Roman" w:eastAsiaTheme="minorEastAsia"/>
                <w:color w:val="000000"/>
                <w:kern w:val="0"/>
                <w:lang w:bidi="ar"/>
              </w:rPr>
            </w:pPr>
          </w:p>
        </w:tc>
        <w:tc>
          <w:tcPr>
            <w:tcW w:w="1191" w:type="dxa"/>
            <w:tcBorders>
              <w:top w:val="nil"/>
              <w:left w:val="nil"/>
              <w:bottom w:val="nil"/>
              <w:right w:val="single" w:color="000000" w:sz="8" w:space="0"/>
            </w:tcBorders>
            <w:shd w:val="clear" w:color="auto" w:fill="auto"/>
            <w:vAlign w:val="center"/>
          </w:tcPr>
          <w:p w14:paraId="06FDF6E0">
            <w:pPr>
              <w:pStyle w:val="24"/>
              <w:ind w:firstLine="420"/>
              <w:rPr>
                <w:rFonts w:cs="Times New Roman" w:eastAsiaTheme="minorEastAsia"/>
                <w:color w:val="000000"/>
                <w:kern w:val="0"/>
                <w:lang w:bidi="ar"/>
              </w:rPr>
            </w:pPr>
          </w:p>
        </w:tc>
        <w:tc>
          <w:tcPr>
            <w:tcW w:w="1191" w:type="dxa"/>
            <w:tcBorders>
              <w:top w:val="nil"/>
              <w:left w:val="nil"/>
              <w:bottom w:val="nil"/>
              <w:right w:val="single" w:color="000000" w:sz="8" w:space="0"/>
            </w:tcBorders>
            <w:shd w:val="clear" w:color="auto" w:fill="auto"/>
            <w:vAlign w:val="center"/>
          </w:tcPr>
          <w:p w14:paraId="3D09157D">
            <w:pPr>
              <w:pStyle w:val="24"/>
              <w:ind w:firstLine="420"/>
              <w:rPr>
                <w:rFonts w:cs="Times New Roman" w:eastAsiaTheme="minorEastAsia"/>
                <w:color w:val="000000"/>
                <w:kern w:val="0"/>
                <w:lang w:bidi="ar"/>
              </w:rPr>
            </w:pPr>
          </w:p>
        </w:tc>
      </w:tr>
    </w:tbl>
    <w:p w14:paraId="6EDE9704">
      <w:pPr>
        <w:pStyle w:val="2"/>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rPr>
        <w:sectPr>
          <w:pgSz w:w="11906" w:h="16838"/>
          <w:pgMar w:top="1440" w:right="1800" w:bottom="1440" w:left="1800" w:header="851" w:footer="992" w:gutter="0"/>
          <w:cols w:space="425" w:num="1"/>
          <w:docGrid w:type="lines" w:linePitch="312" w:charSpace="0"/>
        </w:sectPr>
      </w:pPr>
    </w:p>
    <w:p w14:paraId="747CC18B">
      <w:pPr>
        <w:pStyle w:val="2"/>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lang w:val="en-US"/>
        </w:rPr>
      </w:pPr>
      <w:r>
        <w:rPr>
          <w:rFonts w:hint="default"/>
        </w:rPr>
        <w:t>附录</w:t>
      </w:r>
      <w:r>
        <w:rPr>
          <w:rFonts w:hint="eastAsia"/>
          <w:lang w:val="en-US" w:eastAsia="zh-CN"/>
        </w:rPr>
        <w:t>B</w:t>
      </w:r>
    </w:p>
    <w:p w14:paraId="63908A61">
      <w:pPr>
        <w:pStyle w:val="2"/>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rPr>
      </w:pPr>
      <w:r>
        <w:rPr>
          <w:rFonts w:hint="default"/>
        </w:rPr>
        <w:t>（资料性</w:t>
      </w:r>
      <w:r>
        <w:rPr>
          <w:rFonts w:hint="default"/>
          <w:lang w:val="en-US" w:eastAsia="zh-CN"/>
        </w:rPr>
        <w:t>附录</w:t>
      </w:r>
      <w:r>
        <w:rPr>
          <w:rFonts w:hint="default"/>
        </w:rPr>
        <w:t>）</w:t>
      </w:r>
    </w:p>
    <w:p w14:paraId="735626A7">
      <w:pPr>
        <w:pStyle w:val="2"/>
        <w:keepNext w:val="0"/>
        <w:keepLines w:val="0"/>
        <w:pageBreakBefore w:val="0"/>
        <w:widowControl/>
        <w:kinsoku/>
        <w:wordWrap/>
        <w:overflowPunct/>
        <w:topLinePunct w:val="0"/>
        <w:autoSpaceDE/>
        <w:autoSpaceDN/>
        <w:bidi w:val="0"/>
        <w:adjustRightInd/>
        <w:snapToGrid/>
        <w:ind w:firstLine="0" w:firstLineChars="0"/>
        <w:jc w:val="center"/>
        <w:textAlignment w:val="auto"/>
      </w:pPr>
      <w:r>
        <w:t>现场调研收集资料清单</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58"/>
        <w:gridCol w:w="6852"/>
      </w:tblGrid>
      <w:tr w14:paraId="0C82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2A69106">
            <w:pPr>
              <w:adjustRightInd w:val="0"/>
              <w:snapToGrid w:val="0"/>
              <w:spacing w:line="240" w:lineRule="auto"/>
              <w:ind w:firstLine="0" w:firstLineChars="0"/>
              <w:jc w:val="center"/>
              <w:rPr>
                <w:b/>
                <w:bCs/>
                <w:sz w:val="18"/>
                <w:szCs w:val="18"/>
              </w:rPr>
            </w:pPr>
            <w:r>
              <w:rPr>
                <w:rFonts w:hint="eastAsia"/>
                <w:b/>
                <w:bCs/>
                <w:sz w:val="18"/>
                <w:szCs w:val="18"/>
              </w:rPr>
              <w:t>序号</w:t>
            </w:r>
          </w:p>
        </w:tc>
        <w:tc>
          <w:tcPr>
            <w:tcW w:w="958" w:type="dxa"/>
            <w:vAlign w:val="center"/>
          </w:tcPr>
          <w:p w14:paraId="3A1938B2">
            <w:pPr>
              <w:adjustRightInd w:val="0"/>
              <w:snapToGrid w:val="0"/>
              <w:spacing w:line="240" w:lineRule="auto"/>
              <w:ind w:firstLine="0" w:firstLineChars="0"/>
              <w:jc w:val="center"/>
              <w:rPr>
                <w:b/>
                <w:bCs/>
                <w:sz w:val="18"/>
                <w:szCs w:val="18"/>
              </w:rPr>
            </w:pPr>
            <w:r>
              <w:rPr>
                <w:rFonts w:hint="eastAsia"/>
                <w:b/>
                <w:bCs/>
                <w:sz w:val="18"/>
                <w:szCs w:val="18"/>
              </w:rPr>
              <w:t>方面</w:t>
            </w:r>
          </w:p>
        </w:tc>
        <w:tc>
          <w:tcPr>
            <w:tcW w:w="6852" w:type="dxa"/>
            <w:vAlign w:val="center"/>
          </w:tcPr>
          <w:p w14:paraId="63E9D6B3">
            <w:pPr>
              <w:adjustRightInd w:val="0"/>
              <w:snapToGrid w:val="0"/>
              <w:spacing w:line="240" w:lineRule="auto"/>
              <w:ind w:firstLine="0" w:firstLineChars="0"/>
              <w:jc w:val="center"/>
              <w:rPr>
                <w:b/>
                <w:bCs/>
                <w:sz w:val="18"/>
                <w:szCs w:val="18"/>
              </w:rPr>
            </w:pPr>
            <w:r>
              <w:rPr>
                <w:rFonts w:hint="eastAsia"/>
                <w:b/>
                <w:bCs/>
                <w:sz w:val="18"/>
                <w:szCs w:val="18"/>
              </w:rPr>
              <w:t>数据清单</w:t>
            </w:r>
          </w:p>
        </w:tc>
      </w:tr>
      <w:tr w14:paraId="6359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10" w:type="dxa"/>
            <w:vAlign w:val="center"/>
          </w:tcPr>
          <w:p w14:paraId="0182DE5F">
            <w:pPr>
              <w:adjustRightInd w:val="0"/>
              <w:snapToGrid w:val="0"/>
              <w:spacing w:line="240" w:lineRule="auto"/>
              <w:ind w:firstLine="0" w:firstLineChars="0"/>
              <w:jc w:val="center"/>
              <w:rPr>
                <w:sz w:val="18"/>
                <w:szCs w:val="18"/>
              </w:rPr>
            </w:pPr>
            <w:r>
              <w:rPr>
                <w:rFonts w:hint="eastAsia"/>
                <w:sz w:val="18"/>
                <w:szCs w:val="18"/>
              </w:rPr>
              <w:t>1</w:t>
            </w:r>
          </w:p>
        </w:tc>
        <w:tc>
          <w:tcPr>
            <w:tcW w:w="958" w:type="dxa"/>
            <w:vAlign w:val="center"/>
          </w:tcPr>
          <w:p w14:paraId="66B39EA8">
            <w:pPr>
              <w:adjustRightInd w:val="0"/>
              <w:snapToGrid w:val="0"/>
              <w:spacing w:line="240" w:lineRule="auto"/>
              <w:ind w:firstLine="0" w:firstLineChars="0"/>
              <w:jc w:val="center"/>
              <w:rPr>
                <w:sz w:val="18"/>
                <w:szCs w:val="18"/>
              </w:rPr>
            </w:pPr>
            <w:r>
              <w:rPr>
                <w:rFonts w:hint="eastAsia"/>
                <w:sz w:val="18"/>
                <w:szCs w:val="18"/>
              </w:rPr>
              <w:t>原辅材料和能源</w:t>
            </w:r>
          </w:p>
        </w:tc>
        <w:tc>
          <w:tcPr>
            <w:tcW w:w="6852" w:type="dxa"/>
            <w:vAlign w:val="center"/>
          </w:tcPr>
          <w:p w14:paraId="3E0FD8E5">
            <w:pPr>
              <w:adjustRightInd w:val="0"/>
              <w:snapToGrid w:val="0"/>
              <w:spacing w:line="240" w:lineRule="auto"/>
              <w:ind w:firstLine="0" w:firstLineChars="0"/>
              <w:rPr>
                <w:rFonts w:hint="eastAsia"/>
                <w:sz w:val="18"/>
                <w:szCs w:val="18"/>
              </w:rPr>
            </w:pPr>
            <w:r>
              <w:rPr>
                <w:rFonts w:hint="eastAsia"/>
                <w:sz w:val="18"/>
                <w:szCs w:val="18"/>
              </w:rPr>
              <w:t>①近三年</w:t>
            </w:r>
            <w:r>
              <w:rPr>
                <w:sz w:val="18"/>
                <w:szCs w:val="18"/>
              </w:rPr>
              <w:t>原辅材料名称、成分、有毒有害化学品理化性能、消耗量等</w:t>
            </w:r>
            <w:r>
              <w:rPr>
                <w:rFonts w:hint="eastAsia"/>
                <w:sz w:val="18"/>
                <w:szCs w:val="18"/>
              </w:rPr>
              <w:t>；</w:t>
            </w:r>
          </w:p>
          <w:p w14:paraId="2EAF1D1D">
            <w:pPr>
              <w:adjustRightInd w:val="0"/>
              <w:snapToGrid w:val="0"/>
              <w:spacing w:line="240" w:lineRule="auto"/>
              <w:ind w:firstLine="0" w:firstLineChars="0"/>
              <w:rPr>
                <w:rFonts w:hint="eastAsia" w:eastAsia="宋体"/>
                <w:sz w:val="18"/>
                <w:szCs w:val="18"/>
                <w:lang w:eastAsia="zh-CN"/>
              </w:rPr>
            </w:pPr>
            <w:r>
              <w:rPr>
                <w:rFonts w:hint="eastAsia"/>
                <w:sz w:val="18"/>
                <w:szCs w:val="18"/>
              </w:rPr>
              <w:t>②</w:t>
            </w:r>
            <w:r>
              <w:rPr>
                <w:sz w:val="18"/>
                <w:szCs w:val="18"/>
              </w:rPr>
              <w:t>近三年取水量、重复利用水量、外排水量、回用水量等数据</w:t>
            </w:r>
            <w:r>
              <w:rPr>
                <w:rFonts w:hint="eastAsia"/>
                <w:sz w:val="18"/>
                <w:szCs w:val="18"/>
                <w:lang w:eastAsia="zh-CN"/>
              </w:rPr>
              <w:t>；</w:t>
            </w:r>
          </w:p>
          <w:p w14:paraId="1140FC37">
            <w:pPr>
              <w:adjustRightInd w:val="0"/>
              <w:snapToGrid w:val="0"/>
              <w:spacing w:line="240" w:lineRule="auto"/>
              <w:ind w:firstLine="0" w:firstLineChars="0"/>
              <w:rPr>
                <w:sz w:val="18"/>
                <w:szCs w:val="18"/>
              </w:rPr>
            </w:pPr>
            <w:r>
              <w:rPr>
                <w:rFonts w:hint="eastAsia"/>
                <w:sz w:val="18"/>
                <w:szCs w:val="18"/>
              </w:rPr>
              <w:t>③</w:t>
            </w:r>
            <w:r>
              <w:rPr>
                <w:sz w:val="18"/>
                <w:szCs w:val="18"/>
              </w:rPr>
              <w:t>近三年能源消耗</w:t>
            </w:r>
            <w:r>
              <w:rPr>
                <w:rFonts w:hint="eastAsia"/>
                <w:sz w:val="18"/>
                <w:szCs w:val="18"/>
              </w:rPr>
              <w:t>消耗数据资料</w:t>
            </w:r>
            <w:r>
              <w:rPr>
                <w:sz w:val="18"/>
                <w:szCs w:val="18"/>
              </w:rPr>
              <w:t>，包括重点用能环节、能源</w:t>
            </w:r>
            <w:r>
              <w:rPr>
                <w:rFonts w:hint="eastAsia"/>
                <w:sz w:val="18"/>
                <w:szCs w:val="18"/>
              </w:rPr>
              <w:t>类型</w:t>
            </w:r>
            <w:r>
              <w:rPr>
                <w:sz w:val="18"/>
                <w:szCs w:val="18"/>
              </w:rPr>
              <w:t>及消耗量</w:t>
            </w:r>
            <w:r>
              <w:rPr>
                <w:rFonts w:hint="eastAsia"/>
                <w:sz w:val="18"/>
                <w:szCs w:val="18"/>
              </w:rPr>
              <w:t>；</w:t>
            </w:r>
          </w:p>
          <w:p w14:paraId="7E2FA65C">
            <w:pPr>
              <w:adjustRightInd w:val="0"/>
              <w:snapToGrid w:val="0"/>
              <w:spacing w:line="240" w:lineRule="auto"/>
              <w:ind w:firstLine="0" w:firstLineChars="0"/>
              <w:rPr>
                <w:sz w:val="18"/>
                <w:szCs w:val="18"/>
              </w:rPr>
            </w:pPr>
            <w:r>
              <w:rPr>
                <w:rFonts w:hint="eastAsia"/>
                <w:sz w:val="18"/>
                <w:szCs w:val="18"/>
              </w:rPr>
              <w:t>④原辅料包装及输送相关数据</w:t>
            </w:r>
            <w:r>
              <w:rPr>
                <w:rFonts w:hint="eastAsia"/>
                <w:sz w:val="18"/>
                <w:szCs w:val="18"/>
                <w:lang w:eastAsia="zh-CN"/>
              </w:rPr>
              <w:t>，</w:t>
            </w:r>
            <w:r>
              <w:rPr>
                <w:rFonts w:hint="eastAsia"/>
                <w:sz w:val="18"/>
                <w:szCs w:val="18"/>
                <w:lang w:val="en-US" w:eastAsia="zh-CN"/>
              </w:rPr>
              <w:t>包括包装材质和规格，储存与输送方式及过程中原辅料的损耗量。</w:t>
            </w:r>
          </w:p>
        </w:tc>
      </w:tr>
      <w:tr w14:paraId="3AA1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0" w:type="dxa"/>
            <w:vAlign w:val="center"/>
          </w:tcPr>
          <w:p w14:paraId="3F89AAD2">
            <w:pPr>
              <w:adjustRightInd w:val="0"/>
              <w:snapToGrid w:val="0"/>
              <w:spacing w:line="240" w:lineRule="auto"/>
              <w:ind w:firstLine="0" w:firstLineChars="0"/>
              <w:jc w:val="center"/>
              <w:rPr>
                <w:sz w:val="18"/>
                <w:szCs w:val="18"/>
              </w:rPr>
            </w:pPr>
            <w:r>
              <w:rPr>
                <w:rFonts w:hint="eastAsia"/>
                <w:sz w:val="18"/>
                <w:szCs w:val="18"/>
              </w:rPr>
              <w:t>2</w:t>
            </w:r>
          </w:p>
        </w:tc>
        <w:tc>
          <w:tcPr>
            <w:tcW w:w="958" w:type="dxa"/>
            <w:vAlign w:val="center"/>
          </w:tcPr>
          <w:p w14:paraId="4846F959">
            <w:pPr>
              <w:adjustRightInd w:val="0"/>
              <w:snapToGrid w:val="0"/>
              <w:spacing w:line="240" w:lineRule="auto"/>
              <w:ind w:firstLine="0" w:firstLineChars="0"/>
              <w:jc w:val="center"/>
              <w:rPr>
                <w:sz w:val="18"/>
                <w:szCs w:val="18"/>
              </w:rPr>
            </w:pPr>
            <w:r>
              <w:rPr>
                <w:rFonts w:hint="eastAsia"/>
                <w:sz w:val="18"/>
                <w:szCs w:val="18"/>
              </w:rPr>
              <w:t>技术工艺</w:t>
            </w:r>
          </w:p>
        </w:tc>
        <w:tc>
          <w:tcPr>
            <w:tcW w:w="6852" w:type="dxa"/>
            <w:vAlign w:val="center"/>
          </w:tcPr>
          <w:p w14:paraId="6944C56A">
            <w:pPr>
              <w:adjustRightInd w:val="0"/>
              <w:snapToGrid w:val="0"/>
              <w:spacing w:line="240" w:lineRule="auto"/>
              <w:ind w:firstLine="0" w:firstLineChars="0"/>
              <w:rPr>
                <w:sz w:val="18"/>
                <w:szCs w:val="18"/>
              </w:rPr>
            </w:pPr>
            <w:r>
              <w:rPr>
                <w:rFonts w:hint="eastAsia"/>
                <w:sz w:val="18"/>
                <w:szCs w:val="18"/>
              </w:rPr>
              <w:t>①生产工艺流程及产排污环节数据资料，绘制生产工艺流程及产污环节图；</w:t>
            </w:r>
          </w:p>
          <w:p w14:paraId="5D2E2DCA">
            <w:pPr>
              <w:adjustRightInd w:val="0"/>
              <w:snapToGrid w:val="0"/>
              <w:spacing w:line="240" w:lineRule="auto"/>
              <w:ind w:firstLine="0" w:firstLineChars="0"/>
              <w:rPr>
                <w:sz w:val="18"/>
                <w:szCs w:val="18"/>
              </w:rPr>
            </w:pPr>
            <w:r>
              <w:rPr>
                <w:rFonts w:hint="eastAsia"/>
                <w:sz w:val="18"/>
                <w:szCs w:val="18"/>
              </w:rPr>
              <w:t>②技术工艺相关参数，包括工艺类型、关键工艺参数、原料转化率、反应及转化步骤、生产条件要求、车间设备布局及物料输送路程等信息。</w:t>
            </w:r>
          </w:p>
        </w:tc>
      </w:tr>
      <w:tr w14:paraId="0134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36F07168">
            <w:pPr>
              <w:adjustRightInd w:val="0"/>
              <w:snapToGrid w:val="0"/>
              <w:spacing w:line="240" w:lineRule="auto"/>
              <w:ind w:firstLine="0" w:firstLineChars="0"/>
              <w:jc w:val="center"/>
              <w:rPr>
                <w:sz w:val="18"/>
                <w:szCs w:val="18"/>
              </w:rPr>
            </w:pPr>
            <w:r>
              <w:rPr>
                <w:rFonts w:hint="eastAsia"/>
                <w:sz w:val="18"/>
                <w:szCs w:val="18"/>
              </w:rPr>
              <w:t>3</w:t>
            </w:r>
          </w:p>
        </w:tc>
        <w:tc>
          <w:tcPr>
            <w:tcW w:w="958" w:type="dxa"/>
            <w:vAlign w:val="center"/>
          </w:tcPr>
          <w:p w14:paraId="3FCE4330">
            <w:pPr>
              <w:adjustRightInd w:val="0"/>
              <w:snapToGrid w:val="0"/>
              <w:spacing w:line="240" w:lineRule="auto"/>
              <w:ind w:firstLine="0" w:firstLineChars="0"/>
              <w:jc w:val="center"/>
              <w:rPr>
                <w:sz w:val="18"/>
                <w:szCs w:val="18"/>
              </w:rPr>
            </w:pPr>
            <w:r>
              <w:rPr>
                <w:rFonts w:hint="eastAsia"/>
                <w:sz w:val="18"/>
                <w:szCs w:val="18"/>
              </w:rPr>
              <w:t>设备</w:t>
            </w:r>
          </w:p>
        </w:tc>
        <w:tc>
          <w:tcPr>
            <w:tcW w:w="6852" w:type="dxa"/>
            <w:vAlign w:val="center"/>
          </w:tcPr>
          <w:p w14:paraId="545597C0">
            <w:pPr>
              <w:adjustRightInd w:val="0"/>
              <w:snapToGrid w:val="0"/>
              <w:spacing w:line="240" w:lineRule="auto"/>
              <w:ind w:firstLine="0" w:firstLineChars="0"/>
              <w:rPr>
                <w:sz w:val="18"/>
                <w:szCs w:val="18"/>
              </w:rPr>
            </w:pPr>
            <w:r>
              <w:rPr>
                <w:rFonts w:hint="eastAsia"/>
                <w:sz w:val="18"/>
                <w:szCs w:val="18"/>
              </w:rPr>
              <w:t>①主要生产设备及公</w:t>
            </w:r>
            <w:r>
              <w:rPr>
                <w:rFonts w:hint="eastAsia"/>
                <w:sz w:val="18"/>
                <w:szCs w:val="18"/>
                <w:lang w:val="en-US" w:eastAsia="zh-CN"/>
              </w:rPr>
              <w:t>用</w:t>
            </w:r>
            <w:r>
              <w:rPr>
                <w:rFonts w:hint="eastAsia"/>
                <w:sz w:val="18"/>
                <w:szCs w:val="18"/>
              </w:rPr>
              <w:t>设施基本信息，包括设备包括设备规格、型号等主要参数，用能类型、能源消耗、额定功率及运行时间等运行数据；</w:t>
            </w:r>
          </w:p>
          <w:p w14:paraId="40EBB004">
            <w:pPr>
              <w:adjustRightInd w:val="0"/>
              <w:snapToGrid w:val="0"/>
              <w:spacing w:line="240" w:lineRule="auto"/>
              <w:ind w:firstLine="0" w:firstLineChars="0"/>
              <w:rPr>
                <w:sz w:val="18"/>
                <w:szCs w:val="18"/>
              </w:rPr>
            </w:pPr>
            <w:r>
              <w:rPr>
                <w:rFonts w:hint="eastAsia"/>
                <w:sz w:val="18"/>
                <w:szCs w:val="18"/>
              </w:rPr>
              <w:t>②主要生产设备及公用设施日常运行记录和维护记录，包括设备的启动和停止时间、运行状态、故障情况、维修保养记录、能耗数据、性能测试结果等信息。</w:t>
            </w:r>
          </w:p>
        </w:tc>
      </w:tr>
      <w:tr w14:paraId="007F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297ADABE">
            <w:pPr>
              <w:adjustRightInd w:val="0"/>
              <w:snapToGrid w:val="0"/>
              <w:spacing w:line="240" w:lineRule="auto"/>
              <w:ind w:firstLine="0" w:firstLineChars="0"/>
              <w:jc w:val="center"/>
              <w:rPr>
                <w:sz w:val="18"/>
                <w:szCs w:val="18"/>
              </w:rPr>
            </w:pPr>
            <w:r>
              <w:rPr>
                <w:rFonts w:hint="eastAsia"/>
                <w:sz w:val="18"/>
                <w:szCs w:val="18"/>
              </w:rPr>
              <w:t>4</w:t>
            </w:r>
          </w:p>
        </w:tc>
        <w:tc>
          <w:tcPr>
            <w:tcW w:w="958" w:type="dxa"/>
            <w:vAlign w:val="center"/>
          </w:tcPr>
          <w:p w14:paraId="322890B4">
            <w:pPr>
              <w:adjustRightInd w:val="0"/>
              <w:snapToGrid w:val="0"/>
              <w:spacing w:line="240" w:lineRule="auto"/>
              <w:ind w:firstLine="0" w:firstLineChars="0"/>
              <w:jc w:val="center"/>
              <w:rPr>
                <w:sz w:val="18"/>
                <w:szCs w:val="18"/>
              </w:rPr>
            </w:pPr>
            <w:r>
              <w:rPr>
                <w:rFonts w:hint="eastAsia"/>
                <w:sz w:val="18"/>
                <w:szCs w:val="18"/>
              </w:rPr>
              <w:t>过程控制</w:t>
            </w:r>
          </w:p>
        </w:tc>
        <w:tc>
          <w:tcPr>
            <w:tcW w:w="6852" w:type="dxa"/>
            <w:vAlign w:val="center"/>
          </w:tcPr>
          <w:p w14:paraId="3A3BC550">
            <w:pPr>
              <w:adjustRightInd w:val="0"/>
              <w:snapToGrid w:val="0"/>
              <w:spacing w:line="240" w:lineRule="auto"/>
              <w:ind w:firstLine="0" w:firstLineChars="0"/>
              <w:rPr>
                <w:sz w:val="18"/>
                <w:szCs w:val="18"/>
              </w:rPr>
            </w:pPr>
            <w:r>
              <w:rPr>
                <w:rFonts w:hint="eastAsia"/>
                <w:sz w:val="18"/>
                <w:szCs w:val="18"/>
              </w:rPr>
              <w:t>①计量器具基本情况，包括能源计量器具、流量计、压力表和压力变送器、浓度计和在线分析仪等计量器具的数量及布设位置，仪表与控制系统（ICS）配置图、PID图等资料；</w:t>
            </w:r>
          </w:p>
          <w:p w14:paraId="23161FA9">
            <w:pPr>
              <w:adjustRightInd w:val="0"/>
              <w:snapToGrid w:val="0"/>
              <w:spacing w:line="240" w:lineRule="auto"/>
              <w:ind w:firstLine="0" w:firstLineChars="0"/>
              <w:rPr>
                <w:sz w:val="18"/>
                <w:szCs w:val="18"/>
              </w:rPr>
            </w:pPr>
            <w:r>
              <w:rPr>
                <w:rFonts w:hint="eastAsia"/>
                <w:sz w:val="18"/>
                <w:szCs w:val="18"/>
              </w:rPr>
              <w:t>②工艺技术</w:t>
            </w:r>
            <w:r>
              <w:rPr>
                <w:rFonts w:hint="eastAsia"/>
                <w:sz w:val="18"/>
                <w:szCs w:val="18"/>
                <w:lang w:val="en-US" w:eastAsia="zh-CN"/>
              </w:rPr>
              <w:t>操作</w:t>
            </w:r>
            <w:r>
              <w:rPr>
                <w:rFonts w:hint="eastAsia"/>
                <w:sz w:val="18"/>
                <w:szCs w:val="18"/>
              </w:rPr>
              <w:t>相关文件，包括企业或行业标准操作规程(SOP)、工艺设计文件、设备使用说明书、生产相关程序文件及作业指导等</w:t>
            </w:r>
            <w:r>
              <w:rPr>
                <w:rFonts w:hint="eastAsia"/>
                <w:sz w:val="18"/>
                <w:szCs w:val="18"/>
                <w:lang w:eastAsia="zh-CN"/>
              </w:rPr>
              <w:t>；</w:t>
            </w:r>
          </w:p>
          <w:p w14:paraId="188C6211">
            <w:pPr>
              <w:adjustRightInd w:val="0"/>
              <w:snapToGrid w:val="0"/>
              <w:spacing w:line="240" w:lineRule="auto"/>
              <w:ind w:firstLine="0" w:firstLineChars="0"/>
              <w:rPr>
                <w:sz w:val="18"/>
                <w:szCs w:val="18"/>
              </w:rPr>
            </w:pPr>
            <w:r>
              <w:rPr>
                <w:rFonts w:hint="eastAsia"/>
                <w:sz w:val="18"/>
                <w:szCs w:val="18"/>
              </w:rPr>
              <w:t>③历史生产</w:t>
            </w:r>
            <w:r>
              <w:rPr>
                <w:rFonts w:hint="eastAsia"/>
                <w:sz w:val="18"/>
                <w:szCs w:val="18"/>
                <w:lang w:val="en-US" w:eastAsia="zh-CN"/>
              </w:rPr>
              <w:t>控制</w:t>
            </w:r>
            <w:r>
              <w:rPr>
                <w:rFonts w:hint="eastAsia"/>
                <w:sz w:val="18"/>
                <w:szCs w:val="18"/>
              </w:rPr>
              <w:t>数据：包括参数波动记录、异常报警日志等。</w:t>
            </w:r>
          </w:p>
        </w:tc>
      </w:tr>
      <w:tr w14:paraId="21D9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7D9109E">
            <w:pPr>
              <w:adjustRightInd w:val="0"/>
              <w:snapToGrid w:val="0"/>
              <w:spacing w:line="240" w:lineRule="auto"/>
              <w:ind w:firstLine="0" w:firstLineChars="0"/>
              <w:jc w:val="center"/>
              <w:rPr>
                <w:sz w:val="18"/>
                <w:szCs w:val="18"/>
              </w:rPr>
            </w:pPr>
            <w:r>
              <w:rPr>
                <w:rFonts w:hint="eastAsia"/>
                <w:sz w:val="18"/>
                <w:szCs w:val="18"/>
              </w:rPr>
              <w:t>5</w:t>
            </w:r>
          </w:p>
        </w:tc>
        <w:tc>
          <w:tcPr>
            <w:tcW w:w="958" w:type="dxa"/>
            <w:vAlign w:val="center"/>
          </w:tcPr>
          <w:p w14:paraId="1C7503F8">
            <w:pPr>
              <w:adjustRightInd w:val="0"/>
              <w:snapToGrid w:val="0"/>
              <w:spacing w:line="240" w:lineRule="auto"/>
              <w:ind w:firstLine="0" w:firstLineChars="0"/>
              <w:jc w:val="center"/>
              <w:rPr>
                <w:sz w:val="18"/>
                <w:szCs w:val="18"/>
              </w:rPr>
            </w:pPr>
            <w:r>
              <w:rPr>
                <w:rFonts w:hint="eastAsia"/>
                <w:sz w:val="18"/>
                <w:szCs w:val="18"/>
              </w:rPr>
              <w:t>产品</w:t>
            </w:r>
          </w:p>
        </w:tc>
        <w:tc>
          <w:tcPr>
            <w:tcW w:w="6852" w:type="dxa"/>
            <w:vAlign w:val="center"/>
          </w:tcPr>
          <w:p w14:paraId="664D214A">
            <w:pPr>
              <w:adjustRightInd w:val="0"/>
              <w:snapToGrid w:val="0"/>
              <w:spacing w:line="240" w:lineRule="auto"/>
              <w:ind w:firstLine="0" w:firstLineChars="0"/>
              <w:rPr>
                <w:sz w:val="18"/>
                <w:szCs w:val="18"/>
              </w:rPr>
            </w:pPr>
            <w:r>
              <w:rPr>
                <w:rFonts w:hint="eastAsia"/>
                <w:sz w:val="18"/>
                <w:szCs w:val="18"/>
              </w:rPr>
              <w:t>①产品基本信息：</w:t>
            </w:r>
            <w:r>
              <w:rPr>
                <w:rFonts w:hint="eastAsia" w:eastAsia="宋体" w:cs="黑体"/>
                <w:sz w:val="18"/>
                <w:szCs w:val="18"/>
              </w:rPr>
              <w:t>包括产品</w:t>
            </w:r>
            <w:r>
              <w:rPr>
                <w:rFonts w:hint="eastAsia" w:eastAsia="宋体" w:cs="黑体"/>
                <w:sz w:val="18"/>
                <w:szCs w:val="18"/>
                <w:lang w:val="en-US" w:eastAsia="zh-CN"/>
              </w:rPr>
              <w:t>说明书</w:t>
            </w:r>
            <w:r>
              <w:rPr>
                <w:rFonts w:hint="eastAsia" w:eastAsia="宋体" w:cs="黑体"/>
                <w:sz w:val="18"/>
                <w:szCs w:val="18"/>
              </w:rPr>
              <w:t>、一次性合格率、总合格率等，了解产品的特性、用途及绿色设计情况</w:t>
            </w:r>
            <w:r>
              <w:rPr>
                <w:rFonts w:hint="eastAsia"/>
                <w:sz w:val="18"/>
                <w:szCs w:val="18"/>
                <w:lang w:eastAsia="zh-CN"/>
              </w:rPr>
              <w:t>；</w:t>
            </w:r>
          </w:p>
          <w:p w14:paraId="7CA506C1">
            <w:pPr>
              <w:adjustRightInd w:val="0"/>
              <w:snapToGrid w:val="0"/>
              <w:spacing w:line="240" w:lineRule="auto"/>
              <w:ind w:firstLine="0" w:firstLineChars="0"/>
              <w:rPr>
                <w:sz w:val="18"/>
                <w:szCs w:val="18"/>
              </w:rPr>
            </w:pPr>
            <w:r>
              <w:rPr>
                <w:rFonts w:hint="eastAsia"/>
                <w:sz w:val="18"/>
                <w:szCs w:val="18"/>
              </w:rPr>
              <w:t>②包装材料使用情况，包括产品包装材质、规格、回收利用信息及包装废物管理记录</w:t>
            </w:r>
            <w:r>
              <w:rPr>
                <w:rFonts w:hint="eastAsia"/>
                <w:sz w:val="18"/>
                <w:szCs w:val="18"/>
                <w:lang w:eastAsia="zh-CN"/>
              </w:rPr>
              <w:t>。</w:t>
            </w:r>
          </w:p>
        </w:tc>
      </w:tr>
      <w:tr w14:paraId="1BB4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639FFA11">
            <w:pPr>
              <w:adjustRightInd w:val="0"/>
              <w:snapToGrid w:val="0"/>
              <w:spacing w:line="240" w:lineRule="auto"/>
              <w:ind w:firstLine="0" w:firstLineChars="0"/>
              <w:jc w:val="center"/>
              <w:rPr>
                <w:sz w:val="18"/>
                <w:szCs w:val="18"/>
              </w:rPr>
            </w:pPr>
            <w:r>
              <w:rPr>
                <w:rFonts w:hint="eastAsia"/>
                <w:sz w:val="18"/>
                <w:szCs w:val="18"/>
              </w:rPr>
              <w:t>6</w:t>
            </w:r>
          </w:p>
        </w:tc>
        <w:tc>
          <w:tcPr>
            <w:tcW w:w="958" w:type="dxa"/>
            <w:vAlign w:val="center"/>
          </w:tcPr>
          <w:p w14:paraId="564D62C4">
            <w:pPr>
              <w:adjustRightInd w:val="0"/>
              <w:snapToGrid w:val="0"/>
              <w:spacing w:line="240" w:lineRule="auto"/>
              <w:ind w:firstLine="0" w:firstLineChars="0"/>
              <w:jc w:val="center"/>
              <w:rPr>
                <w:sz w:val="18"/>
                <w:szCs w:val="18"/>
              </w:rPr>
            </w:pPr>
            <w:r>
              <w:rPr>
                <w:rFonts w:hint="eastAsia"/>
                <w:sz w:val="18"/>
                <w:szCs w:val="18"/>
              </w:rPr>
              <w:t>废弃物</w:t>
            </w:r>
          </w:p>
        </w:tc>
        <w:tc>
          <w:tcPr>
            <w:tcW w:w="6852" w:type="dxa"/>
            <w:vAlign w:val="center"/>
          </w:tcPr>
          <w:p w14:paraId="0FC383EE">
            <w:pPr>
              <w:adjustRightInd w:val="0"/>
              <w:snapToGrid w:val="0"/>
              <w:spacing w:line="240" w:lineRule="auto"/>
              <w:ind w:firstLine="0" w:firstLineChars="0"/>
              <w:rPr>
                <w:sz w:val="18"/>
                <w:szCs w:val="18"/>
              </w:rPr>
            </w:pPr>
            <w:r>
              <w:rPr>
                <w:rFonts w:hint="eastAsia"/>
                <w:sz w:val="18"/>
                <w:szCs w:val="18"/>
              </w:rPr>
              <w:t>①废弃物基本信息</w:t>
            </w:r>
            <w:r>
              <w:rPr>
                <w:rFonts w:hint="eastAsia"/>
                <w:sz w:val="18"/>
                <w:szCs w:val="18"/>
                <w:lang w:eastAsia="zh-CN"/>
              </w:rPr>
              <w:t>，</w:t>
            </w:r>
            <w:r>
              <w:rPr>
                <w:rFonts w:hint="eastAsia"/>
                <w:sz w:val="18"/>
                <w:szCs w:val="18"/>
              </w:rPr>
              <w:t>包括排污许可证副本、近三年排污许可执行报告、环境影响评价文件及其批复文件、近三年监测报告或相关在线监测数据（废水、废气、噪声）、环保竣工验收材料等，整理各类废弃物的名称、类别（如一般工业固体废物、危险废物、废水、废气等）、来源、产排量、污染物治理措施及去向等；包括废弃物相关成分分析报告，废弃物的物理状态（固态、液态、气态）和危险特性（如易燃、腐蚀性、毒性等）；</w:t>
            </w:r>
          </w:p>
          <w:p w14:paraId="701FFD55">
            <w:pPr>
              <w:adjustRightInd w:val="0"/>
              <w:snapToGrid w:val="0"/>
              <w:spacing w:line="240" w:lineRule="auto"/>
              <w:ind w:firstLine="0" w:firstLineChars="0"/>
              <w:rPr>
                <w:sz w:val="18"/>
                <w:szCs w:val="18"/>
              </w:rPr>
            </w:pPr>
            <w:r>
              <w:rPr>
                <w:rFonts w:hint="eastAsia"/>
                <w:sz w:val="18"/>
                <w:szCs w:val="18"/>
              </w:rPr>
              <w:t>③环保设施资料，包括污染物处理工艺、设施运行效果（收集效率、处理效率等）、设施运维记录等；</w:t>
            </w:r>
          </w:p>
          <w:p w14:paraId="247D4341">
            <w:pPr>
              <w:adjustRightInd w:val="0"/>
              <w:snapToGrid w:val="0"/>
              <w:spacing w:line="240" w:lineRule="auto"/>
              <w:ind w:firstLine="0" w:firstLineChars="0"/>
              <w:rPr>
                <w:sz w:val="18"/>
                <w:szCs w:val="18"/>
              </w:rPr>
            </w:pPr>
            <w:r>
              <w:rPr>
                <w:rFonts w:hint="eastAsia"/>
                <w:sz w:val="18"/>
                <w:szCs w:val="18"/>
              </w:rPr>
              <w:t>④收集废弃物管理记录，包括废水、废气、固体废弃物的收集、储存、运输和处理处置的管理制度、操作规程、管理台账、危废转移联单及处理处置商资质证明。</w:t>
            </w:r>
          </w:p>
        </w:tc>
      </w:tr>
      <w:tr w14:paraId="1DB6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3A8828BF">
            <w:pPr>
              <w:adjustRightInd w:val="0"/>
              <w:snapToGrid w:val="0"/>
              <w:spacing w:line="240" w:lineRule="auto"/>
              <w:ind w:firstLine="0" w:firstLineChars="0"/>
              <w:jc w:val="center"/>
              <w:rPr>
                <w:sz w:val="18"/>
                <w:szCs w:val="18"/>
              </w:rPr>
            </w:pPr>
            <w:r>
              <w:rPr>
                <w:rFonts w:hint="eastAsia"/>
                <w:sz w:val="18"/>
                <w:szCs w:val="18"/>
              </w:rPr>
              <w:t>7</w:t>
            </w:r>
          </w:p>
        </w:tc>
        <w:tc>
          <w:tcPr>
            <w:tcW w:w="958" w:type="dxa"/>
            <w:vAlign w:val="center"/>
          </w:tcPr>
          <w:p w14:paraId="0C7F6AEC">
            <w:pPr>
              <w:adjustRightInd w:val="0"/>
              <w:snapToGrid w:val="0"/>
              <w:spacing w:line="240" w:lineRule="auto"/>
              <w:ind w:firstLine="0" w:firstLineChars="0"/>
              <w:jc w:val="center"/>
              <w:rPr>
                <w:sz w:val="18"/>
                <w:szCs w:val="18"/>
              </w:rPr>
            </w:pPr>
            <w:r>
              <w:rPr>
                <w:rFonts w:hint="eastAsia"/>
                <w:sz w:val="18"/>
                <w:szCs w:val="18"/>
              </w:rPr>
              <w:t>管理</w:t>
            </w:r>
          </w:p>
        </w:tc>
        <w:tc>
          <w:tcPr>
            <w:tcW w:w="6852" w:type="dxa"/>
          </w:tcPr>
          <w:p w14:paraId="51AED130">
            <w:pPr>
              <w:adjustRightInd w:val="0"/>
              <w:snapToGrid w:val="0"/>
              <w:spacing w:line="240" w:lineRule="auto"/>
              <w:ind w:firstLine="0" w:firstLineChars="0"/>
              <w:rPr>
                <w:sz w:val="18"/>
                <w:szCs w:val="18"/>
              </w:rPr>
            </w:pPr>
            <w:r>
              <w:rPr>
                <w:rFonts w:hint="eastAsia"/>
                <w:sz w:val="18"/>
                <w:szCs w:val="18"/>
              </w:rPr>
              <w:t>①企业管理制度文件。包括现场管理、岗位操作规程、原辅料质量控制、生产质量管理、环境管理、物质计量统计管理（包括原辅料、水、能源、产品和废弃物等计量统计与记录）及信息流管理等各项制度文件。；</w:t>
            </w:r>
          </w:p>
          <w:p w14:paraId="6C2B7F68">
            <w:pPr>
              <w:adjustRightInd w:val="0"/>
              <w:snapToGrid w:val="0"/>
              <w:spacing w:line="240" w:lineRule="auto"/>
              <w:ind w:firstLine="0" w:firstLineChars="0"/>
              <w:rPr>
                <w:sz w:val="18"/>
                <w:szCs w:val="18"/>
              </w:rPr>
            </w:pPr>
            <w:r>
              <w:rPr>
                <w:rFonts w:hint="eastAsia"/>
                <w:sz w:val="18"/>
                <w:szCs w:val="18"/>
              </w:rPr>
              <w:t>②企业管理制度执行相关记录，包括内部审计报告、员工反馈、客户评价、财务报表等；</w:t>
            </w:r>
          </w:p>
          <w:p w14:paraId="79CA0547">
            <w:pPr>
              <w:adjustRightInd w:val="0"/>
              <w:snapToGrid w:val="0"/>
              <w:spacing w:line="240" w:lineRule="auto"/>
              <w:ind w:firstLine="0" w:firstLineChars="0"/>
              <w:rPr>
                <w:sz w:val="18"/>
                <w:szCs w:val="18"/>
              </w:rPr>
            </w:pPr>
            <w:r>
              <w:rPr>
                <w:rFonts w:hint="eastAsia"/>
                <w:sz w:val="18"/>
                <w:szCs w:val="18"/>
              </w:rPr>
              <w:t>③企业管理体系的认证文件，包括质量管理体系、环境管理体系、能源管理体系、职业健康管理体系及社会责任管理等。。</w:t>
            </w:r>
          </w:p>
        </w:tc>
      </w:tr>
      <w:tr w14:paraId="2137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84C8E16">
            <w:pPr>
              <w:adjustRightInd w:val="0"/>
              <w:snapToGrid w:val="0"/>
              <w:spacing w:line="240" w:lineRule="auto"/>
              <w:ind w:firstLine="0" w:firstLineChars="0"/>
              <w:jc w:val="center"/>
              <w:rPr>
                <w:sz w:val="18"/>
                <w:szCs w:val="18"/>
              </w:rPr>
            </w:pPr>
            <w:r>
              <w:rPr>
                <w:rFonts w:hint="eastAsia"/>
                <w:sz w:val="18"/>
                <w:szCs w:val="18"/>
              </w:rPr>
              <w:t>8</w:t>
            </w:r>
          </w:p>
        </w:tc>
        <w:tc>
          <w:tcPr>
            <w:tcW w:w="958" w:type="dxa"/>
            <w:vAlign w:val="center"/>
          </w:tcPr>
          <w:p w14:paraId="0BE3C9B5">
            <w:pPr>
              <w:adjustRightInd w:val="0"/>
              <w:snapToGrid w:val="0"/>
              <w:spacing w:line="240" w:lineRule="auto"/>
              <w:ind w:firstLine="0" w:firstLineChars="0"/>
              <w:jc w:val="center"/>
              <w:rPr>
                <w:sz w:val="18"/>
                <w:szCs w:val="18"/>
              </w:rPr>
            </w:pPr>
            <w:r>
              <w:rPr>
                <w:rFonts w:hint="eastAsia"/>
                <w:sz w:val="18"/>
                <w:szCs w:val="18"/>
              </w:rPr>
              <w:t>人员</w:t>
            </w:r>
          </w:p>
        </w:tc>
        <w:tc>
          <w:tcPr>
            <w:tcW w:w="6852" w:type="dxa"/>
          </w:tcPr>
          <w:p w14:paraId="04C32652">
            <w:pPr>
              <w:adjustRightInd w:val="0"/>
              <w:snapToGrid w:val="0"/>
              <w:spacing w:line="240" w:lineRule="auto"/>
              <w:ind w:firstLine="0" w:firstLineChars="0"/>
              <w:rPr>
                <w:sz w:val="18"/>
                <w:szCs w:val="18"/>
              </w:rPr>
            </w:pPr>
            <w:r>
              <w:rPr>
                <w:rFonts w:hint="eastAsia"/>
                <w:sz w:val="18"/>
                <w:szCs w:val="18"/>
              </w:rPr>
              <w:t>①）加强员工技术与环保意识相关培训记录，包括培训频次、培训内容、参与人员数、覆盖范围等；</w:t>
            </w:r>
          </w:p>
          <w:p w14:paraId="6CD30025">
            <w:pPr>
              <w:adjustRightInd w:val="0"/>
              <w:snapToGrid w:val="0"/>
              <w:spacing w:line="240" w:lineRule="auto"/>
              <w:ind w:firstLine="0" w:firstLineChars="0"/>
              <w:rPr>
                <w:sz w:val="18"/>
                <w:szCs w:val="18"/>
              </w:rPr>
            </w:pPr>
            <w:r>
              <w:rPr>
                <w:rFonts w:hint="eastAsia"/>
                <w:sz w:val="18"/>
                <w:szCs w:val="18"/>
              </w:rPr>
              <w:t>②员工激励机制文件或相关记录，如激励方式、奖励记录、奖励金额、奖励人数等。</w:t>
            </w:r>
          </w:p>
        </w:tc>
      </w:tr>
    </w:tbl>
    <w:p w14:paraId="68991C35">
      <w:pPr>
        <w:pStyle w:val="2"/>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rPr>
        <w:sectPr>
          <w:pgSz w:w="11906" w:h="16838"/>
          <w:pgMar w:top="1440" w:right="1800" w:bottom="1440" w:left="1800" w:header="851" w:footer="992" w:gutter="0"/>
          <w:cols w:space="425" w:num="1"/>
          <w:docGrid w:type="lines" w:linePitch="312" w:charSpace="0"/>
        </w:sectPr>
      </w:pPr>
    </w:p>
    <w:p w14:paraId="012A178A">
      <w:pPr>
        <w:pStyle w:val="2"/>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rPr>
        <w:t>附录</w:t>
      </w:r>
      <w:r>
        <w:rPr>
          <w:rFonts w:hint="eastAsia"/>
          <w:lang w:val="en-US" w:eastAsia="zh-CN"/>
        </w:rPr>
        <w:t>C</w:t>
      </w:r>
    </w:p>
    <w:p w14:paraId="42293943">
      <w:pPr>
        <w:pStyle w:val="2"/>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rPr>
      </w:pPr>
      <w:r>
        <w:rPr>
          <w:rFonts w:hint="eastAsia"/>
        </w:rPr>
        <w:t>（资料性</w:t>
      </w:r>
      <w:r>
        <w:rPr>
          <w:rFonts w:hint="eastAsia"/>
          <w:lang w:val="en-US" w:eastAsia="zh-CN"/>
        </w:rPr>
        <w:t>附录</w:t>
      </w:r>
      <w:r>
        <w:rPr>
          <w:rFonts w:hint="eastAsia"/>
        </w:rPr>
        <w:t>）</w:t>
      </w:r>
    </w:p>
    <w:p w14:paraId="09CC4806">
      <w:pPr>
        <w:pStyle w:val="2"/>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lang w:val="en-US" w:eastAsia="zh-CN"/>
        </w:rPr>
      </w:pPr>
      <w:r>
        <w:rPr>
          <w:rFonts w:hint="eastAsia"/>
          <w:lang w:val="en-US" w:eastAsia="zh-CN"/>
        </w:rPr>
        <w:t>清洁生产方案参考清单</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638"/>
        <w:gridCol w:w="6125"/>
      </w:tblGrid>
      <w:tr w14:paraId="281B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509FA33">
            <w:pPr>
              <w:adjustRightInd w:val="0"/>
              <w:snapToGrid w:val="0"/>
              <w:spacing w:line="240" w:lineRule="auto"/>
              <w:ind w:firstLine="0" w:firstLineChars="0"/>
              <w:jc w:val="center"/>
              <w:rPr>
                <w:b/>
                <w:bCs/>
                <w:sz w:val="18"/>
                <w:szCs w:val="18"/>
              </w:rPr>
            </w:pPr>
            <w:r>
              <w:rPr>
                <w:rFonts w:hint="eastAsia"/>
                <w:b/>
                <w:bCs/>
                <w:sz w:val="18"/>
                <w:szCs w:val="18"/>
              </w:rPr>
              <w:t>序号</w:t>
            </w:r>
          </w:p>
        </w:tc>
        <w:tc>
          <w:tcPr>
            <w:tcW w:w="1638" w:type="dxa"/>
            <w:vAlign w:val="center"/>
          </w:tcPr>
          <w:p w14:paraId="7E3CCC72">
            <w:pPr>
              <w:adjustRightInd w:val="0"/>
              <w:snapToGrid w:val="0"/>
              <w:spacing w:line="240" w:lineRule="auto"/>
              <w:ind w:firstLine="0" w:firstLineChars="0"/>
              <w:jc w:val="center"/>
              <w:rPr>
                <w:b/>
                <w:bCs/>
                <w:sz w:val="18"/>
                <w:szCs w:val="18"/>
              </w:rPr>
            </w:pPr>
            <w:r>
              <w:rPr>
                <w:rFonts w:hint="eastAsia"/>
                <w:b/>
                <w:bCs/>
                <w:sz w:val="18"/>
                <w:szCs w:val="18"/>
              </w:rPr>
              <w:t>方面</w:t>
            </w:r>
          </w:p>
        </w:tc>
        <w:tc>
          <w:tcPr>
            <w:tcW w:w="6125" w:type="dxa"/>
          </w:tcPr>
          <w:p w14:paraId="54BE1C8E">
            <w:pPr>
              <w:adjustRightInd w:val="0"/>
              <w:snapToGrid w:val="0"/>
              <w:spacing w:line="240" w:lineRule="auto"/>
              <w:ind w:firstLine="0" w:firstLineChars="0"/>
              <w:jc w:val="center"/>
              <w:rPr>
                <w:b/>
                <w:bCs/>
                <w:sz w:val="18"/>
                <w:szCs w:val="18"/>
              </w:rPr>
            </w:pPr>
            <w:r>
              <w:rPr>
                <w:rFonts w:hint="eastAsia"/>
                <w:b/>
                <w:bCs/>
                <w:sz w:val="18"/>
                <w:szCs w:val="18"/>
              </w:rPr>
              <w:t>清洁生产方案</w:t>
            </w:r>
          </w:p>
        </w:tc>
      </w:tr>
      <w:tr w14:paraId="3DFC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846E55E">
            <w:pPr>
              <w:adjustRightInd w:val="0"/>
              <w:snapToGrid w:val="0"/>
              <w:spacing w:line="240" w:lineRule="auto"/>
              <w:ind w:firstLine="0" w:firstLineChars="0"/>
              <w:jc w:val="center"/>
              <w:rPr>
                <w:sz w:val="18"/>
                <w:szCs w:val="18"/>
              </w:rPr>
            </w:pPr>
            <w:r>
              <w:rPr>
                <w:rFonts w:hint="eastAsia"/>
                <w:sz w:val="18"/>
                <w:szCs w:val="18"/>
              </w:rPr>
              <w:t>1</w:t>
            </w:r>
          </w:p>
        </w:tc>
        <w:tc>
          <w:tcPr>
            <w:tcW w:w="1638" w:type="dxa"/>
            <w:vAlign w:val="center"/>
          </w:tcPr>
          <w:p w14:paraId="44144FF6">
            <w:pPr>
              <w:adjustRightInd w:val="0"/>
              <w:snapToGrid w:val="0"/>
              <w:spacing w:line="240" w:lineRule="auto"/>
              <w:ind w:firstLine="0" w:firstLineChars="0"/>
              <w:jc w:val="center"/>
              <w:rPr>
                <w:sz w:val="18"/>
                <w:szCs w:val="18"/>
              </w:rPr>
            </w:pPr>
            <w:r>
              <w:rPr>
                <w:rFonts w:hint="eastAsia"/>
                <w:sz w:val="18"/>
                <w:szCs w:val="18"/>
              </w:rPr>
              <w:t>原辅材料和能源</w:t>
            </w:r>
          </w:p>
        </w:tc>
        <w:tc>
          <w:tcPr>
            <w:tcW w:w="6125" w:type="dxa"/>
          </w:tcPr>
          <w:p w14:paraId="5B7BD484">
            <w:pPr>
              <w:adjustRightInd w:val="0"/>
              <w:snapToGrid w:val="0"/>
              <w:spacing w:line="240" w:lineRule="auto"/>
              <w:ind w:firstLine="0" w:firstLineChars="0"/>
              <w:rPr>
                <w:sz w:val="18"/>
                <w:szCs w:val="18"/>
              </w:rPr>
            </w:pPr>
            <w:r>
              <w:rPr>
                <w:rFonts w:hint="eastAsia"/>
                <w:sz w:val="18"/>
                <w:szCs w:val="18"/>
              </w:rPr>
              <w:t>①有毒有害原辅料减</w:t>
            </w:r>
            <w:r>
              <w:rPr>
                <w:rFonts w:hint="eastAsia"/>
                <w:sz w:val="18"/>
                <w:szCs w:val="18"/>
                <w:lang w:val="en-US" w:eastAsia="zh-CN"/>
              </w:rPr>
              <w:t>少使用</w:t>
            </w:r>
            <w:r>
              <w:rPr>
                <w:rFonts w:hint="eastAsia"/>
                <w:sz w:val="18"/>
                <w:szCs w:val="18"/>
              </w:rPr>
              <w:t>或替代；</w:t>
            </w:r>
          </w:p>
          <w:p w14:paraId="7B7AB3C0">
            <w:pPr>
              <w:adjustRightInd w:val="0"/>
              <w:snapToGrid w:val="0"/>
              <w:spacing w:line="240" w:lineRule="auto"/>
              <w:ind w:firstLine="0" w:firstLineChars="0"/>
              <w:rPr>
                <w:sz w:val="18"/>
                <w:szCs w:val="18"/>
              </w:rPr>
            </w:pPr>
            <w:r>
              <w:rPr>
                <w:rFonts w:hint="eastAsia"/>
                <w:sz w:val="18"/>
                <w:szCs w:val="18"/>
              </w:rPr>
              <w:t>②优化原辅料包装规格和材质，进行重复利用，减少废物产生；</w:t>
            </w:r>
          </w:p>
          <w:p w14:paraId="4E9A7FDE">
            <w:pPr>
              <w:adjustRightInd w:val="0"/>
              <w:snapToGrid w:val="0"/>
              <w:spacing w:line="240" w:lineRule="auto"/>
              <w:ind w:firstLine="0" w:firstLineChars="0"/>
              <w:rPr>
                <w:sz w:val="18"/>
                <w:szCs w:val="18"/>
              </w:rPr>
            </w:pPr>
            <w:r>
              <w:rPr>
                <w:rFonts w:hint="eastAsia"/>
                <w:sz w:val="18"/>
                <w:szCs w:val="18"/>
              </w:rPr>
              <w:t>③合理调整原辅料投料配比，提高原辅料利用效率；</w:t>
            </w:r>
          </w:p>
          <w:p w14:paraId="263AFDE0">
            <w:pPr>
              <w:adjustRightInd w:val="0"/>
              <w:snapToGrid w:val="0"/>
              <w:spacing w:line="240" w:lineRule="auto"/>
              <w:ind w:firstLine="0" w:firstLineChars="0"/>
              <w:rPr>
                <w:sz w:val="18"/>
                <w:szCs w:val="18"/>
              </w:rPr>
            </w:pPr>
            <w:r>
              <w:rPr>
                <w:rFonts w:hint="eastAsia"/>
                <w:sz w:val="18"/>
                <w:szCs w:val="18"/>
              </w:rPr>
              <w:t>④优化原辅料运输、转运方式及运输路线，减少输送过程损耗；</w:t>
            </w:r>
          </w:p>
          <w:p w14:paraId="41DB5FBA">
            <w:pPr>
              <w:adjustRightInd w:val="0"/>
              <w:snapToGrid w:val="0"/>
              <w:spacing w:line="240" w:lineRule="auto"/>
              <w:ind w:firstLine="0" w:firstLineChars="0"/>
              <w:rPr>
                <w:rFonts w:hint="eastAsia" w:eastAsia="宋体"/>
                <w:sz w:val="18"/>
                <w:szCs w:val="18"/>
                <w:lang w:eastAsia="zh-CN"/>
              </w:rPr>
            </w:pPr>
            <w:r>
              <w:rPr>
                <w:rFonts w:hint="eastAsia"/>
                <w:sz w:val="18"/>
                <w:szCs w:val="18"/>
              </w:rPr>
              <w:t>⑤节水改造，水的梯级利用，</w:t>
            </w:r>
            <w:r>
              <w:rPr>
                <w:rFonts w:hint="eastAsia" w:cs="Times New Roman" w:eastAsiaTheme="majorEastAsia"/>
                <w:sz w:val="18"/>
                <w:szCs w:val="18"/>
              </w:rPr>
              <w:t>水计量器具合理配置</w:t>
            </w:r>
            <w:r>
              <w:rPr>
                <w:rFonts w:hint="eastAsia"/>
                <w:sz w:val="18"/>
                <w:szCs w:val="18"/>
                <w:lang w:eastAsia="zh-CN"/>
              </w:rPr>
              <w:t>；</w:t>
            </w:r>
          </w:p>
          <w:p w14:paraId="34EF3C35">
            <w:pPr>
              <w:adjustRightInd w:val="0"/>
              <w:snapToGrid w:val="0"/>
              <w:spacing w:line="240" w:lineRule="auto"/>
              <w:ind w:firstLine="0" w:firstLineChars="0"/>
              <w:rPr>
                <w:sz w:val="18"/>
                <w:szCs w:val="18"/>
              </w:rPr>
            </w:pPr>
            <w:r>
              <w:rPr>
                <w:rFonts w:hint="eastAsia"/>
                <w:sz w:val="18"/>
                <w:szCs w:val="18"/>
              </w:rPr>
              <w:t>⑥清洁能源利用，再生能源利用，能源提低利用，</w:t>
            </w:r>
            <w:r>
              <w:rPr>
                <w:rFonts w:hint="eastAsia" w:cs="Times New Roman" w:eastAsiaTheme="majorEastAsia"/>
                <w:sz w:val="18"/>
                <w:szCs w:val="18"/>
              </w:rPr>
              <w:t>能源消耗计量器具合理配置</w:t>
            </w:r>
            <w:r>
              <w:rPr>
                <w:rFonts w:hint="eastAsia"/>
                <w:sz w:val="18"/>
                <w:szCs w:val="18"/>
              </w:rPr>
              <w:t>。</w:t>
            </w:r>
          </w:p>
        </w:tc>
      </w:tr>
      <w:tr w14:paraId="52EC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3EE6780">
            <w:pPr>
              <w:adjustRightInd w:val="0"/>
              <w:snapToGrid w:val="0"/>
              <w:spacing w:line="240" w:lineRule="auto"/>
              <w:ind w:firstLine="0" w:firstLineChars="0"/>
              <w:jc w:val="center"/>
              <w:rPr>
                <w:sz w:val="18"/>
                <w:szCs w:val="18"/>
              </w:rPr>
            </w:pPr>
            <w:r>
              <w:rPr>
                <w:rFonts w:hint="eastAsia"/>
                <w:sz w:val="18"/>
                <w:szCs w:val="18"/>
              </w:rPr>
              <w:t>2</w:t>
            </w:r>
          </w:p>
        </w:tc>
        <w:tc>
          <w:tcPr>
            <w:tcW w:w="1638" w:type="dxa"/>
            <w:vAlign w:val="center"/>
          </w:tcPr>
          <w:p w14:paraId="13154450">
            <w:pPr>
              <w:adjustRightInd w:val="0"/>
              <w:snapToGrid w:val="0"/>
              <w:spacing w:line="240" w:lineRule="auto"/>
              <w:ind w:firstLine="0" w:firstLineChars="0"/>
              <w:jc w:val="center"/>
              <w:rPr>
                <w:sz w:val="18"/>
                <w:szCs w:val="18"/>
              </w:rPr>
            </w:pPr>
            <w:r>
              <w:rPr>
                <w:rFonts w:hint="eastAsia"/>
                <w:sz w:val="18"/>
                <w:szCs w:val="18"/>
              </w:rPr>
              <w:t>技术工艺</w:t>
            </w:r>
          </w:p>
        </w:tc>
        <w:tc>
          <w:tcPr>
            <w:tcW w:w="6125" w:type="dxa"/>
          </w:tcPr>
          <w:p w14:paraId="5A375656">
            <w:pPr>
              <w:adjustRightInd w:val="0"/>
              <w:snapToGrid w:val="0"/>
              <w:spacing w:line="240" w:lineRule="auto"/>
              <w:ind w:firstLine="0" w:firstLineChars="0"/>
              <w:rPr>
                <w:sz w:val="18"/>
                <w:szCs w:val="18"/>
              </w:rPr>
            </w:pPr>
            <w:r>
              <w:rPr>
                <w:rFonts w:hint="eastAsia"/>
                <w:sz w:val="18"/>
                <w:szCs w:val="18"/>
              </w:rPr>
              <w:t>①引进先进技术工艺；</w:t>
            </w:r>
          </w:p>
          <w:p w14:paraId="7A85A7FE">
            <w:pPr>
              <w:adjustRightInd w:val="0"/>
              <w:snapToGrid w:val="0"/>
              <w:spacing w:line="240" w:lineRule="auto"/>
              <w:ind w:firstLine="0" w:firstLineChars="0"/>
              <w:rPr>
                <w:sz w:val="18"/>
                <w:szCs w:val="18"/>
              </w:rPr>
            </w:pPr>
            <w:r>
              <w:rPr>
                <w:rFonts w:hint="eastAsia"/>
                <w:sz w:val="18"/>
                <w:szCs w:val="18"/>
              </w:rPr>
              <w:t>②改进生产工艺，如减少工艺步骤、改变工艺方式等；</w:t>
            </w:r>
          </w:p>
          <w:p w14:paraId="08BD29E3">
            <w:pPr>
              <w:adjustRightInd w:val="0"/>
              <w:snapToGrid w:val="0"/>
              <w:spacing w:line="240" w:lineRule="auto"/>
              <w:ind w:firstLine="0" w:firstLineChars="0"/>
              <w:rPr>
                <w:sz w:val="18"/>
                <w:szCs w:val="18"/>
              </w:rPr>
            </w:pPr>
            <w:r>
              <w:rPr>
                <w:rFonts w:hint="eastAsia"/>
                <w:sz w:val="18"/>
                <w:szCs w:val="18"/>
              </w:rPr>
              <w:t>③</w:t>
            </w:r>
            <w:r>
              <w:rPr>
                <w:rFonts w:cs="Times New Roman" w:eastAsiaTheme="majorEastAsia"/>
                <w:sz w:val="18"/>
                <w:szCs w:val="18"/>
              </w:rPr>
              <w:t>提高工艺稳定性和连续性</w:t>
            </w:r>
            <w:r>
              <w:rPr>
                <w:rFonts w:hint="eastAsia" w:cs="Times New Roman" w:eastAsiaTheme="majorEastAsia"/>
                <w:sz w:val="18"/>
                <w:szCs w:val="18"/>
              </w:rPr>
              <w:t>；</w:t>
            </w:r>
          </w:p>
          <w:p w14:paraId="1DC679DD">
            <w:pPr>
              <w:adjustRightInd w:val="0"/>
              <w:snapToGrid w:val="0"/>
              <w:spacing w:line="240" w:lineRule="auto"/>
              <w:ind w:firstLine="0" w:firstLineChars="0"/>
              <w:rPr>
                <w:sz w:val="18"/>
                <w:szCs w:val="18"/>
              </w:rPr>
            </w:pPr>
            <w:r>
              <w:rPr>
                <w:rFonts w:hint="eastAsia"/>
                <w:sz w:val="18"/>
                <w:szCs w:val="18"/>
              </w:rPr>
              <w:t>④提高生产效率；</w:t>
            </w:r>
          </w:p>
          <w:p w14:paraId="30AE84FD">
            <w:pPr>
              <w:adjustRightInd w:val="0"/>
              <w:snapToGrid w:val="0"/>
              <w:spacing w:line="240" w:lineRule="auto"/>
              <w:ind w:firstLine="0" w:firstLineChars="0"/>
              <w:rPr>
                <w:sz w:val="18"/>
                <w:szCs w:val="18"/>
              </w:rPr>
            </w:pPr>
            <w:r>
              <w:rPr>
                <w:rFonts w:hint="eastAsia"/>
                <w:sz w:val="18"/>
                <w:szCs w:val="18"/>
              </w:rPr>
              <w:t>⑤完善工艺布局，减少无效传输路线等；</w:t>
            </w:r>
          </w:p>
          <w:p w14:paraId="592BCB7E">
            <w:pPr>
              <w:adjustRightInd w:val="0"/>
              <w:snapToGrid w:val="0"/>
              <w:spacing w:line="240" w:lineRule="auto"/>
              <w:ind w:firstLine="0" w:firstLineChars="0"/>
              <w:rPr>
                <w:sz w:val="18"/>
                <w:szCs w:val="18"/>
                <w:highlight w:val="yellow"/>
              </w:rPr>
            </w:pPr>
            <w:r>
              <w:rPr>
                <w:rFonts w:hint="eastAsia" w:cs="Times New Roman" w:eastAsiaTheme="majorEastAsia"/>
                <w:sz w:val="18"/>
                <w:szCs w:val="18"/>
              </w:rPr>
              <w:t>⑥</w:t>
            </w:r>
            <w:r>
              <w:rPr>
                <w:rFonts w:cs="Times New Roman" w:eastAsiaTheme="majorEastAsia"/>
                <w:sz w:val="18"/>
                <w:szCs w:val="18"/>
              </w:rPr>
              <w:t>完善现场管控</w:t>
            </w:r>
            <w:r>
              <w:rPr>
                <w:rFonts w:hint="eastAsia" w:cs="Times New Roman" w:eastAsiaTheme="majorEastAsia"/>
                <w:sz w:val="18"/>
                <w:szCs w:val="18"/>
              </w:rPr>
              <w:t>。</w:t>
            </w:r>
          </w:p>
        </w:tc>
      </w:tr>
      <w:tr w14:paraId="0D08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1845CBB">
            <w:pPr>
              <w:adjustRightInd w:val="0"/>
              <w:snapToGrid w:val="0"/>
              <w:spacing w:line="240" w:lineRule="auto"/>
              <w:ind w:firstLine="0" w:firstLineChars="0"/>
              <w:jc w:val="center"/>
              <w:rPr>
                <w:sz w:val="18"/>
                <w:szCs w:val="18"/>
              </w:rPr>
            </w:pPr>
            <w:r>
              <w:rPr>
                <w:rFonts w:hint="eastAsia"/>
                <w:sz w:val="18"/>
                <w:szCs w:val="18"/>
              </w:rPr>
              <w:t>3</w:t>
            </w:r>
          </w:p>
        </w:tc>
        <w:tc>
          <w:tcPr>
            <w:tcW w:w="1638" w:type="dxa"/>
            <w:vAlign w:val="center"/>
          </w:tcPr>
          <w:p w14:paraId="25533222">
            <w:pPr>
              <w:adjustRightInd w:val="0"/>
              <w:snapToGrid w:val="0"/>
              <w:spacing w:line="240" w:lineRule="auto"/>
              <w:ind w:firstLine="0" w:firstLineChars="0"/>
              <w:jc w:val="center"/>
              <w:rPr>
                <w:sz w:val="18"/>
                <w:szCs w:val="18"/>
              </w:rPr>
            </w:pPr>
            <w:r>
              <w:rPr>
                <w:rFonts w:hint="eastAsia"/>
                <w:sz w:val="18"/>
                <w:szCs w:val="18"/>
              </w:rPr>
              <w:t>设备</w:t>
            </w:r>
          </w:p>
        </w:tc>
        <w:tc>
          <w:tcPr>
            <w:tcW w:w="6125" w:type="dxa"/>
          </w:tcPr>
          <w:p w14:paraId="5C7E5B14">
            <w:pPr>
              <w:adjustRightInd w:val="0"/>
              <w:snapToGrid w:val="0"/>
              <w:spacing w:line="240" w:lineRule="auto"/>
              <w:ind w:firstLine="0" w:firstLineChars="0"/>
              <w:rPr>
                <w:sz w:val="18"/>
                <w:szCs w:val="18"/>
              </w:rPr>
            </w:pPr>
            <w:r>
              <w:rPr>
                <w:rFonts w:hint="eastAsia"/>
                <w:sz w:val="18"/>
                <w:szCs w:val="18"/>
              </w:rPr>
              <w:t>①淘汰落后工艺；</w:t>
            </w:r>
          </w:p>
          <w:p w14:paraId="4E7BA0F1">
            <w:pPr>
              <w:adjustRightInd w:val="0"/>
              <w:snapToGrid w:val="0"/>
              <w:spacing w:line="240" w:lineRule="auto"/>
              <w:ind w:firstLine="0" w:firstLineChars="0"/>
              <w:rPr>
                <w:sz w:val="18"/>
                <w:szCs w:val="18"/>
              </w:rPr>
            </w:pPr>
            <w:r>
              <w:rPr>
                <w:rFonts w:hint="eastAsia"/>
                <w:sz w:val="18"/>
                <w:szCs w:val="18"/>
              </w:rPr>
              <w:t>②设备升级改造；</w:t>
            </w:r>
          </w:p>
          <w:p w14:paraId="2A3B3358">
            <w:pPr>
              <w:adjustRightInd w:val="0"/>
              <w:snapToGrid w:val="0"/>
              <w:spacing w:line="240" w:lineRule="auto"/>
              <w:ind w:firstLine="0" w:firstLineChars="0"/>
              <w:rPr>
                <w:sz w:val="18"/>
                <w:szCs w:val="18"/>
              </w:rPr>
            </w:pPr>
            <w:r>
              <w:rPr>
                <w:rFonts w:hint="eastAsia"/>
                <w:sz w:val="18"/>
                <w:szCs w:val="18"/>
              </w:rPr>
              <w:t>③</w:t>
            </w:r>
            <w:r>
              <w:rPr>
                <w:rFonts w:hint="eastAsia"/>
                <w:sz w:val="18"/>
                <w:szCs w:val="18"/>
                <w:lang w:val="en-US" w:eastAsia="zh-CN"/>
              </w:rPr>
              <w:t>引</w:t>
            </w:r>
            <w:r>
              <w:rPr>
                <w:rFonts w:hint="eastAsia"/>
                <w:sz w:val="18"/>
                <w:szCs w:val="18"/>
              </w:rPr>
              <w:t>入智能设备；</w:t>
            </w:r>
          </w:p>
          <w:p w14:paraId="28ADFBE4">
            <w:pPr>
              <w:adjustRightInd w:val="0"/>
              <w:snapToGrid w:val="0"/>
              <w:spacing w:line="240" w:lineRule="auto"/>
              <w:ind w:firstLine="0" w:firstLineChars="0"/>
              <w:rPr>
                <w:sz w:val="18"/>
                <w:szCs w:val="18"/>
              </w:rPr>
            </w:pPr>
            <w:r>
              <w:rPr>
                <w:rFonts w:hint="eastAsia"/>
                <w:sz w:val="18"/>
                <w:szCs w:val="18"/>
              </w:rPr>
              <w:t>④提高自动化水平；</w:t>
            </w:r>
          </w:p>
          <w:p w14:paraId="4DB09B0D">
            <w:pPr>
              <w:adjustRightInd w:val="0"/>
              <w:snapToGrid w:val="0"/>
              <w:spacing w:line="240" w:lineRule="auto"/>
              <w:ind w:firstLine="0" w:firstLineChars="0"/>
              <w:rPr>
                <w:rFonts w:cs="Times New Roman" w:eastAsiaTheme="majorEastAsia"/>
                <w:sz w:val="18"/>
                <w:szCs w:val="18"/>
              </w:rPr>
            </w:pPr>
            <w:r>
              <w:rPr>
                <w:rFonts w:hint="eastAsia"/>
                <w:sz w:val="18"/>
                <w:szCs w:val="18"/>
              </w:rPr>
              <w:t>⑤提高</w:t>
            </w:r>
            <w:r>
              <w:rPr>
                <w:rFonts w:hint="eastAsia" w:cs="Times New Roman" w:eastAsiaTheme="majorEastAsia"/>
                <w:sz w:val="18"/>
                <w:szCs w:val="18"/>
              </w:rPr>
              <w:t>主体设备和公</w:t>
            </w:r>
            <w:r>
              <w:rPr>
                <w:rFonts w:hint="eastAsia" w:cs="Times New Roman" w:eastAsiaTheme="majorEastAsia"/>
                <w:sz w:val="18"/>
                <w:szCs w:val="18"/>
                <w:lang w:val="en-US" w:eastAsia="zh-CN"/>
              </w:rPr>
              <w:t>用</w:t>
            </w:r>
            <w:r>
              <w:rPr>
                <w:rFonts w:hint="eastAsia" w:cs="Times New Roman" w:eastAsiaTheme="majorEastAsia"/>
                <w:sz w:val="18"/>
                <w:szCs w:val="18"/>
              </w:rPr>
              <w:t>设施匹配性；</w:t>
            </w:r>
          </w:p>
          <w:p w14:paraId="136A5C0B">
            <w:pPr>
              <w:adjustRightInd w:val="0"/>
              <w:snapToGrid w:val="0"/>
              <w:spacing w:line="240" w:lineRule="auto"/>
              <w:ind w:firstLine="0" w:firstLineChars="0"/>
              <w:rPr>
                <w:rFonts w:cs="Times New Roman" w:eastAsiaTheme="majorEastAsia"/>
                <w:sz w:val="18"/>
                <w:szCs w:val="18"/>
              </w:rPr>
            </w:pPr>
            <w:r>
              <w:rPr>
                <w:rFonts w:hint="eastAsia" w:cs="Times New Roman" w:eastAsiaTheme="majorEastAsia"/>
                <w:sz w:val="18"/>
                <w:szCs w:val="18"/>
              </w:rPr>
              <w:t>⑥完善设备设施维护管理。</w:t>
            </w:r>
          </w:p>
        </w:tc>
      </w:tr>
      <w:tr w14:paraId="02FD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D607DB3">
            <w:pPr>
              <w:adjustRightInd w:val="0"/>
              <w:snapToGrid w:val="0"/>
              <w:spacing w:line="240" w:lineRule="auto"/>
              <w:ind w:firstLine="0" w:firstLineChars="0"/>
              <w:jc w:val="center"/>
              <w:rPr>
                <w:sz w:val="18"/>
                <w:szCs w:val="18"/>
              </w:rPr>
            </w:pPr>
            <w:r>
              <w:rPr>
                <w:rFonts w:hint="eastAsia"/>
                <w:sz w:val="18"/>
                <w:szCs w:val="18"/>
              </w:rPr>
              <w:t>4</w:t>
            </w:r>
          </w:p>
        </w:tc>
        <w:tc>
          <w:tcPr>
            <w:tcW w:w="1638" w:type="dxa"/>
            <w:vAlign w:val="center"/>
          </w:tcPr>
          <w:p w14:paraId="59F5F937">
            <w:pPr>
              <w:adjustRightInd w:val="0"/>
              <w:snapToGrid w:val="0"/>
              <w:spacing w:line="240" w:lineRule="auto"/>
              <w:ind w:firstLine="0" w:firstLineChars="0"/>
              <w:jc w:val="center"/>
              <w:rPr>
                <w:sz w:val="18"/>
                <w:szCs w:val="18"/>
              </w:rPr>
            </w:pPr>
            <w:r>
              <w:rPr>
                <w:rFonts w:hint="eastAsia"/>
                <w:sz w:val="18"/>
                <w:szCs w:val="18"/>
              </w:rPr>
              <w:t>过程控制</w:t>
            </w:r>
          </w:p>
        </w:tc>
        <w:tc>
          <w:tcPr>
            <w:tcW w:w="6125" w:type="dxa"/>
          </w:tcPr>
          <w:p w14:paraId="306974B8">
            <w:pPr>
              <w:adjustRightInd w:val="0"/>
              <w:snapToGrid w:val="0"/>
              <w:spacing w:line="240" w:lineRule="auto"/>
              <w:ind w:firstLine="0" w:firstLineChars="0"/>
              <w:rPr>
                <w:rFonts w:cs="Times New Roman" w:eastAsiaTheme="majorEastAsia"/>
                <w:sz w:val="18"/>
                <w:szCs w:val="18"/>
              </w:rPr>
            </w:pPr>
            <w:r>
              <w:rPr>
                <w:rFonts w:hint="eastAsia"/>
                <w:sz w:val="18"/>
                <w:szCs w:val="18"/>
              </w:rPr>
              <w:t>①</w:t>
            </w:r>
            <w:r>
              <w:rPr>
                <w:rFonts w:hint="eastAsia" w:cs="Times New Roman" w:eastAsiaTheme="majorEastAsia"/>
                <w:sz w:val="18"/>
                <w:szCs w:val="18"/>
              </w:rPr>
              <w:t>完善计量监测器具及监测精度；</w:t>
            </w:r>
          </w:p>
          <w:p w14:paraId="358BC79D">
            <w:pPr>
              <w:adjustRightInd w:val="0"/>
              <w:snapToGrid w:val="0"/>
              <w:spacing w:line="240" w:lineRule="auto"/>
              <w:ind w:firstLine="0" w:firstLineChars="0"/>
              <w:rPr>
                <w:rFonts w:cs="Times New Roman" w:eastAsiaTheme="majorEastAsia"/>
                <w:sz w:val="18"/>
                <w:szCs w:val="18"/>
              </w:rPr>
            </w:pPr>
            <w:r>
              <w:rPr>
                <w:rFonts w:hint="eastAsia" w:cs="Times New Roman" w:eastAsiaTheme="majorEastAsia"/>
                <w:sz w:val="18"/>
                <w:szCs w:val="18"/>
              </w:rPr>
              <w:t>②加强工艺参数控制（如温度、压力、流速、浓度、停留时间等）；</w:t>
            </w:r>
          </w:p>
          <w:p w14:paraId="314130B3">
            <w:pPr>
              <w:adjustRightInd w:val="0"/>
              <w:snapToGrid w:val="0"/>
              <w:spacing w:line="240" w:lineRule="auto"/>
              <w:ind w:firstLine="0" w:firstLineChars="0"/>
              <w:rPr>
                <w:rFonts w:cs="Times New Roman" w:eastAsiaTheme="majorEastAsia"/>
                <w:sz w:val="18"/>
                <w:szCs w:val="18"/>
              </w:rPr>
            </w:pPr>
            <w:r>
              <w:rPr>
                <w:rFonts w:hint="eastAsia" w:cs="Times New Roman" w:eastAsiaTheme="majorEastAsia"/>
                <w:sz w:val="18"/>
                <w:szCs w:val="18"/>
              </w:rPr>
              <w:t>③完善现场操作、优化各类管道及物料输送，减少跑冒滴漏。</w:t>
            </w:r>
          </w:p>
        </w:tc>
      </w:tr>
      <w:tr w14:paraId="0B44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B937E04">
            <w:pPr>
              <w:adjustRightInd w:val="0"/>
              <w:snapToGrid w:val="0"/>
              <w:spacing w:line="240" w:lineRule="auto"/>
              <w:ind w:firstLine="0" w:firstLineChars="0"/>
              <w:jc w:val="center"/>
              <w:rPr>
                <w:sz w:val="18"/>
                <w:szCs w:val="18"/>
              </w:rPr>
            </w:pPr>
            <w:r>
              <w:rPr>
                <w:rFonts w:hint="eastAsia"/>
                <w:sz w:val="18"/>
                <w:szCs w:val="18"/>
              </w:rPr>
              <w:t>5</w:t>
            </w:r>
          </w:p>
        </w:tc>
        <w:tc>
          <w:tcPr>
            <w:tcW w:w="1638" w:type="dxa"/>
            <w:vAlign w:val="center"/>
          </w:tcPr>
          <w:p w14:paraId="0D61E17F">
            <w:pPr>
              <w:adjustRightInd w:val="0"/>
              <w:snapToGrid w:val="0"/>
              <w:spacing w:line="240" w:lineRule="auto"/>
              <w:ind w:firstLine="0" w:firstLineChars="0"/>
              <w:jc w:val="center"/>
              <w:rPr>
                <w:sz w:val="18"/>
                <w:szCs w:val="18"/>
              </w:rPr>
            </w:pPr>
            <w:r>
              <w:rPr>
                <w:rFonts w:hint="eastAsia"/>
                <w:sz w:val="18"/>
                <w:szCs w:val="18"/>
              </w:rPr>
              <w:t>产品</w:t>
            </w:r>
          </w:p>
        </w:tc>
        <w:tc>
          <w:tcPr>
            <w:tcW w:w="6125" w:type="dxa"/>
          </w:tcPr>
          <w:p w14:paraId="14256E22">
            <w:pPr>
              <w:adjustRightInd w:val="0"/>
              <w:snapToGrid w:val="0"/>
              <w:spacing w:line="240" w:lineRule="auto"/>
              <w:ind w:firstLine="0" w:firstLineChars="0"/>
              <w:rPr>
                <w:sz w:val="18"/>
                <w:szCs w:val="18"/>
              </w:rPr>
            </w:pPr>
            <w:r>
              <w:rPr>
                <w:rFonts w:hint="eastAsia"/>
                <w:sz w:val="18"/>
                <w:szCs w:val="18"/>
              </w:rPr>
              <w:t>①提高产品合格率；</w:t>
            </w:r>
          </w:p>
          <w:p w14:paraId="7635A361">
            <w:pPr>
              <w:adjustRightInd w:val="0"/>
              <w:snapToGrid w:val="0"/>
              <w:spacing w:line="240" w:lineRule="auto"/>
              <w:ind w:firstLine="0" w:firstLineChars="0"/>
              <w:rPr>
                <w:rFonts w:cs="Times New Roman" w:eastAsiaTheme="majorEastAsia"/>
                <w:sz w:val="18"/>
                <w:szCs w:val="18"/>
              </w:rPr>
            </w:pPr>
            <w:r>
              <w:rPr>
                <w:rFonts w:hint="eastAsia" w:cs="Times New Roman" w:eastAsiaTheme="majorEastAsia"/>
                <w:sz w:val="18"/>
                <w:szCs w:val="18"/>
              </w:rPr>
              <w:t>②优化产品包装；</w:t>
            </w:r>
          </w:p>
          <w:p w14:paraId="7F57ECCB">
            <w:pPr>
              <w:adjustRightInd w:val="0"/>
              <w:snapToGrid w:val="0"/>
              <w:spacing w:line="240" w:lineRule="auto"/>
              <w:ind w:firstLine="0" w:firstLineChars="0"/>
              <w:rPr>
                <w:rFonts w:cs="Times New Roman" w:eastAsiaTheme="majorEastAsia"/>
                <w:sz w:val="18"/>
                <w:szCs w:val="18"/>
              </w:rPr>
            </w:pPr>
            <w:r>
              <w:rPr>
                <w:rFonts w:hint="eastAsia" w:cs="Times New Roman" w:eastAsiaTheme="majorEastAsia"/>
                <w:sz w:val="18"/>
                <w:szCs w:val="18"/>
              </w:rPr>
              <w:t>③改进贮存</w:t>
            </w:r>
            <w:r>
              <w:rPr>
                <w:rFonts w:hint="eastAsia" w:cs="Times New Roman" w:eastAsiaTheme="majorEastAsia"/>
                <w:sz w:val="18"/>
                <w:szCs w:val="18"/>
                <w:lang w:val="en-US" w:eastAsia="zh-CN"/>
              </w:rPr>
              <w:t>及</w:t>
            </w:r>
            <w:r>
              <w:rPr>
                <w:rFonts w:hint="eastAsia" w:cs="Times New Roman" w:eastAsiaTheme="majorEastAsia"/>
                <w:sz w:val="18"/>
                <w:szCs w:val="18"/>
              </w:rPr>
              <w:t>运输方式，减少输送过程物料损耗；</w:t>
            </w:r>
          </w:p>
          <w:p w14:paraId="1DE0B590">
            <w:pPr>
              <w:adjustRightInd w:val="0"/>
              <w:snapToGrid w:val="0"/>
              <w:spacing w:line="240" w:lineRule="auto"/>
              <w:ind w:firstLine="0" w:firstLineChars="0"/>
              <w:rPr>
                <w:rFonts w:cs="Times New Roman" w:eastAsiaTheme="majorEastAsia"/>
                <w:sz w:val="18"/>
                <w:szCs w:val="18"/>
              </w:rPr>
            </w:pPr>
            <w:r>
              <w:rPr>
                <w:rFonts w:hint="eastAsia" w:cs="Times New Roman" w:eastAsiaTheme="majorEastAsia"/>
                <w:sz w:val="18"/>
                <w:szCs w:val="18"/>
              </w:rPr>
              <w:t>④优化产品绿色设计。</w:t>
            </w:r>
          </w:p>
        </w:tc>
      </w:tr>
      <w:tr w14:paraId="054C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3EBC250">
            <w:pPr>
              <w:adjustRightInd w:val="0"/>
              <w:snapToGrid w:val="0"/>
              <w:spacing w:line="240" w:lineRule="auto"/>
              <w:ind w:firstLine="0" w:firstLineChars="0"/>
              <w:jc w:val="center"/>
              <w:rPr>
                <w:sz w:val="18"/>
                <w:szCs w:val="18"/>
              </w:rPr>
            </w:pPr>
            <w:r>
              <w:rPr>
                <w:rFonts w:hint="eastAsia"/>
                <w:sz w:val="18"/>
                <w:szCs w:val="18"/>
              </w:rPr>
              <w:t>6</w:t>
            </w:r>
          </w:p>
        </w:tc>
        <w:tc>
          <w:tcPr>
            <w:tcW w:w="1638" w:type="dxa"/>
            <w:vAlign w:val="center"/>
          </w:tcPr>
          <w:p w14:paraId="0BCF5D40">
            <w:pPr>
              <w:adjustRightInd w:val="0"/>
              <w:snapToGrid w:val="0"/>
              <w:spacing w:line="240" w:lineRule="auto"/>
              <w:ind w:firstLine="0" w:firstLineChars="0"/>
              <w:jc w:val="center"/>
              <w:rPr>
                <w:sz w:val="18"/>
                <w:szCs w:val="18"/>
              </w:rPr>
            </w:pPr>
            <w:r>
              <w:rPr>
                <w:rFonts w:hint="eastAsia"/>
                <w:sz w:val="18"/>
                <w:szCs w:val="18"/>
              </w:rPr>
              <w:t>废弃物</w:t>
            </w:r>
          </w:p>
        </w:tc>
        <w:tc>
          <w:tcPr>
            <w:tcW w:w="6125" w:type="dxa"/>
          </w:tcPr>
          <w:p w14:paraId="2ED615AF">
            <w:pPr>
              <w:adjustRightInd w:val="0"/>
              <w:snapToGrid w:val="0"/>
              <w:spacing w:line="240" w:lineRule="auto"/>
              <w:ind w:firstLine="0" w:firstLineChars="0"/>
              <w:rPr>
                <w:rFonts w:hint="eastAsia"/>
                <w:sz w:val="18"/>
                <w:szCs w:val="18"/>
                <w:lang w:val="en-US" w:eastAsia="zh-CN"/>
              </w:rPr>
            </w:pPr>
            <w:r>
              <w:rPr>
                <w:rFonts w:hint="eastAsia"/>
                <w:sz w:val="18"/>
                <w:szCs w:val="18"/>
              </w:rPr>
              <w:t>①</w:t>
            </w:r>
            <w:r>
              <w:rPr>
                <w:rFonts w:hint="eastAsia"/>
                <w:sz w:val="18"/>
                <w:szCs w:val="18"/>
                <w:lang w:val="en-US" w:eastAsia="zh-CN"/>
              </w:rPr>
              <w:t>加强废水废气收集；</w:t>
            </w:r>
          </w:p>
          <w:p w14:paraId="646CD0AF">
            <w:pPr>
              <w:adjustRightInd w:val="0"/>
              <w:snapToGrid w:val="0"/>
              <w:spacing w:line="240" w:lineRule="auto"/>
              <w:ind w:firstLine="0" w:firstLineChars="0"/>
              <w:rPr>
                <w:rFonts w:hint="default"/>
                <w:sz w:val="18"/>
                <w:szCs w:val="18"/>
                <w:lang w:val="en-US" w:eastAsia="zh-CN"/>
              </w:rPr>
            </w:pPr>
            <w:r>
              <w:rPr>
                <w:rFonts w:hint="eastAsia"/>
                <w:sz w:val="18"/>
                <w:szCs w:val="18"/>
                <w:lang w:val="en-US" w:eastAsia="zh-CN"/>
              </w:rPr>
              <w:t>②优化处理工艺；</w:t>
            </w:r>
          </w:p>
          <w:p w14:paraId="363B44D0">
            <w:pPr>
              <w:adjustRightInd w:val="0"/>
              <w:snapToGrid w:val="0"/>
              <w:spacing w:line="240" w:lineRule="auto"/>
              <w:ind w:firstLine="0" w:firstLineChars="0"/>
              <w:rPr>
                <w:sz w:val="18"/>
                <w:szCs w:val="18"/>
              </w:rPr>
            </w:pPr>
            <w:r>
              <w:rPr>
                <w:rFonts w:hint="eastAsia" w:cs="Times New Roman" w:eastAsiaTheme="majorEastAsia"/>
                <w:sz w:val="18"/>
                <w:szCs w:val="18"/>
              </w:rPr>
              <w:t>③</w:t>
            </w:r>
            <w:r>
              <w:rPr>
                <w:rFonts w:hint="eastAsia"/>
                <w:sz w:val="18"/>
                <w:szCs w:val="18"/>
              </w:rPr>
              <w:t>提高中水回用率；</w:t>
            </w:r>
          </w:p>
          <w:p w14:paraId="0ACD720D">
            <w:pPr>
              <w:adjustRightInd w:val="0"/>
              <w:snapToGrid w:val="0"/>
              <w:spacing w:line="240" w:lineRule="auto"/>
              <w:ind w:firstLine="0" w:firstLineChars="0"/>
              <w:rPr>
                <w:rFonts w:cs="Times New Roman" w:eastAsiaTheme="majorEastAsia"/>
                <w:sz w:val="18"/>
                <w:szCs w:val="18"/>
              </w:rPr>
            </w:pPr>
            <w:r>
              <w:rPr>
                <w:rFonts w:hint="eastAsia" w:cs="Times New Roman" w:eastAsiaTheme="majorEastAsia"/>
                <w:sz w:val="18"/>
                <w:szCs w:val="18"/>
              </w:rPr>
              <w:t>④</w:t>
            </w:r>
            <w:r>
              <w:rPr>
                <w:rFonts w:hint="eastAsia"/>
                <w:sz w:val="18"/>
                <w:szCs w:val="18"/>
              </w:rPr>
              <w:t>固体废物综合利用</w:t>
            </w:r>
            <w:r>
              <w:rPr>
                <w:rFonts w:hint="eastAsia" w:cs="Times New Roman" w:eastAsiaTheme="majorEastAsia"/>
                <w:sz w:val="18"/>
                <w:szCs w:val="18"/>
              </w:rPr>
              <w:t>；</w:t>
            </w:r>
          </w:p>
          <w:p w14:paraId="20D34DE2">
            <w:pPr>
              <w:adjustRightInd w:val="0"/>
              <w:snapToGrid w:val="0"/>
              <w:spacing w:line="240" w:lineRule="auto"/>
              <w:ind w:firstLine="0" w:firstLineChars="0"/>
              <w:rPr>
                <w:sz w:val="18"/>
                <w:szCs w:val="18"/>
              </w:rPr>
            </w:pPr>
            <w:r>
              <w:rPr>
                <w:rFonts w:hint="eastAsia" w:cs="Times New Roman" w:eastAsiaTheme="majorEastAsia"/>
                <w:sz w:val="18"/>
                <w:szCs w:val="18"/>
                <w:lang w:val="en-US" w:eastAsia="zh-CN"/>
              </w:rPr>
              <w:t>⑤</w:t>
            </w:r>
            <w:r>
              <w:rPr>
                <w:rFonts w:hint="eastAsia"/>
                <w:sz w:val="18"/>
                <w:szCs w:val="18"/>
              </w:rPr>
              <w:t>污染物资源化、减量化。</w:t>
            </w:r>
          </w:p>
        </w:tc>
      </w:tr>
      <w:tr w14:paraId="2D79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35351AD">
            <w:pPr>
              <w:adjustRightInd w:val="0"/>
              <w:snapToGrid w:val="0"/>
              <w:spacing w:line="240" w:lineRule="auto"/>
              <w:ind w:firstLine="0" w:firstLineChars="0"/>
              <w:jc w:val="center"/>
              <w:rPr>
                <w:sz w:val="18"/>
                <w:szCs w:val="18"/>
              </w:rPr>
            </w:pPr>
            <w:r>
              <w:rPr>
                <w:rFonts w:hint="eastAsia"/>
                <w:sz w:val="18"/>
                <w:szCs w:val="18"/>
              </w:rPr>
              <w:t>7</w:t>
            </w:r>
          </w:p>
        </w:tc>
        <w:tc>
          <w:tcPr>
            <w:tcW w:w="1638" w:type="dxa"/>
            <w:vAlign w:val="center"/>
          </w:tcPr>
          <w:p w14:paraId="76D4244D">
            <w:pPr>
              <w:adjustRightInd w:val="0"/>
              <w:snapToGrid w:val="0"/>
              <w:spacing w:line="240" w:lineRule="auto"/>
              <w:ind w:firstLine="0" w:firstLineChars="0"/>
              <w:jc w:val="center"/>
              <w:rPr>
                <w:sz w:val="18"/>
                <w:szCs w:val="18"/>
              </w:rPr>
            </w:pPr>
            <w:r>
              <w:rPr>
                <w:rFonts w:hint="eastAsia"/>
                <w:sz w:val="18"/>
                <w:szCs w:val="18"/>
              </w:rPr>
              <w:t>管理</w:t>
            </w:r>
          </w:p>
        </w:tc>
        <w:tc>
          <w:tcPr>
            <w:tcW w:w="6125" w:type="dxa"/>
          </w:tcPr>
          <w:p w14:paraId="1132FA1C">
            <w:pPr>
              <w:adjustRightInd w:val="0"/>
              <w:snapToGrid w:val="0"/>
              <w:spacing w:line="240" w:lineRule="auto"/>
              <w:ind w:firstLine="0" w:firstLineChars="0"/>
              <w:rPr>
                <w:rFonts w:cs="Times New Roman" w:eastAsiaTheme="majorEastAsia"/>
                <w:sz w:val="18"/>
                <w:szCs w:val="18"/>
              </w:rPr>
            </w:pPr>
            <w:r>
              <w:rPr>
                <w:rFonts w:hint="eastAsia"/>
                <w:sz w:val="18"/>
                <w:szCs w:val="18"/>
              </w:rPr>
              <w:t>①改进</w:t>
            </w:r>
            <w:r>
              <w:rPr>
                <w:rFonts w:hint="eastAsia" w:cs="Times New Roman" w:eastAsiaTheme="majorEastAsia"/>
                <w:sz w:val="18"/>
                <w:szCs w:val="18"/>
              </w:rPr>
              <w:t>现场管理及操作规程；</w:t>
            </w:r>
          </w:p>
          <w:p w14:paraId="1B2B7532">
            <w:pPr>
              <w:adjustRightInd w:val="0"/>
              <w:snapToGrid w:val="0"/>
              <w:spacing w:line="240" w:lineRule="auto"/>
              <w:ind w:firstLine="0" w:firstLineChars="0"/>
              <w:rPr>
                <w:rFonts w:cs="Times New Roman" w:eastAsiaTheme="majorEastAsia"/>
                <w:sz w:val="18"/>
                <w:szCs w:val="18"/>
              </w:rPr>
            </w:pPr>
            <w:r>
              <w:rPr>
                <w:rFonts w:hint="eastAsia" w:cs="Times New Roman" w:eastAsiaTheme="majorEastAsia"/>
                <w:sz w:val="18"/>
                <w:szCs w:val="18"/>
              </w:rPr>
              <w:t>②提升原辅料质量控制；</w:t>
            </w:r>
          </w:p>
          <w:p w14:paraId="06C69BF5">
            <w:pPr>
              <w:adjustRightInd w:val="0"/>
              <w:snapToGrid w:val="0"/>
              <w:spacing w:line="240" w:lineRule="auto"/>
              <w:ind w:firstLine="0" w:firstLineChars="0"/>
              <w:rPr>
                <w:rFonts w:hint="eastAsia" w:cs="Times New Roman" w:eastAsiaTheme="majorEastAsia"/>
                <w:sz w:val="18"/>
                <w:szCs w:val="18"/>
                <w:lang w:eastAsia="zh-CN"/>
              </w:rPr>
            </w:pPr>
            <w:r>
              <w:rPr>
                <w:rFonts w:hint="eastAsia" w:cs="Times New Roman" w:eastAsiaTheme="majorEastAsia"/>
                <w:sz w:val="18"/>
                <w:szCs w:val="18"/>
              </w:rPr>
              <w:t>③优化生产质量管理</w:t>
            </w:r>
            <w:r>
              <w:rPr>
                <w:rFonts w:hint="eastAsia" w:cs="Times New Roman" w:eastAsiaTheme="majorEastAsia"/>
                <w:sz w:val="18"/>
                <w:szCs w:val="18"/>
                <w:lang w:eastAsia="zh-CN"/>
              </w:rPr>
              <w:t>；</w:t>
            </w:r>
          </w:p>
          <w:p w14:paraId="4BE03712">
            <w:pPr>
              <w:adjustRightInd w:val="0"/>
              <w:snapToGrid w:val="0"/>
              <w:spacing w:line="240" w:lineRule="auto"/>
              <w:ind w:firstLine="0" w:firstLineChars="0"/>
              <w:rPr>
                <w:rFonts w:cs="Times New Roman" w:eastAsiaTheme="majorEastAsia"/>
                <w:sz w:val="18"/>
                <w:szCs w:val="18"/>
              </w:rPr>
            </w:pPr>
            <w:r>
              <w:rPr>
                <w:rFonts w:hint="eastAsia" w:cs="Times New Roman" w:eastAsiaTheme="majorEastAsia"/>
                <w:sz w:val="18"/>
                <w:szCs w:val="18"/>
              </w:rPr>
              <w:t>④完善环境及能源管理；</w:t>
            </w:r>
          </w:p>
          <w:p w14:paraId="424E1CE1">
            <w:pPr>
              <w:adjustRightInd w:val="0"/>
              <w:snapToGrid w:val="0"/>
              <w:spacing w:line="240" w:lineRule="auto"/>
              <w:ind w:firstLine="0" w:firstLineChars="0"/>
              <w:rPr>
                <w:rFonts w:cs="Times New Roman" w:eastAsiaTheme="majorEastAsia"/>
                <w:sz w:val="18"/>
                <w:szCs w:val="18"/>
              </w:rPr>
            </w:pPr>
            <w:r>
              <w:rPr>
                <w:rFonts w:hint="eastAsia" w:cs="Times New Roman" w:eastAsiaTheme="majorEastAsia"/>
                <w:sz w:val="18"/>
                <w:szCs w:val="18"/>
              </w:rPr>
              <w:t>⑤优化物质计量统计；</w:t>
            </w:r>
          </w:p>
          <w:p w14:paraId="7702C2D8">
            <w:pPr>
              <w:adjustRightInd w:val="0"/>
              <w:snapToGrid w:val="0"/>
              <w:spacing w:line="240" w:lineRule="auto"/>
              <w:ind w:firstLine="0" w:firstLineChars="0"/>
              <w:rPr>
                <w:rFonts w:cs="Times New Roman" w:eastAsiaTheme="majorEastAsia"/>
                <w:sz w:val="18"/>
                <w:szCs w:val="18"/>
              </w:rPr>
            </w:pPr>
            <w:r>
              <w:rPr>
                <w:rFonts w:hint="eastAsia" w:cs="Times New Roman" w:eastAsiaTheme="majorEastAsia"/>
                <w:sz w:val="18"/>
                <w:szCs w:val="18"/>
              </w:rPr>
              <w:t>⑥建立高效信息化管理手段；</w:t>
            </w:r>
          </w:p>
          <w:p w14:paraId="2D5B8D1D">
            <w:pPr>
              <w:adjustRightInd w:val="0"/>
              <w:snapToGrid w:val="0"/>
              <w:spacing w:line="240" w:lineRule="auto"/>
              <w:ind w:firstLine="0" w:firstLineChars="0"/>
              <w:rPr>
                <w:rFonts w:cs="Times New Roman" w:eastAsiaTheme="majorEastAsia"/>
                <w:sz w:val="18"/>
                <w:szCs w:val="18"/>
              </w:rPr>
            </w:pPr>
            <w:r>
              <w:rPr>
                <w:rFonts w:hint="eastAsia" w:cs="Times New Roman" w:eastAsiaTheme="majorEastAsia"/>
                <w:sz w:val="18"/>
                <w:szCs w:val="18"/>
              </w:rPr>
              <w:t>⑦完善各项管理体系建设，包括</w:t>
            </w:r>
            <w:r>
              <w:rPr>
                <w:rFonts w:hint="eastAsia"/>
                <w:sz w:val="18"/>
                <w:szCs w:val="18"/>
              </w:rPr>
              <w:t>质量管理体系、环境管理体系、能源管理体系、职业健康管理体系及社会责任管理等</w:t>
            </w:r>
            <w:r>
              <w:rPr>
                <w:rFonts w:hint="eastAsia" w:cs="Times New Roman" w:eastAsiaTheme="majorEastAsia"/>
                <w:sz w:val="18"/>
                <w:szCs w:val="18"/>
              </w:rPr>
              <w:t>。</w:t>
            </w:r>
          </w:p>
        </w:tc>
      </w:tr>
      <w:tr w14:paraId="1CA1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57" w:type="dxa"/>
            <w:vAlign w:val="center"/>
          </w:tcPr>
          <w:p w14:paraId="504B41D7">
            <w:pPr>
              <w:adjustRightInd w:val="0"/>
              <w:snapToGrid w:val="0"/>
              <w:spacing w:line="240" w:lineRule="auto"/>
              <w:ind w:firstLine="0" w:firstLineChars="0"/>
              <w:jc w:val="center"/>
              <w:rPr>
                <w:sz w:val="18"/>
                <w:szCs w:val="18"/>
              </w:rPr>
            </w:pPr>
            <w:r>
              <w:rPr>
                <w:rFonts w:hint="eastAsia"/>
                <w:sz w:val="18"/>
                <w:szCs w:val="18"/>
              </w:rPr>
              <w:t>8</w:t>
            </w:r>
          </w:p>
        </w:tc>
        <w:tc>
          <w:tcPr>
            <w:tcW w:w="1638" w:type="dxa"/>
            <w:vAlign w:val="center"/>
          </w:tcPr>
          <w:p w14:paraId="6A91259A">
            <w:pPr>
              <w:adjustRightInd w:val="0"/>
              <w:snapToGrid w:val="0"/>
              <w:spacing w:line="240" w:lineRule="auto"/>
              <w:ind w:firstLine="0" w:firstLineChars="0"/>
              <w:jc w:val="center"/>
              <w:rPr>
                <w:sz w:val="18"/>
                <w:szCs w:val="18"/>
              </w:rPr>
            </w:pPr>
            <w:r>
              <w:rPr>
                <w:rFonts w:hint="eastAsia"/>
                <w:sz w:val="18"/>
                <w:szCs w:val="18"/>
              </w:rPr>
              <w:t>人员</w:t>
            </w:r>
          </w:p>
        </w:tc>
        <w:tc>
          <w:tcPr>
            <w:tcW w:w="6125" w:type="dxa"/>
          </w:tcPr>
          <w:p w14:paraId="3A03D3CF">
            <w:pPr>
              <w:adjustRightInd w:val="0"/>
              <w:snapToGrid w:val="0"/>
              <w:spacing w:line="240" w:lineRule="auto"/>
              <w:ind w:firstLine="0" w:firstLineChars="0"/>
              <w:rPr>
                <w:sz w:val="18"/>
                <w:szCs w:val="18"/>
              </w:rPr>
            </w:pPr>
            <w:r>
              <w:rPr>
                <w:rFonts w:hint="eastAsia"/>
                <w:sz w:val="18"/>
                <w:szCs w:val="18"/>
              </w:rPr>
              <w:t>①提高管理及技术人员素质；</w:t>
            </w:r>
          </w:p>
          <w:p w14:paraId="2CDCD9D8">
            <w:pPr>
              <w:adjustRightInd w:val="0"/>
              <w:snapToGrid w:val="0"/>
              <w:spacing w:line="240" w:lineRule="auto"/>
              <w:ind w:firstLine="0" w:firstLineChars="0"/>
              <w:rPr>
                <w:sz w:val="18"/>
                <w:szCs w:val="18"/>
              </w:rPr>
            </w:pPr>
            <w:r>
              <w:rPr>
                <w:rFonts w:hint="eastAsia"/>
                <w:sz w:val="18"/>
                <w:szCs w:val="18"/>
              </w:rPr>
              <w:t>②提升一线员工操作熟练程度；</w:t>
            </w:r>
          </w:p>
          <w:p w14:paraId="76B24904">
            <w:pPr>
              <w:adjustRightInd w:val="0"/>
              <w:snapToGrid w:val="0"/>
              <w:spacing w:line="240" w:lineRule="auto"/>
              <w:ind w:firstLine="0" w:firstLineChars="0"/>
              <w:rPr>
                <w:sz w:val="18"/>
                <w:szCs w:val="18"/>
              </w:rPr>
            </w:pPr>
            <w:r>
              <w:rPr>
                <w:rFonts w:hint="eastAsia"/>
                <w:sz w:val="18"/>
                <w:szCs w:val="18"/>
              </w:rPr>
              <w:t>③加强培训；</w:t>
            </w:r>
          </w:p>
          <w:p w14:paraId="454B9EC9">
            <w:pPr>
              <w:adjustRightInd w:val="0"/>
              <w:snapToGrid w:val="0"/>
              <w:spacing w:line="240" w:lineRule="auto"/>
              <w:ind w:firstLine="0" w:firstLineChars="0"/>
              <w:rPr>
                <w:sz w:val="18"/>
                <w:szCs w:val="18"/>
              </w:rPr>
            </w:pPr>
            <w:r>
              <w:rPr>
                <w:rFonts w:hint="eastAsia"/>
                <w:sz w:val="18"/>
                <w:szCs w:val="18"/>
              </w:rPr>
              <w:t>④</w:t>
            </w:r>
            <w:r>
              <w:rPr>
                <w:rFonts w:hint="eastAsia"/>
                <w:sz w:val="18"/>
                <w:szCs w:val="18"/>
                <w:lang w:val="en-US" w:eastAsia="zh-CN"/>
              </w:rPr>
              <w:t>优化</w:t>
            </w:r>
            <w:r>
              <w:rPr>
                <w:rFonts w:hint="eastAsia"/>
                <w:sz w:val="18"/>
                <w:szCs w:val="18"/>
              </w:rPr>
              <w:t>激励</w:t>
            </w:r>
            <w:r>
              <w:rPr>
                <w:rFonts w:hint="eastAsia"/>
                <w:sz w:val="18"/>
                <w:szCs w:val="18"/>
                <w:lang w:val="en-US" w:eastAsia="zh-CN"/>
              </w:rPr>
              <w:t>机制</w:t>
            </w:r>
            <w:r>
              <w:rPr>
                <w:rFonts w:hint="eastAsia"/>
                <w:sz w:val="18"/>
                <w:szCs w:val="18"/>
              </w:rPr>
              <w:t>。</w:t>
            </w:r>
          </w:p>
        </w:tc>
      </w:tr>
    </w:tbl>
    <w:p w14:paraId="27AD72EA">
      <w:pPr>
        <w:ind w:left="0" w:leftChars="0" w:firstLine="0" w:firstLineChars="0"/>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8600754"/>
    </w:sdtPr>
    <w:sdtContent>
      <w:p w14:paraId="59BF7E03">
        <w:pPr>
          <w:pStyle w:val="7"/>
          <w:spacing w:before="120"/>
          <w:ind w:firstLine="360"/>
          <w:jc w:val="center"/>
        </w:pPr>
        <w:r>
          <w:fldChar w:fldCharType="begin"/>
        </w:r>
        <w:r>
          <w:instrText xml:space="preserve">PAGE   \* MERGEFORMAT</w:instrText>
        </w:r>
        <w:r>
          <w:fldChar w:fldCharType="separate"/>
        </w:r>
        <w:r>
          <w:rPr>
            <w:lang w:val="zh-CN"/>
          </w:rPr>
          <w:t>2</w:t>
        </w:r>
        <w:r>
          <w:fldChar w:fldCharType="end"/>
        </w:r>
      </w:p>
    </w:sdtContent>
  </w:sdt>
  <w:p w14:paraId="01F3CE95">
    <w:pPr>
      <w:pStyle w:val="7"/>
      <w:spacing w:before="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78DAE">
    <w:pPr>
      <w:pStyle w:val="7"/>
      <w:spacing w:before="120"/>
      <w:ind w:firstLine="480"/>
      <w:jc w:val="both"/>
      <w:rPr>
        <w:rFonts w:ascii="仿宋_GB2312"/>
        <w:sz w:val="28"/>
        <w:szCs w:val="28"/>
      </w:rPr>
    </w:pPr>
    <w:r>
      <w:rPr>
        <w:sz w:val="24"/>
        <w:szCs w:val="24"/>
      </w:rPr>
      <w:fldChar w:fldCharType="begin"/>
    </w:r>
    <w:r>
      <w:rPr>
        <w:rStyle w:val="15"/>
        <w:sz w:val="24"/>
        <w:szCs w:val="24"/>
      </w:rPr>
      <w:instrText xml:space="preserve"> PAGE </w:instrText>
    </w:r>
    <w:r>
      <w:rPr>
        <w:sz w:val="24"/>
        <w:szCs w:val="24"/>
      </w:rPr>
      <w:fldChar w:fldCharType="separate"/>
    </w:r>
    <w:r>
      <w:rPr>
        <w:rStyle w:val="15"/>
        <w:sz w:val="24"/>
        <w:szCs w:val="24"/>
      </w:rPr>
      <w:t>- 18 -</w:t>
    </w:r>
    <w:r>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A0465">
    <w:pPr>
      <w:pStyle w:val="7"/>
      <w:spacing w:before="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2A01A">
    <w:pPr>
      <w:pStyle w:val="7"/>
      <w:spacing w:before="120"/>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44CA26">
                          <w:pPr>
                            <w:pStyle w:val="7"/>
                            <w:spacing w:before="120"/>
                            <w:ind w:firstLine="360"/>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944CA26">
                    <w:pPr>
                      <w:pStyle w:val="7"/>
                      <w:spacing w:before="120"/>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85AA5">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2D10F">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3CD6D">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34684"/>
    <w:multiLevelType w:val="singleLevel"/>
    <w:tmpl w:val="9AF34684"/>
    <w:lvl w:ilvl="0" w:tentative="0">
      <w:start w:val="1"/>
      <w:numFmt w:val="decimal"/>
      <w:suff w:val="nothing"/>
      <w:lvlText w:val="（%1）"/>
      <w:lvlJc w:val="left"/>
    </w:lvl>
  </w:abstractNum>
  <w:abstractNum w:abstractNumId="1">
    <w:nsid w:val="DA601A52"/>
    <w:multiLevelType w:val="singleLevel"/>
    <w:tmpl w:val="DA601A52"/>
    <w:lvl w:ilvl="0" w:tentative="0">
      <w:start w:val="1"/>
      <w:numFmt w:val="decimal"/>
      <w:suff w:val="nothing"/>
      <w:lvlText w:val="（%1）"/>
      <w:lvlJc w:val="left"/>
    </w:lvl>
  </w:abstractNum>
  <w:abstractNum w:abstractNumId="2">
    <w:nsid w:val="00000002"/>
    <w:multiLevelType w:val="multilevel"/>
    <w:tmpl w:val="00000002"/>
    <w:lvl w:ilvl="0" w:tentative="0">
      <w:start w:val="1"/>
      <w:numFmt w:val="decimal"/>
      <w:pStyle w:val="22"/>
      <w:lvlText w:val="%1."/>
      <w:lvlJc w:val="left"/>
      <w:pPr>
        <w:ind w:left="426" w:firstLine="0"/>
      </w:pPr>
      <w:rPr>
        <w:rFonts w:hint="eastAsia"/>
      </w:rPr>
    </w:lvl>
    <w:lvl w:ilvl="1" w:tentative="0">
      <w:start w:val="1"/>
      <w:numFmt w:val="decimal"/>
      <w:pStyle w:val="21"/>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426" w:firstLine="0"/>
      </w:pPr>
      <w:rPr>
        <w:rFonts w:hint="eastAsia"/>
      </w:rPr>
    </w:lvl>
    <w:lvl w:ilvl="5" w:tentative="0">
      <w:start w:val="1"/>
      <w:numFmt w:val="decimal"/>
      <w:lvlText w:val="%1.%2.%3.%4.%5.%6."/>
      <w:lvlJc w:val="left"/>
      <w:pPr>
        <w:ind w:left="426" w:firstLine="0"/>
      </w:pPr>
      <w:rPr>
        <w:rFonts w:hint="eastAsia"/>
      </w:rPr>
    </w:lvl>
    <w:lvl w:ilvl="6" w:tentative="0">
      <w:start w:val="1"/>
      <w:numFmt w:val="decimal"/>
      <w:lvlText w:val="%1.%2.%3.%4.%5.%6.%7."/>
      <w:lvlJc w:val="left"/>
      <w:pPr>
        <w:ind w:left="426" w:firstLine="0"/>
      </w:pPr>
      <w:rPr>
        <w:rFonts w:hint="eastAsia"/>
      </w:rPr>
    </w:lvl>
    <w:lvl w:ilvl="7" w:tentative="0">
      <w:start w:val="1"/>
      <w:numFmt w:val="decimal"/>
      <w:lvlText w:val="%1.%2.%3.%4.%5.%6.%7.%8."/>
      <w:lvlJc w:val="left"/>
      <w:pPr>
        <w:ind w:left="426" w:firstLine="0"/>
      </w:pPr>
      <w:rPr>
        <w:rFonts w:hint="eastAsia"/>
      </w:rPr>
    </w:lvl>
    <w:lvl w:ilvl="8" w:tentative="0">
      <w:start w:val="1"/>
      <w:numFmt w:val="decimal"/>
      <w:lvlText w:val="%1.%2.%3.%4.%5.%6.%7.%8.%9."/>
      <w:lvlJc w:val="left"/>
      <w:pPr>
        <w:ind w:left="426" w:firstLine="0"/>
      </w:pPr>
      <w:rPr>
        <w:rFonts w:hint="eastAsia"/>
      </w:rPr>
    </w:lvl>
  </w:abstractNum>
  <w:abstractNum w:abstractNumId="3">
    <w:nsid w:val="5AA99087"/>
    <w:multiLevelType w:val="singleLevel"/>
    <w:tmpl w:val="5AA99087"/>
    <w:lvl w:ilvl="0" w:tentative="0">
      <w:start w:val="1"/>
      <w:numFmt w:val="decimal"/>
      <w:suff w:val="nothing"/>
      <w:lvlText w:val="（%1）"/>
      <w:lvlJc w:val="left"/>
    </w:lvl>
  </w:abstractNum>
  <w:abstractNum w:abstractNumId="4">
    <w:nsid w:val="65DB249F"/>
    <w:multiLevelType w:val="singleLevel"/>
    <w:tmpl w:val="65DB249F"/>
    <w:lvl w:ilvl="0" w:tentative="0">
      <w:start w:val="2"/>
      <w:numFmt w:val="decimal"/>
      <w:suff w:val="nothing"/>
      <w:lvlText w:val="（%1）"/>
      <w:lvlJc w:val="left"/>
    </w:lvl>
  </w:abstractNum>
  <w:abstractNum w:abstractNumId="5">
    <w:nsid w:val="758DCA4F"/>
    <w:multiLevelType w:val="singleLevel"/>
    <w:tmpl w:val="758DCA4F"/>
    <w:lvl w:ilvl="0" w:tentative="0">
      <w:start w:val="1"/>
      <w:numFmt w:val="decimal"/>
      <w:suff w:val="nothing"/>
      <w:lvlText w:val="（%1）"/>
      <w:lvlJc w:val="left"/>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C">
    <w15:presenceInfo w15:providerId="WPS Office" w15:userId="547688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xZDQ5ZDEzNWJlNzVhODljYjhjODE1M2I0ZjA3MjUifQ=="/>
  </w:docVars>
  <w:rsids>
    <w:rsidRoot w:val="00956492"/>
    <w:rsid w:val="00004078"/>
    <w:rsid w:val="000446B8"/>
    <w:rsid w:val="00050E83"/>
    <w:rsid w:val="000C2813"/>
    <w:rsid w:val="00125861"/>
    <w:rsid w:val="00127FF6"/>
    <w:rsid w:val="0015288C"/>
    <w:rsid w:val="00177D3D"/>
    <w:rsid w:val="00177EB5"/>
    <w:rsid w:val="001A0E98"/>
    <w:rsid w:val="001B223C"/>
    <w:rsid w:val="001D02D2"/>
    <w:rsid w:val="001D7722"/>
    <w:rsid w:val="001E4CD2"/>
    <w:rsid w:val="0023150C"/>
    <w:rsid w:val="00232137"/>
    <w:rsid w:val="00257121"/>
    <w:rsid w:val="002964A8"/>
    <w:rsid w:val="00296707"/>
    <w:rsid w:val="002B186B"/>
    <w:rsid w:val="002C03E2"/>
    <w:rsid w:val="002C319E"/>
    <w:rsid w:val="002E01C1"/>
    <w:rsid w:val="002F4F11"/>
    <w:rsid w:val="003054BD"/>
    <w:rsid w:val="003371C5"/>
    <w:rsid w:val="003821DE"/>
    <w:rsid w:val="003A4DB8"/>
    <w:rsid w:val="003B4792"/>
    <w:rsid w:val="004255A3"/>
    <w:rsid w:val="00434B5F"/>
    <w:rsid w:val="00443541"/>
    <w:rsid w:val="00491287"/>
    <w:rsid w:val="004A7257"/>
    <w:rsid w:val="004D3724"/>
    <w:rsid w:val="004D710F"/>
    <w:rsid w:val="004E2611"/>
    <w:rsid w:val="004E43BF"/>
    <w:rsid w:val="00501EE6"/>
    <w:rsid w:val="005235A4"/>
    <w:rsid w:val="00566518"/>
    <w:rsid w:val="005A7A02"/>
    <w:rsid w:val="005E29B2"/>
    <w:rsid w:val="00604F1A"/>
    <w:rsid w:val="00611824"/>
    <w:rsid w:val="0062040A"/>
    <w:rsid w:val="00645991"/>
    <w:rsid w:val="00675481"/>
    <w:rsid w:val="006911F9"/>
    <w:rsid w:val="00695449"/>
    <w:rsid w:val="006C2791"/>
    <w:rsid w:val="006E05BE"/>
    <w:rsid w:val="0070280F"/>
    <w:rsid w:val="00704DE7"/>
    <w:rsid w:val="00724552"/>
    <w:rsid w:val="00733E26"/>
    <w:rsid w:val="00757B9E"/>
    <w:rsid w:val="00773916"/>
    <w:rsid w:val="00800CE0"/>
    <w:rsid w:val="00801551"/>
    <w:rsid w:val="00822621"/>
    <w:rsid w:val="008365A1"/>
    <w:rsid w:val="00864EE0"/>
    <w:rsid w:val="00891D6F"/>
    <w:rsid w:val="008A5894"/>
    <w:rsid w:val="008B4FED"/>
    <w:rsid w:val="008D4EE8"/>
    <w:rsid w:val="008E3514"/>
    <w:rsid w:val="00905C11"/>
    <w:rsid w:val="00910EA4"/>
    <w:rsid w:val="0091225B"/>
    <w:rsid w:val="009228D3"/>
    <w:rsid w:val="00936276"/>
    <w:rsid w:val="00950A4F"/>
    <w:rsid w:val="009522A6"/>
    <w:rsid w:val="00952CBF"/>
    <w:rsid w:val="00953D9C"/>
    <w:rsid w:val="00956492"/>
    <w:rsid w:val="00973FB8"/>
    <w:rsid w:val="0097402F"/>
    <w:rsid w:val="0098388D"/>
    <w:rsid w:val="009A7605"/>
    <w:rsid w:val="009C15CF"/>
    <w:rsid w:val="009F2E6D"/>
    <w:rsid w:val="00A01EFB"/>
    <w:rsid w:val="00A25B01"/>
    <w:rsid w:val="00A316EC"/>
    <w:rsid w:val="00A52D92"/>
    <w:rsid w:val="00A95A9A"/>
    <w:rsid w:val="00AA234F"/>
    <w:rsid w:val="00AC7B02"/>
    <w:rsid w:val="00AD7338"/>
    <w:rsid w:val="00B17B85"/>
    <w:rsid w:val="00B2579E"/>
    <w:rsid w:val="00B32474"/>
    <w:rsid w:val="00B52690"/>
    <w:rsid w:val="00B57D00"/>
    <w:rsid w:val="00B95CDD"/>
    <w:rsid w:val="00BC3A1F"/>
    <w:rsid w:val="00BE61A8"/>
    <w:rsid w:val="00BE63AE"/>
    <w:rsid w:val="00BF0F00"/>
    <w:rsid w:val="00C11035"/>
    <w:rsid w:val="00C358B4"/>
    <w:rsid w:val="00C84172"/>
    <w:rsid w:val="00D06FFB"/>
    <w:rsid w:val="00D11E53"/>
    <w:rsid w:val="00D33B58"/>
    <w:rsid w:val="00D74FD0"/>
    <w:rsid w:val="00D9176C"/>
    <w:rsid w:val="00DB5D78"/>
    <w:rsid w:val="00E062C4"/>
    <w:rsid w:val="00E13486"/>
    <w:rsid w:val="00E15234"/>
    <w:rsid w:val="00E220DC"/>
    <w:rsid w:val="00E266E1"/>
    <w:rsid w:val="00E641A4"/>
    <w:rsid w:val="00ED3F9B"/>
    <w:rsid w:val="00EE7982"/>
    <w:rsid w:val="00EF16FF"/>
    <w:rsid w:val="00F13C6B"/>
    <w:rsid w:val="00F27F02"/>
    <w:rsid w:val="00F37872"/>
    <w:rsid w:val="00F40103"/>
    <w:rsid w:val="00F52A8D"/>
    <w:rsid w:val="00F6422F"/>
    <w:rsid w:val="00F66F31"/>
    <w:rsid w:val="00F8365B"/>
    <w:rsid w:val="01064C9A"/>
    <w:rsid w:val="01072553"/>
    <w:rsid w:val="01143067"/>
    <w:rsid w:val="011E3953"/>
    <w:rsid w:val="01203FAE"/>
    <w:rsid w:val="01256F97"/>
    <w:rsid w:val="012A2737"/>
    <w:rsid w:val="012A5BD8"/>
    <w:rsid w:val="012B64AF"/>
    <w:rsid w:val="0132783D"/>
    <w:rsid w:val="0134185B"/>
    <w:rsid w:val="014A102B"/>
    <w:rsid w:val="014A51C2"/>
    <w:rsid w:val="014F03EF"/>
    <w:rsid w:val="01505F15"/>
    <w:rsid w:val="01514167"/>
    <w:rsid w:val="01543C57"/>
    <w:rsid w:val="015772A4"/>
    <w:rsid w:val="0159301C"/>
    <w:rsid w:val="015B3238"/>
    <w:rsid w:val="01695955"/>
    <w:rsid w:val="01785B98"/>
    <w:rsid w:val="017B2F92"/>
    <w:rsid w:val="018A1427"/>
    <w:rsid w:val="01964270"/>
    <w:rsid w:val="01973B44"/>
    <w:rsid w:val="01996FCA"/>
    <w:rsid w:val="019D115B"/>
    <w:rsid w:val="01A249C3"/>
    <w:rsid w:val="01A52705"/>
    <w:rsid w:val="01A7022B"/>
    <w:rsid w:val="01AA1AC9"/>
    <w:rsid w:val="01AD5116"/>
    <w:rsid w:val="01B36BD0"/>
    <w:rsid w:val="01B42948"/>
    <w:rsid w:val="01B6221C"/>
    <w:rsid w:val="01B97F5E"/>
    <w:rsid w:val="01C0753F"/>
    <w:rsid w:val="01C81F50"/>
    <w:rsid w:val="01C877E0"/>
    <w:rsid w:val="01DD59FB"/>
    <w:rsid w:val="01E0373D"/>
    <w:rsid w:val="01E46D89"/>
    <w:rsid w:val="01FB0577"/>
    <w:rsid w:val="01FE5971"/>
    <w:rsid w:val="0201302D"/>
    <w:rsid w:val="02073C59"/>
    <w:rsid w:val="02117D9A"/>
    <w:rsid w:val="022B0E5C"/>
    <w:rsid w:val="02353A89"/>
    <w:rsid w:val="02405F8A"/>
    <w:rsid w:val="02447828"/>
    <w:rsid w:val="024617F2"/>
    <w:rsid w:val="024C0DD3"/>
    <w:rsid w:val="024C492F"/>
    <w:rsid w:val="024C4D2E"/>
    <w:rsid w:val="02532161"/>
    <w:rsid w:val="02533F0F"/>
    <w:rsid w:val="0256755B"/>
    <w:rsid w:val="025C1016"/>
    <w:rsid w:val="025D08EA"/>
    <w:rsid w:val="02661E94"/>
    <w:rsid w:val="02663C42"/>
    <w:rsid w:val="026B74AB"/>
    <w:rsid w:val="026D3223"/>
    <w:rsid w:val="027C117D"/>
    <w:rsid w:val="027C5214"/>
    <w:rsid w:val="0284231A"/>
    <w:rsid w:val="02867E41"/>
    <w:rsid w:val="02873BB9"/>
    <w:rsid w:val="02897931"/>
    <w:rsid w:val="0293255D"/>
    <w:rsid w:val="02936A01"/>
    <w:rsid w:val="02956445"/>
    <w:rsid w:val="029A1B3E"/>
    <w:rsid w:val="02A03581"/>
    <w:rsid w:val="02A97FD3"/>
    <w:rsid w:val="02AD1871"/>
    <w:rsid w:val="02B01361"/>
    <w:rsid w:val="02BC09FE"/>
    <w:rsid w:val="02BC7D06"/>
    <w:rsid w:val="02BD75DA"/>
    <w:rsid w:val="02C03DC7"/>
    <w:rsid w:val="02D36DFE"/>
    <w:rsid w:val="02D52B76"/>
    <w:rsid w:val="02DC3F04"/>
    <w:rsid w:val="02E01C47"/>
    <w:rsid w:val="02E62FD5"/>
    <w:rsid w:val="02F32FFC"/>
    <w:rsid w:val="02F4124E"/>
    <w:rsid w:val="02FC45A7"/>
    <w:rsid w:val="03060F81"/>
    <w:rsid w:val="0328539C"/>
    <w:rsid w:val="032D4760"/>
    <w:rsid w:val="032F672A"/>
    <w:rsid w:val="03353615"/>
    <w:rsid w:val="03391357"/>
    <w:rsid w:val="033E0A5B"/>
    <w:rsid w:val="03404493"/>
    <w:rsid w:val="034675D0"/>
    <w:rsid w:val="0348159A"/>
    <w:rsid w:val="034C72DC"/>
    <w:rsid w:val="03575C81"/>
    <w:rsid w:val="036363D4"/>
    <w:rsid w:val="03653EFA"/>
    <w:rsid w:val="03671F2B"/>
    <w:rsid w:val="03710AF1"/>
    <w:rsid w:val="03726617"/>
    <w:rsid w:val="03764359"/>
    <w:rsid w:val="03766107"/>
    <w:rsid w:val="03773C2D"/>
    <w:rsid w:val="038A570F"/>
    <w:rsid w:val="038B1487"/>
    <w:rsid w:val="038C76D9"/>
    <w:rsid w:val="038F71C9"/>
    <w:rsid w:val="03920A67"/>
    <w:rsid w:val="03977E2B"/>
    <w:rsid w:val="03990047"/>
    <w:rsid w:val="039E740C"/>
    <w:rsid w:val="03A04F32"/>
    <w:rsid w:val="03AF1619"/>
    <w:rsid w:val="03B1713F"/>
    <w:rsid w:val="03B96354"/>
    <w:rsid w:val="03C13A32"/>
    <w:rsid w:val="03C230FA"/>
    <w:rsid w:val="03C350C4"/>
    <w:rsid w:val="03C70711"/>
    <w:rsid w:val="03C84489"/>
    <w:rsid w:val="03CC5D27"/>
    <w:rsid w:val="03DA48E8"/>
    <w:rsid w:val="03DD1CE2"/>
    <w:rsid w:val="03DE5A5A"/>
    <w:rsid w:val="03E94B2B"/>
    <w:rsid w:val="03EA08A3"/>
    <w:rsid w:val="03EC1006"/>
    <w:rsid w:val="040D3015"/>
    <w:rsid w:val="040F3E66"/>
    <w:rsid w:val="04131BA8"/>
    <w:rsid w:val="0414147C"/>
    <w:rsid w:val="041476CE"/>
    <w:rsid w:val="04180F6C"/>
    <w:rsid w:val="041D6583"/>
    <w:rsid w:val="04243DB5"/>
    <w:rsid w:val="042C4F6C"/>
    <w:rsid w:val="042E69E2"/>
    <w:rsid w:val="04363AE8"/>
    <w:rsid w:val="04365896"/>
    <w:rsid w:val="043B2EAD"/>
    <w:rsid w:val="043D09D3"/>
    <w:rsid w:val="043D4E77"/>
    <w:rsid w:val="04405814"/>
    <w:rsid w:val="0449381C"/>
    <w:rsid w:val="045F4DED"/>
    <w:rsid w:val="04657F2A"/>
    <w:rsid w:val="0466662A"/>
    <w:rsid w:val="04671EF4"/>
    <w:rsid w:val="046E5030"/>
    <w:rsid w:val="04714B20"/>
    <w:rsid w:val="04770389"/>
    <w:rsid w:val="047B14FB"/>
    <w:rsid w:val="048C54B6"/>
    <w:rsid w:val="049031F8"/>
    <w:rsid w:val="04926F71"/>
    <w:rsid w:val="04983E5B"/>
    <w:rsid w:val="049C1B9D"/>
    <w:rsid w:val="049D76C3"/>
    <w:rsid w:val="04A15406"/>
    <w:rsid w:val="04A171B4"/>
    <w:rsid w:val="04A24CDA"/>
    <w:rsid w:val="04B74C29"/>
    <w:rsid w:val="04BD1B14"/>
    <w:rsid w:val="04BD7D66"/>
    <w:rsid w:val="04C42EA2"/>
    <w:rsid w:val="04C74740"/>
    <w:rsid w:val="04C954B6"/>
    <w:rsid w:val="04D31337"/>
    <w:rsid w:val="04D37589"/>
    <w:rsid w:val="04D53301"/>
    <w:rsid w:val="04D74983"/>
    <w:rsid w:val="04DB3E3D"/>
    <w:rsid w:val="04E13A54"/>
    <w:rsid w:val="04E15802"/>
    <w:rsid w:val="04ED23F9"/>
    <w:rsid w:val="04EE7F1F"/>
    <w:rsid w:val="04F01EE9"/>
    <w:rsid w:val="04F35535"/>
    <w:rsid w:val="04F75026"/>
    <w:rsid w:val="04F96FF0"/>
    <w:rsid w:val="04FC6AE0"/>
    <w:rsid w:val="04FE63B4"/>
    <w:rsid w:val="04FF3EDA"/>
    <w:rsid w:val="050250E9"/>
    <w:rsid w:val="050414F1"/>
    <w:rsid w:val="05094D59"/>
    <w:rsid w:val="05096B07"/>
    <w:rsid w:val="05171224"/>
    <w:rsid w:val="05183D69"/>
    <w:rsid w:val="05237BC9"/>
    <w:rsid w:val="05257DE5"/>
    <w:rsid w:val="05295350"/>
    <w:rsid w:val="052F2A11"/>
    <w:rsid w:val="053242B0"/>
    <w:rsid w:val="05375C27"/>
    <w:rsid w:val="053A3164"/>
    <w:rsid w:val="0543026B"/>
    <w:rsid w:val="05461B09"/>
    <w:rsid w:val="054D415F"/>
    <w:rsid w:val="054F6C10"/>
    <w:rsid w:val="0552164B"/>
    <w:rsid w:val="055B3806"/>
    <w:rsid w:val="056151AE"/>
    <w:rsid w:val="05685F23"/>
    <w:rsid w:val="056E08C6"/>
    <w:rsid w:val="056F1060"/>
    <w:rsid w:val="05791EDF"/>
    <w:rsid w:val="057A17B3"/>
    <w:rsid w:val="057B7A05"/>
    <w:rsid w:val="057C377D"/>
    <w:rsid w:val="0584418A"/>
    <w:rsid w:val="05852631"/>
    <w:rsid w:val="05883C21"/>
    <w:rsid w:val="058C7E64"/>
    <w:rsid w:val="058F34B0"/>
    <w:rsid w:val="059705B7"/>
    <w:rsid w:val="059B00A7"/>
    <w:rsid w:val="05A625A8"/>
    <w:rsid w:val="05A827C4"/>
    <w:rsid w:val="05AD3936"/>
    <w:rsid w:val="05B178CA"/>
    <w:rsid w:val="05B253F0"/>
    <w:rsid w:val="05B41169"/>
    <w:rsid w:val="05B60A3D"/>
    <w:rsid w:val="05B80C59"/>
    <w:rsid w:val="05B9677F"/>
    <w:rsid w:val="05D15877"/>
    <w:rsid w:val="05D62DEC"/>
    <w:rsid w:val="05D62E8D"/>
    <w:rsid w:val="05D67331"/>
    <w:rsid w:val="05D90BCF"/>
    <w:rsid w:val="05DC421B"/>
    <w:rsid w:val="05DE61E6"/>
    <w:rsid w:val="05EF03F3"/>
    <w:rsid w:val="05EF4270"/>
    <w:rsid w:val="05F17CC7"/>
    <w:rsid w:val="05F72E03"/>
    <w:rsid w:val="05F94DCD"/>
    <w:rsid w:val="05FB0B46"/>
    <w:rsid w:val="060A2B37"/>
    <w:rsid w:val="060F45F1"/>
    <w:rsid w:val="06147E59"/>
    <w:rsid w:val="061701B8"/>
    <w:rsid w:val="06175254"/>
    <w:rsid w:val="062956B3"/>
    <w:rsid w:val="06304C93"/>
    <w:rsid w:val="0636392C"/>
    <w:rsid w:val="0639166E"/>
    <w:rsid w:val="063B3638"/>
    <w:rsid w:val="064047AA"/>
    <w:rsid w:val="06420522"/>
    <w:rsid w:val="064249C6"/>
    <w:rsid w:val="064A5629"/>
    <w:rsid w:val="06564563"/>
    <w:rsid w:val="06594D7C"/>
    <w:rsid w:val="065A2032"/>
    <w:rsid w:val="065F10D4"/>
    <w:rsid w:val="066E1317"/>
    <w:rsid w:val="0671705A"/>
    <w:rsid w:val="0673692E"/>
    <w:rsid w:val="067508F8"/>
    <w:rsid w:val="067B1C86"/>
    <w:rsid w:val="067D77AC"/>
    <w:rsid w:val="0680104B"/>
    <w:rsid w:val="068E19BA"/>
    <w:rsid w:val="06935222"/>
    <w:rsid w:val="06976AC0"/>
    <w:rsid w:val="069B5E85"/>
    <w:rsid w:val="06A411DD"/>
    <w:rsid w:val="06AE6F3C"/>
    <w:rsid w:val="06B56F46"/>
    <w:rsid w:val="06C13B3D"/>
    <w:rsid w:val="06D01FD2"/>
    <w:rsid w:val="06DD649D"/>
    <w:rsid w:val="06DE259F"/>
    <w:rsid w:val="06DF0467"/>
    <w:rsid w:val="06E21E94"/>
    <w:rsid w:val="06E65352"/>
    <w:rsid w:val="06E67100"/>
    <w:rsid w:val="06F832D7"/>
    <w:rsid w:val="06FA704F"/>
    <w:rsid w:val="070752C8"/>
    <w:rsid w:val="070D6D82"/>
    <w:rsid w:val="07117B5A"/>
    <w:rsid w:val="07117EF5"/>
    <w:rsid w:val="07133C6D"/>
    <w:rsid w:val="071C6FC5"/>
    <w:rsid w:val="071D4945"/>
    <w:rsid w:val="071E1F77"/>
    <w:rsid w:val="072F4F4B"/>
    <w:rsid w:val="07300CC3"/>
    <w:rsid w:val="07302A71"/>
    <w:rsid w:val="07310C82"/>
    <w:rsid w:val="0733430F"/>
    <w:rsid w:val="07351E35"/>
    <w:rsid w:val="0736283B"/>
    <w:rsid w:val="0737795B"/>
    <w:rsid w:val="07391925"/>
    <w:rsid w:val="073F4A62"/>
    <w:rsid w:val="074B3407"/>
    <w:rsid w:val="07534DF2"/>
    <w:rsid w:val="075449B1"/>
    <w:rsid w:val="0757624F"/>
    <w:rsid w:val="075C1AB8"/>
    <w:rsid w:val="075E313A"/>
    <w:rsid w:val="075F6EB2"/>
    <w:rsid w:val="07632E46"/>
    <w:rsid w:val="076D7821"/>
    <w:rsid w:val="0770478C"/>
    <w:rsid w:val="077A1F3E"/>
    <w:rsid w:val="0790350F"/>
    <w:rsid w:val="07921036"/>
    <w:rsid w:val="079528D4"/>
    <w:rsid w:val="079A613C"/>
    <w:rsid w:val="07AD2313"/>
    <w:rsid w:val="07AF4222"/>
    <w:rsid w:val="07B70A9C"/>
    <w:rsid w:val="07B74F40"/>
    <w:rsid w:val="07BE1E2B"/>
    <w:rsid w:val="07C82CA9"/>
    <w:rsid w:val="07CC0BA8"/>
    <w:rsid w:val="07D16002"/>
    <w:rsid w:val="07D21D7A"/>
    <w:rsid w:val="07D93108"/>
    <w:rsid w:val="07ED44BE"/>
    <w:rsid w:val="07F12200"/>
    <w:rsid w:val="07F626D4"/>
    <w:rsid w:val="07F7533D"/>
    <w:rsid w:val="07FA3DBD"/>
    <w:rsid w:val="08071A24"/>
    <w:rsid w:val="08144141"/>
    <w:rsid w:val="08147C9D"/>
    <w:rsid w:val="0817778D"/>
    <w:rsid w:val="081E4FBF"/>
    <w:rsid w:val="082A74C0"/>
    <w:rsid w:val="082D6FB0"/>
    <w:rsid w:val="08343DB7"/>
    <w:rsid w:val="08350EC9"/>
    <w:rsid w:val="0837398B"/>
    <w:rsid w:val="0843241C"/>
    <w:rsid w:val="084637B0"/>
    <w:rsid w:val="084D609E"/>
    <w:rsid w:val="08585DDB"/>
    <w:rsid w:val="085B58CB"/>
    <w:rsid w:val="08626C5A"/>
    <w:rsid w:val="08634780"/>
    <w:rsid w:val="08646E76"/>
    <w:rsid w:val="086E1AA3"/>
    <w:rsid w:val="08703D50"/>
    <w:rsid w:val="087846CF"/>
    <w:rsid w:val="087D1CE6"/>
    <w:rsid w:val="087D3A94"/>
    <w:rsid w:val="0889068B"/>
    <w:rsid w:val="0891753F"/>
    <w:rsid w:val="08940DDD"/>
    <w:rsid w:val="0898267C"/>
    <w:rsid w:val="089B216C"/>
    <w:rsid w:val="089D4136"/>
    <w:rsid w:val="08A52FEB"/>
    <w:rsid w:val="08A76D63"/>
    <w:rsid w:val="08AC6127"/>
    <w:rsid w:val="08AE1E9F"/>
    <w:rsid w:val="08AE31AD"/>
    <w:rsid w:val="08B1373D"/>
    <w:rsid w:val="08B1586E"/>
    <w:rsid w:val="08B576D2"/>
    <w:rsid w:val="08B84ACC"/>
    <w:rsid w:val="08BD0334"/>
    <w:rsid w:val="08BF22FE"/>
    <w:rsid w:val="08C6543B"/>
    <w:rsid w:val="08C96CD9"/>
    <w:rsid w:val="08CE42EF"/>
    <w:rsid w:val="08CE609D"/>
    <w:rsid w:val="08DA0EE6"/>
    <w:rsid w:val="08DA7138"/>
    <w:rsid w:val="08DD4532"/>
    <w:rsid w:val="08E1414F"/>
    <w:rsid w:val="08E6788B"/>
    <w:rsid w:val="08E8715E"/>
    <w:rsid w:val="08EB4EA1"/>
    <w:rsid w:val="08EE56B8"/>
    <w:rsid w:val="08F24482"/>
    <w:rsid w:val="08F301FA"/>
    <w:rsid w:val="08F63846"/>
    <w:rsid w:val="08F875BE"/>
    <w:rsid w:val="08FA3336"/>
    <w:rsid w:val="08FF26FB"/>
    <w:rsid w:val="09016473"/>
    <w:rsid w:val="090221EB"/>
    <w:rsid w:val="090931C4"/>
    <w:rsid w:val="090C4E18"/>
    <w:rsid w:val="09242161"/>
    <w:rsid w:val="092B1742"/>
    <w:rsid w:val="09397950"/>
    <w:rsid w:val="093C56FD"/>
    <w:rsid w:val="093F0D49"/>
    <w:rsid w:val="093F343F"/>
    <w:rsid w:val="0946032A"/>
    <w:rsid w:val="0958005D"/>
    <w:rsid w:val="09616F12"/>
    <w:rsid w:val="09652EA6"/>
    <w:rsid w:val="096B7D90"/>
    <w:rsid w:val="096F5AD2"/>
    <w:rsid w:val="09776735"/>
    <w:rsid w:val="097F1A8E"/>
    <w:rsid w:val="098552E8"/>
    <w:rsid w:val="098D7D07"/>
    <w:rsid w:val="0992356F"/>
    <w:rsid w:val="099472E7"/>
    <w:rsid w:val="099512B1"/>
    <w:rsid w:val="09976DD7"/>
    <w:rsid w:val="09992B4F"/>
    <w:rsid w:val="09A17C56"/>
    <w:rsid w:val="09A45050"/>
    <w:rsid w:val="09A60DC8"/>
    <w:rsid w:val="09BB0D18"/>
    <w:rsid w:val="09BE4364"/>
    <w:rsid w:val="09D122E9"/>
    <w:rsid w:val="09E0252C"/>
    <w:rsid w:val="09E65669"/>
    <w:rsid w:val="0A061A8E"/>
    <w:rsid w:val="0A073F5D"/>
    <w:rsid w:val="0A075D0B"/>
    <w:rsid w:val="0A157CFC"/>
    <w:rsid w:val="0A1B17B6"/>
    <w:rsid w:val="0A1E12A6"/>
    <w:rsid w:val="0A200B7B"/>
    <w:rsid w:val="0A2A19F9"/>
    <w:rsid w:val="0A334D52"/>
    <w:rsid w:val="0A3B3C06"/>
    <w:rsid w:val="0A3B7763"/>
    <w:rsid w:val="0A426D43"/>
    <w:rsid w:val="0A454A85"/>
    <w:rsid w:val="0A461821"/>
    <w:rsid w:val="0A4E393A"/>
    <w:rsid w:val="0A5627EE"/>
    <w:rsid w:val="0A5922DF"/>
    <w:rsid w:val="0A634F0B"/>
    <w:rsid w:val="0A6A07FB"/>
    <w:rsid w:val="0A6A629A"/>
    <w:rsid w:val="0A7711DE"/>
    <w:rsid w:val="0A7E1D45"/>
    <w:rsid w:val="0A8530D4"/>
    <w:rsid w:val="0A8729A8"/>
    <w:rsid w:val="0A886720"/>
    <w:rsid w:val="0A8C05DF"/>
    <w:rsid w:val="0A9A6B7F"/>
    <w:rsid w:val="0A9F4195"/>
    <w:rsid w:val="0AA277E2"/>
    <w:rsid w:val="0AA572D2"/>
    <w:rsid w:val="0AB1211B"/>
    <w:rsid w:val="0AB37C41"/>
    <w:rsid w:val="0ABC2A88"/>
    <w:rsid w:val="0AD61B81"/>
    <w:rsid w:val="0AEC3153"/>
    <w:rsid w:val="0AEE6ECB"/>
    <w:rsid w:val="0AF67B2D"/>
    <w:rsid w:val="0AFB5144"/>
    <w:rsid w:val="0AFF69E2"/>
    <w:rsid w:val="0B04224A"/>
    <w:rsid w:val="0B077F8D"/>
    <w:rsid w:val="0B0B182B"/>
    <w:rsid w:val="0B0C7351"/>
    <w:rsid w:val="0B161F7E"/>
    <w:rsid w:val="0B185CF6"/>
    <w:rsid w:val="0B1F52D6"/>
    <w:rsid w:val="0B212DFC"/>
    <w:rsid w:val="0B24469B"/>
    <w:rsid w:val="0B2621C1"/>
    <w:rsid w:val="0B2B5A29"/>
    <w:rsid w:val="0B2C17A1"/>
    <w:rsid w:val="0B30303F"/>
    <w:rsid w:val="0B310D4B"/>
    <w:rsid w:val="0B3264AB"/>
    <w:rsid w:val="0B3A2110"/>
    <w:rsid w:val="0B416FFB"/>
    <w:rsid w:val="0B422D73"/>
    <w:rsid w:val="0B536D2E"/>
    <w:rsid w:val="0B617633"/>
    <w:rsid w:val="0B61769D"/>
    <w:rsid w:val="0B633415"/>
    <w:rsid w:val="0B664CB3"/>
    <w:rsid w:val="0B705B32"/>
    <w:rsid w:val="0B786794"/>
    <w:rsid w:val="0B796FF9"/>
    <w:rsid w:val="0B7E46F4"/>
    <w:rsid w:val="0B7F5D75"/>
    <w:rsid w:val="0B82496D"/>
    <w:rsid w:val="0B884C29"/>
    <w:rsid w:val="0B896BF3"/>
    <w:rsid w:val="0B927856"/>
    <w:rsid w:val="0B955598"/>
    <w:rsid w:val="0B98567B"/>
    <w:rsid w:val="0B9F01C5"/>
    <w:rsid w:val="0BA80E28"/>
    <w:rsid w:val="0BAE0408"/>
    <w:rsid w:val="0BB04180"/>
    <w:rsid w:val="0BB05F2E"/>
    <w:rsid w:val="0BB2614A"/>
    <w:rsid w:val="0BB974D9"/>
    <w:rsid w:val="0BBF43C3"/>
    <w:rsid w:val="0BBF6171"/>
    <w:rsid w:val="0BC11EE9"/>
    <w:rsid w:val="0BCA5242"/>
    <w:rsid w:val="0BD25EA5"/>
    <w:rsid w:val="0BD31C1D"/>
    <w:rsid w:val="0BD461DF"/>
    <w:rsid w:val="0BDD52BE"/>
    <w:rsid w:val="0BE04A65"/>
    <w:rsid w:val="0BE10AC9"/>
    <w:rsid w:val="0BE505C6"/>
    <w:rsid w:val="0BE91440"/>
    <w:rsid w:val="0BF00A21"/>
    <w:rsid w:val="0BF202F5"/>
    <w:rsid w:val="0BF26547"/>
    <w:rsid w:val="0BF91683"/>
    <w:rsid w:val="0C006EB6"/>
    <w:rsid w:val="0C061FF2"/>
    <w:rsid w:val="0C0D3381"/>
    <w:rsid w:val="0C0E6378"/>
    <w:rsid w:val="0C2863A6"/>
    <w:rsid w:val="0C2B3807"/>
    <w:rsid w:val="0C2C7CAB"/>
    <w:rsid w:val="0C2E1221"/>
    <w:rsid w:val="0C3703FE"/>
    <w:rsid w:val="0C3B6140"/>
    <w:rsid w:val="0C3B7EEE"/>
    <w:rsid w:val="0C3C77C2"/>
    <w:rsid w:val="0C452B1A"/>
    <w:rsid w:val="0C4667E7"/>
    <w:rsid w:val="0C4C20FB"/>
    <w:rsid w:val="0C4D5E73"/>
    <w:rsid w:val="0C523489"/>
    <w:rsid w:val="0C525237"/>
    <w:rsid w:val="0C526FE5"/>
    <w:rsid w:val="0C550884"/>
    <w:rsid w:val="0C5965C6"/>
    <w:rsid w:val="0C5D60B6"/>
    <w:rsid w:val="0C5E015E"/>
    <w:rsid w:val="0C670CE3"/>
    <w:rsid w:val="0C7451AE"/>
    <w:rsid w:val="0C762CD4"/>
    <w:rsid w:val="0C774C9E"/>
    <w:rsid w:val="0C776A4C"/>
    <w:rsid w:val="0C8063EB"/>
    <w:rsid w:val="0C85560D"/>
    <w:rsid w:val="0C8C24F7"/>
    <w:rsid w:val="0C923886"/>
    <w:rsid w:val="0C9E047D"/>
    <w:rsid w:val="0CA041F5"/>
    <w:rsid w:val="0CA23AC9"/>
    <w:rsid w:val="0CAC2B9A"/>
    <w:rsid w:val="0CAE6912"/>
    <w:rsid w:val="0CAF4438"/>
    <w:rsid w:val="0CB47CA0"/>
    <w:rsid w:val="0CB8153E"/>
    <w:rsid w:val="0CBB2DDD"/>
    <w:rsid w:val="0CBD4DA7"/>
    <w:rsid w:val="0CC223BD"/>
    <w:rsid w:val="0CCE7ED0"/>
    <w:rsid w:val="0CCF0636"/>
    <w:rsid w:val="0CD12600"/>
    <w:rsid w:val="0CD143AE"/>
    <w:rsid w:val="0CE40585"/>
    <w:rsid w:val="0CEB71CF"/>
    <w:rsid w:val="0CEC568C"/>
    <w:rsid w:val="0CEE31B2"/>
    <w:rsid w:val="0CF62067"/>
    <w:rsid w:val="0D004B83"/>
    <w:rsid w:val="0D004C93"/>
    <w:rsid w:val="0D054058"/>
    <w:rsid w:val="0D0C53E6"/>
    <w:rsid w:val="0D0D6EF6"/>
    <w:rsid w:val="0D0E5602"/>
    <w:rsid w:val="0D103128"/>
    <w:rsid w:val="0D1B1ACD"/>
    <w:rsid w:val="0D2546FA"/>
    <w:rsid w:val="0D29243C"/>
    <w:rsid w:val="0D2B7F62"/>
    <w:rsid w:val="0D330BC5"/>
    <w:rsid w:val="0D3F6A46"/>
    <w:rsid w:val="0D441024"/>
    <w:rsid w:val="0D4C1C87"/>
    <w:rsid w:val="0D554FDF"/>
    <w:rsid w:val="0D556D8D"/>
    <w:rsid w:val="0D5A43A4"/>
    <w:rsid w:val="0D605732"/>
    <w:rsid w:val="0D613984"/>
    <w:rsid w:val="0D650D5A"/>
    <w:rsid w:val="0D692839"/>
    <w:rsid w:val="0D6945E7"/>
    <w:rsid w:val="0D6C2329"/>
    <w:rsid w:val="0D821B4C"/>
    <w:rsid w:val="0D831BE2"/>
    <w:rsid w:val="0D8458C4"/>
    <w:rsid w:val="0D887163"/>
    <w:rsid w:val="0D9378B6"/>
    <w:rsid w:val="0D9A50E8"/>
    <w:rsid w:val="0DA675E9"/>
    <w:rsid w:val="0DAB10A3"/>
    <w:rsid w:val="0DB53CD0"/>
    <w:rsid w:val="0DB735A4"/>
    <w:rsid w:val="0DC67C8B"/>
    <w:rsid w:val="0DCD1019"/>
    <w:rsid w:val="0DCE08EE"/>
    <w:rsid w:val="0DD26630"/>
    <w:rsid w:val="0DD71E98"/>
    <w:rsid w:val="0DE46363"/>
    <w:rsid w:val="0DE6032D"/>
    <w:rsid w:val="0DE819AF"/>
    <w:rsid w:val="0DED5218"/>
    <w:rsid w:val="0DEE2D3E"/>
    <w:rsid w:val="0DF447F8"/>
    <w:rsid w:val="0DF46805"/>
    <w:rsid w:val="0DFA7935"/>
    <w:rsid w:val="0DFC466A"/>
    <w:rsid w:val="0E060087"/>
    <w:rsid w:val="0E0D1416"/>
    <w:rsid w:val="0E121122"/>
    <w:rsid w:val="0E2F5830"/>
    <w:rsid w:val="0E337665"/>
    <w:rsid w:val="0E3771A3"/>
    <w:rsid w:val="0E3966AF"/>
    <w:rsid w:val="0E3A41D5"/>
    <w:rsid w:val="0E3C619F"/>
    <w:rsid w:val="0E417312"/>
    <w:rsid w:val="0E455054"/>
    <w:rsid w:val="0E4D3F08"/>
    <w:rsid w:val="0E511C4A"/>
    <w:rsid w:val="0E522769"/>
    <w:rsid w:val="0E547045"/>
    <w:rsid w:val="0E590AFF"/>
    <w:rsid w:val="0E5D4333"/>
    <w:rsid w:val="0E664FCA"/>
    <w:rsid w:val="0E6A6868"/>
    <w:rsid w:val="0E6C2978"/>
    <w:rsid w:val="0E76520D"/>
    <w:rsid w:val="0E7771D7"/>
    <w:rsid w:val="0E8611C8"/>
    <w:rsid w:val="0E8F4521"/>
    <w:rsid w:val="0E903DF5"/>
    <w:rsid w:val="0E96765D"/>
    <w:rsid w:val="0E9953A0"/>
    <w:rsid w:val="0EA55AF2"/>
    <w:rsid w:val="0EA578A0"/>
    <w:rsid w:val="0EA93835"/>
    <w:rsid w:val="0EAA7385"/>
    <w:rsid w:val="0EAB2689"/>
    <w:rsid w:val="0EAC50D3"/>
    <w:rsid w:val="0EAF071F"/>
    <w:rsid w:val="0EC00B7E"/>
    <w:rsid w:val="0EC56195"/>
    <w:rsid w:val="0EC75A69"/>
    <w:rsid w:val="0ECF2B6F"/>
    <w:rsid w:val="0ED42D25"/>
    <w:rsid w:val="0ED87A89"/>
    <w:rsid w:val="0EE505E5"/>
    <w:rsid w:val="0EE7435D"/>
    <w:rsid w:val="0EE7610B"/>
    <w:rsid w:val="0EEF3211"/>
    <w:rsid w:val="0EF04CAD"/>
    <w:rsid w:val="0EF34AB0"/>
    <w:rsid w:val="0EF820C6"/>
    <w:rsid w:val="0F087E2F"/>
    <w:rsid w:val="0F16079E"/>
    <w:rsid w:val="0F205179"/>
    <w:rsid w:val="0F20786F"/>
    <w:rsid w:val="0F242EBB"/>
    <w:rsid w:val="0F2509E1"/>
    <w:rsid w:val="0F2729AB"/>
    <w:rsid w:val="0F296723"/>
    <w:rsid w:val="0F2E3D3A"/>
    <w:rsid w:val="0F2F1860"/>
    <w:rsid w:val="0F3330FE"/>
    <w:rsid w:val="0F3A3614"/>
    <w:rsid w:val="0F4946D0"/>
    <w:rsid w:val="0F4B48EC"/>
    <w:rsid w:val="0F5372FC"/>
    <w:rsid w:val="0F5441BB"/>
    <w:rsid w:val="0F587009"/>
    <w:rsid w:val="0F59068B"/>
    <w:rsid w:val="0F5D461F"/>
    <w:rsid w:val="0F615969"/>
    <w:rsid w:val="0F625791"/>
    <w:rsid w:val="0F67724C"/>
    <w:rsid w:val="0F6C6610"/>
    <w:rsid w:val="0F7B6853"/>
    <w:rsid w:val="0F7F4595"/>
    <w:rsid w:val="0F84395A"/>
    <w:rsid w:val="0F8B4CE8"/>
    <w:rsid w:val="0F975D58"/>
    <w:rsid w:val="0FA062BA"/>
    <w:rsid w:val="0FA77648"/>
    <w:rsid w:val="0FB12275"/>
    <w:rsid w:val="0FBD50BE"/>
    <w:rsid w:val="0FBD6E6C"/>
    <w:rsid w:val="0FC85F3C"/>
    <w:rsid w:val="0FD12D30"/>
    <w:rsid w:val="0FD52407"/>
    <w:rsid w:val="0FD91EF8"/>
    <w:rsid w:val="0FDD3F5A"/>
    <w:rsid w:val="0FDF3286"/>
    <w:rsid w:val="0FE663C2"/>
    <w:rsid w:val="0FF205F7"/>
    <w:rsid w:val="0FFF56D6"/>
    <w:rsid w:val="0FFF7484"/>
    <w:rsid w:val="100B5E29"/>
    <w:rsid w:val="100D1BA1"/>
    <w:rsid w:val="100F5919"/>
    <w:rsid w:val="101D790A"/>
    <w:rsid w:val="102173FB"/>
    <w:rsid w:val="10374E70"/>
    <w:rsid w:val="103F5AD3"/>
    <w:rsid w:val="104573AA"/>
    <w:rsid w:val="1057106E"/>
    <w:rsid w:val="10572E1C"/>
    <w:rsid w:val="10593038"/>
    <w:rsid w:val="105A46BB"/>
    <w:rsid w:val="106A6FF4"/>
    <w:rsid w:val="107439CE"/>
    <w:rsid w:val="10797433"/>
    <w:rsid w:val="108005C5"/>
    <w:rsid w:val="10802373"/>
    <w:rsid w:val="10857989"/>
    <w:rsid w:val="108D2CE2"/>
    <w:rsid w:val="108D3719"/>
    <w:rsid w:val="10953945"/>
    <w:rsid w:val="109776BD"/>
    <w:rsid w:val="10991687"/>
    <w:rsid w:val="109C2F25"/>
    <w:rsid w:val="109C4CD3"/>
    <w:rsid w:val="109D06D9"/>
    <w:rsid w:val="10B464C1"/>
    <w:rsid w:val="10C5422A"/>
    <w:rsid w:val="10CA1840"/>
    <w:rsid w:val="10CC559A"/>
    <w:rsid w:val="10CD30DE"/>
    <w:rsid w:val="10CD7582"/>
    <w:rsid w:val="10D64689"/>
    <w:rsid w:val="10DA474D"/>
    <w:rsid w:val="10DB1C9F"/>
    <w:rsid w:val="10DD5A17"/>
    <w:rsid w:val="10DE353E"/>
    <w:rsid w:val="10DE52EC"/>
    <w:rsid w:val="10EC5C5A"/>
    <w:rsid w:val="10EC7A09"/>
    <w:rsid w:val="10ED552F"/>
    <w:rsid w:val="10FA5A47"/>
    <w:rsid w:val="11005262"/>
    <w:rsid w:val="110411F6"/>
    <w:rsid w:val="11131439"/>
    <w:rsid w:val="11194576"/>
    <w:rsid w:val="111D7BC2"/>
    <w:rsid w:val="112371A2"/>
    <w:rsid w:val="112453F4"/>
    <w:rsid w:val="11276C93"/>
    <w:rsid w:val="112E0021"/>
    <w:rsid w:val="11301705"/>
    <w:rsid w:val="1131366D"/>
    <w:rsid w:val="11337090"/>
    <w:rsid w:val="11372E17"/>
    <w:rsid w:val="11405FA6"/>
    <w:rsid w:val="1145536B"/>
    <w:rsid w:val="114F1D45"/>
    <w:rsid w:val="11537A88"/>
    <w:rsid w:val="115B4B8E"/>
    <w:rsid w:val="115E01DA"/>
    <w:rsid w:val="116021A5"/>
    <w:rsid w:val="11696008"/>
    <w:rsid w:val="116C0B49"/>
    <w:rsid w:val="117A5014"/>
    <w:rsid w:val="117D2D56"/>
    <w:rsid w:val="11823EC9"/>
    <w:rsid w:val="118714DF"/>
    <w:rsid w:val="11884B51"/>
    <w:rsid w:val="11965BC6"/>
    <w:rsid w:val="119D6F55"/>
    <w:rsid w:val="11A26319"/>
    <w:rsid w:val="11A61015"/>
    <w:rsid w:val="11B04EDA"/>
    <w:rsid w:val="11B12A00"/>
    <w:rsid w:val="11B147AE"/>
    <w:rsid w:val="11B4198D"/>
    <w:rsid w:val="11B91450"/>
    <w:rsid w:val="11BC387F"/>
    <w:rsid w:val="11BD3153"/>
    <w:rsid w:val="11CE35B2"/>
    <w:rsid w:val="11D24E50"/>
    <w:rsid w:val="11D34725"/>
    <w:rsid w:val="11DA1F57"/>
    <w:rsid w:val="11DF30C9"/>
    <w:rsid w:val="11E84674"/>
    <w:rsid w:val="11E9219A"/>
    <w:rsid w:val="11EC54A1"/>
    <w:rsid w:val="12086AC4"/>
    <w:rsid w:val="12152F8F"/>
    <w:rsid w:val="12174F59"/>
    <w:rsid w:val="121C431D"/>
    <w:rsid w:val="121F5BBC"/>
    <w:rsid w:val="121F796A"/>
    <w:rsid w:val="12280F14"/>
    <w:rsid w:val="122850E4"/>
    <w:rsid w:val="122907E8"/>
    <w:rsid w:val="122D2087"/>
    <w:rsid w:val="12435D4E"/>
    <w:rsid w:val="124F64A1"/>
    <w:rsid w:val="12530CCC"/>
    <w:rsid w:val="125E4936"/>
    <w:rsid w:val="125E66E4"/>
    <w:rsid w:val="12647080"/>
    <w:rsid w:val="12665599"/>
    <w:rsid w:val="126857B5"/>
    <w:rsid w:val="126F6B43"/>
    <w:rsid w:val="127203E1"/>
    <w:rsid w:val="12727D32"/>
    <w:rsid w:val="12791770"/>
    <w:rsid w:val="127A7296"/>
    <w:rsid w:val="127E74CC"/>
    <w:rsid w:val="12823D4A"/>
    <w:rsid w:val="12863E8D"/>
    <w:rsid w:val="12897BDB"/>
    <w:rsid w:val="128B7136"/>
    <w:rsid w:val="1297204D"/>
    <w:rsid w:val="12972790"/>
    <w:rsid w:val="12993BC0"/>
    <w:rsid w:val="129A3494"/>
    <w:rsid w:val="12AD766B"/>
    <w:rsid w:val="12B26A30"/>
    <w:rsid w:val="12B56539"/>
    <w:rsid w:val="12BD657C"/>
    <w:rsid w:val="12C30C3D"/>
    <w:rsid w:val="12CD386A"/>
    <w:rsid w:val="12D0209F"/>
    <w:rsid w:val="12D44A81"/>
    <w:rsid w:val="12D544CC"/>
    <w:rsid w:val="12D76496"/>
    <w:rsid w:val="12E50BB3"/>
    <w:rsid w:val="12E52961"/>
    <w:rsid w:val="12E82452"/>
    <w:rsid w:val="12E84200"/>
    <w:rsid w:val="12ED1816"/>
    <w:rsid w:val="12EF558E"/>
    <w:rsid w:val="12F232D0"/>
    <w:rsid w:val="12F86B39"/>
    <w:rsid w:val="13053004"/>
    <w:rsid w:val="130628D8"/>
    <w:rsid w:val="13144FF5"/>
    <w:rsid w:val="131B6383"/>
    <w:rsid w:val="131E40C5"/>
    <w:rsid w:val="13255454"/>
    <w:rsid w:val="13280AA0"/>
    <w:rsid w:val="13287F73"/>
    <w:rsid w:val="132A0CBC"/>
    <w:rsid w:val="132A4818"/>
    <w:rsid w:val="1331204B"/>
    <w:rsid w:val="13367661"/>
    <w:rsid w:val="133B50BF"/>
    <w:rsid w:val="13427DB4"/>
    <w:rsid w:val="13453400"/>
    <w:rsid w:val="13462EA8"/>
    <w:rsid w:val="13497394"/>
    <w:rsid w:val="13533D6F"/>
    <w:rsid w:val="13547AE7"/>
    <w:rsid w:val="13623FB2"/>
    <w:rsid w:val="136A2E67"/>
    <w:rsid w:val="136E2957"/>
    <w:rsid w:val="136E6DFB"/>
    <w:rsid w:val="136F66CF"/>
    <w:rsid w:val="1376180B"/>
    <w:rsid w:val="137912FC"/>
    <w:rsid w:val="137B1518"/>
    <w:rsid w:val="137D2B9A"/>
    <w:rsid w:val="137E6912"/>
    <w:rsid w:val="137F2DB6"/>
    <w:rsid w:val="1380268A"/>
    <w:rsid w:val="13855EF2"/>
    <w:rsid w:val="138E2FF9"/>
    <w:rsid w:val="13AA7707"/>
    <w:rsid w:val="13B50586"/>
    <w:rsid w:val="13B80076"/>
    <w:rsid w:val="13BF4C25"/>
    <w:rsid w:val="13C62793"/>
    <w:rsid w:val="13D824C6"/>
    <w:rsid w:val="13DC1FB6"/>
    <w:rsid w:val="13DD5D2E"/>
    <w:rsid w:val="13E470BD"/>
    <w:rsid w:val="13E56991"/>
    <w:rsid w:val="13E62E35"/>
    <w:rsid w:val="13E9022F"/>
    <w:rsid w:val="13E96481"/>
    <w:rsid w:val="13EB21F9"/>
    <w:rsid w:val="13F217DA"/>
    <w:rsid w:val="13FC4407"/>
    <w:rsid w:val="13FD1F2D"/>
    <w:rsid w:val="13FD3CDB"/>
    <w:rsid w:val="140E5EE8"/>
    <w:rsid w:val="14101C60"/>
    <w:rsid w:val="14172F0F"/>
    <w:rsid w:val="141E0C55"/>
    <w:rsid w:val="1424395D"/>
    <w:rsid w:val="14270D58"/>
    <w:rsid w:val="14276FAA"/>
    <w:rsid w:val="142E658A"/>
    <w:rsid w:val="14391EBC"/>
    <w:rsid w:val="143C2A55"/>
    <w:rsid w:val="14445DAD"/>
    <w:rsid w:val="14496F20"/>
    <w:rsid w:val="14551D69"/>
    <w:rsid w:val="145D2C16"/>
    <w:rsid w:val="14625BC2"/>
    <w:rsid w:val="146B6E96"/>
    <w:rsid w:val="146D4080"/>
    <w:rsid w:val="146D70B2"/>
    <w:rsid w:val="14720225"/>
    <w:rsid w:val="14733F9D"/>
    <w:rsid w:val="14740441"/>
    <w:rsid w:val="14755F67"/>
    <w:rsid w:val="14773A8D"/>
    <w:rsid w:val="147D6BCA"/>
    <w:rsid w:val="14830684"/>
    <w:rsid w:val="148D505F"/>
    <w:rsid w:val="14942891"/>
    <w:rsid w:val="14983A03"/>
    <w:rsid w:val="14986E04"/>
    <w:rsid w:val="14991C55"/>
    <w:rsid w:val="14A14FAE"/>
    <w:rsid w:val="14A625C4"/>
    <w:rsid w:val="14A8633C"/>
    <w:rsid w:val="14AE580C"/>
    <w:rsid w:val="14B20F69"/>
    <w:rsid w:val="14B7657F"/>
    <w:rsid w:val="14C842E9"/>
    <w:rsid w:val="14CD5DA3"/>
    <w:rsid w:val="14D233B9"/>
    <w:rsid w:val="14D964F6"/>
    <w:rsid w:val="14DB226E"/>
    <w:rsid w:val="14E37374"/>
    <w:rsid w:val="14EC089C"/>
    <w:rsid w:val="14F06616"/>
    <w:rsid w:val="15037CC0"/>
    <w:rsid w:val="15095301"/>
    <w:rsid w:val="150C0679"/>
    <w:rsid w:val="150C68CB"/>
    <w:rsid w:val="150F1F18"/>
    <w:rsid w:val="151E03AD"/>
    <w:rsid w:val="151F4AD1"/>
    <w:rsid w:val="15202377"/>
    <w:rsid w:val="152A4FA3"/>
    <w:rsid w:val="152F6116"/>
    <w:rsid w:val="154020D1"/>
    <w:rsid w:val="154222ED"/>
    <w:rsid w:val="15437E13"/>
    <w:rsid w:val="15453B8B"/>
    <w:rsid w:val="15455939"/>
    <w:rsid w:val="154958DD"/>
    <w:rsid w:val="154D47EE"/>
    <w:rsid w:val="15520056"/>
    <w:rsid w:val="15581B10"/>
    <w:rsid w:val="155D7127"/>
    <w:rsid w:val="155F3191"/>
    <w:rsid w:val="156009C5"/>
    <w:rsid w:val="15602773"/>
    <w:rsid w:val="156A1844"/>
    <w:rsid w:val="15720DD5"/>
    <w:rsid w:val="157955E3"/>
    <w:rsid w:val="157B7247"/>
    <w:rsid w:val="15842905"/>
    <w:rsid w:val="158521DA"/>
    <w:rsid w:val="15897F1C"/>
    <w:rsid w:val="15900185"/>
    <w:rsid w:val="1593009E"/>
    <w:rsid w:val="15932B49"/>
    <w:rsid w:val="159643E7"/>
    <w:rsid w:val="15973CBB"/>
    <w:rsid w:val="159D5775"/>
    <w:rsid w:val="159F1212"/>
    <w:rsid w:val="15A9411A"/>
    <w:rsid w:val="15AE1730"/>
    <w:rsid w:val="15B64E2E"/>
    <w:rsid w:val="15BC5B69"/>
    <w:rsid w:val="15CA22E2"/>
    <w:rsid w:val="15CB41CE"/>
    <w:rsid w:val="15D13671"/>
    <w:rsid w:val="15DA2525"/>
    <w:rsid w:val="15DF7B3C"/>
    <w:rsid w:val="15E6711C"/>
    <w:rsid w:val="15E74C42"/>
    <w:rsid w:val="15EA64E1"/>
    <w:rsid w:val="15EE5FD1"/>
    <w:rsid w:val="15EF3AF7"/>
    <w:rsid w:val="15F15AC1"/>
    <w:rsid w:val="15F35395"/>
    <w:rsid w:val="15F66C34"/>
    <w:rsid w:val="15FC6940"/>
    <w:rsid w:val="16007AB2"/>
    <w:rsid w:val="1606156C"/>
    <w:rsid w:val="161A5018"/>
    <w:rsid w:val="16287735"/>
    <w:rsid w:val="16290DB7"/>
    <w:rsid w:val="16297009"/>
    <w:rsid w:val="163836F0"/>
    <w:rsid w:val="16384FD6"/>
    <w:rsid w:val="163A1216"/>
    <w:rsid w:val="163C4F8E"/>
    <w:rsid w:val="163D2AB4"/>
    <w:rsid w:val="1642631D"/>
    <w:rsid w:val="16500A3A"/>
    <w:rsid w:val="165027E8"/>
    <w:rsid w:val="165322D8"/>
    <w:rsid w:val="16551BAC"/>
    <w:rsid w:val="16556F9A"/>
    <w:rsid w:val="16565924"/>
    <w:rsid w:val="16571DC8"/>
    <w:rsid w:val="16580887"/>
    <w:rsid w:val="165D6CB3"/>
    <w:rsid w:val="165E3157"/>
    <w:rsid w:val="166167A3"/>
    <w:rsid w:val="167504A0"/>
    <w:rsid w:val="167A5AB7"/>
    <w:rsid w:val="167C182F"/>
    <w:rsid w:val="167F30CD"/>
    <w:rsid w:val="16816E45"/>
    <w:rsid w:val="16893F4C"/>
    <w:rsid w:val="168D3A3C"/>
    <w:rsid w:val="169F1079"/>
    <w:rsid w:val="16A62408"/>
    <w:rsid w:val="16A91EF8"/>
    <w:rsid w:val="16B32D77"/>
    <w:rsid w:val="16BA2357"/>
    <w:rsid w:val="16C805D0"/>
    <w:rsid w:val="16D3646B"/>
    <w:rsid w:val="16D451C7"/>
    <w:rsid w:val="16E3540A"/>
    <w:rsid w:val="16E477A6"/>
    <w:rsid w:val="16F13FCB"/>
    <w:rsid w:val="16FE5FE5"/>
    <w:rsid w:val="1706734A"/>
    <w:rsid w:val="170D06D9"/>
    <w:rsid w:val="170F4451"/>
    <w:rsid w:val="171862DF"/>
    <w:rsid w:val="17435EA8"/>
    <w:rsid w:val="174A36DB"/>
    <w:rsid w:val="174B2FAF"/>
    <w:rsid w:val="174F6F43"/>
    <w:rsid w:val="17514A69"/>
    <w:rsid w:val="17562080"/>
    <w:rsid w:val="17571954"/>
    <w:rsid w:val="17587820"/>
    <w:rsid w:val="175B76E3"/>
    <w:rsid w:val="17650515"/>
    <w:rsid w:val="17654071"/>
    <w:rsid w:val="17683B61"/>
    <w:rsid w:val="176C3651"/>
    <w:rsid w:val="176F3141"/>
    <w:rsid w:val="177D585E"/>
    <w:rsid w:val="178070FD"/>
    <w:rsid w:val="17824C23"/>
    <w:rsid w:val="1783099B"/>
    <w:rsid w:val="178C5AA1"/>
    <w:rsid w:val="17942BA8"/>
    <w:rsid w:val="17982698"/>
    <w:rsid w:val="179E7583"/>
    <w:rsid w:val="17A4103D"/>
    <w:rsid w:val="17A54DB5"/>
    <w:rsid w:val="17A728DB"/>
    <w:rsid w:val="17A96653"/>
    <w:rsid w:val="17AF353E"/>
    <w:rsid w:val="17B648CC"/>
    <w:rsid w:val="17B9616B"/>
    <w:rsid w:val="17C50FB3"/>
    <w:rsid w:val="17C74D2B"/>
    <w:rsid w:val="17CB121D"/>
    <w:rsid w:val="17CE7E68"/>
    <w:rsid w:val="17D42FA4"/>
    <w:rsid w:val="17E07B9B"/>
    <w:rsid w:val="17E72CD8"/>
    <w:rsid w:val="17EA0A1A"/>
    <w:rsid w:val="17EC4792"/>
    <w:rsid w:val="17EC6540"/>
    <w:rsid w:val="17F673BF"/>
    <w:rsid w:val="17FB0069"/>
    <w:rsid w:val="17FF44C5"/>
    <w:rsid w:val="17FF6273"/>
    <w:rsid w:val="18041ADC"/>
    <w:rsid w:val="180513B0"/>
    <w:rsid w:val="1809176B"/>
    <w:rsid w:val="18133ACD"/>
    <w:rsid w:val="182E0907"/>
    <w:rsid w:val="182E6B59"/>
    <w:rsid w:val="18356139"/>
    <w:rsid w:val="1836143D"/>
    <w:rsid w:val="18381A1D"/>
    <w:rsid w:val="18383533"/>
    <w:rsid w:val="184A3267"/>
    <w:rsid w:val="184B14B9"/>
    <w:rsid w:val="184C3483"/>
    <w:rsid w:val="18624A54"/>
    <w:rsid w:val="18673E19"/>
    <w:rsid w:val="18694035"/>
    <w:rsid w:val="18697B91"/>
    <w:rsid w:val="186C02C4"/>
    <w:rsid w:val="18700F1F"/>
    <w:rsid w:val="18722EE9"/>
    <w:rsid w:val="187622AE"/>
    <w:rsid w:val="187F73B4"/>
    <w:rsid w:val="18842C1C"/>
    <w:rsid w:val="18846779"/>
    <w:rsid w:val="18857866"/>
    <w:rsid w:val="188E1E5E"/>
    <w:rsid w:val="189270E7"/>
    <w:rsid w:val="18A4506D"/>
    <w:rsid w:val="18AB63FB"/>
    <w:rsid w:val="18AE7C99"/>
    <w:rsid w:val="18B03A11"/>
    <w:rsid w:val="18B2778A"/>
    <w:rsid w:val="18B74DA0"/>
    <w:rsid w:val="18B76B4E"/>
    <w:rsid w:val="18C474BD"/>
    <w:rsid w:val="18CE5C46"/>
    <w:rsid w:val="18D55226"/>
    <w:rsid w:val="18D93DE1"/>
    <w:rsid w:val="18DB244F"/>
    <w:rsid w:val="18E5190D"/>
    <w:rsid w:val="18ED6A14"/>
    <w:rsid w:val="18F002B2"/>
    <w:rsid w:val="18F61AC1"/>
    <w:rsid w:val="18F953B8"/>
    <w:rsid w:val="18F97167"/>
    <w:rsid w:val="1901426D"/>
    <w:rsid w:val="190855FC"/>
    <w:rsid w:val="19094ED0"/>
    <w:rsid w:val="190D676E"/>
    <w:rsid w:val="19153875"/>
    <w:rsid w:val="19182F26"/>
    <w:rsid w:val="191A0E8B"/>
    <w:rsid w:val="19241D0A"/>
    <w:rsid w:val="19265A82"/>
    <w:rsid w:val="192A5572"/>
    <w:rsid w:val="192B3098"/>
    <w:rsid w:val="192D5062"/>
    <w:rsid w:val="192F2B88"/>
    <w:rsid w:val="194128BC"/>
    <w:rsid w:val="194523AC"/>
    <w:rsid w:val="19466124"/>
    <w:rsid w:val="194733FF"/>
    <w:rsid w:val="19474BDB"/>
    <w:rsid w:val="19510D51"/>
    <w:rsid w:val="195645B9"/>
    <w:rsid w:val="195E346D"/>
    <w:rsid w:val="19792055"/>
    <w:rsid w:val="197D7D98"/>
    <w:rsid w:val="197E64D8"/>
    <w:rsid w:val="198F7ACB"/>
    <w:rsid w:val="199926F8"/>
    <w:rsid w:val="19A277FE"/>
    <w:rsid w:val="19A90B8D"/>
    <w:rsid w:val="19AA220F"/>
    <w:rsid w:val="19AC242B"/>
    <w:rsid w:val="19AE61A3"/>
    <w:rsid w:val="19B27315"/>
    <w:rsid w:val="19B65058"/>
    <w:rsid w:val="19B72B7E"/>
    <w:rsid w:val="19B968F6"/>
    <w:rsid w:val="19BD0194"/>
    <w:rsid w:val="19C332D1"/>
    <w:rsid w:val="19C71013"/>
    <w:rsid w:val="19D21766"/>
    <w:rsid w:val="19DF0232"/>
    <w:rsid w:val="19E03E83"/>
    <w:rsid w:val="19E25E4D"/>
    <w:rsid w:val="19E45BEF"/>
    <w:rsid w:val="19EC0A79"/>
    <w:rsid w:val="19F8741E"/>
    <w:rsid w:val="19FB2187"/>
    <w:rsid w:val="19FB2A6A"/>
    <w:rsid w:val="19FD2C86"/>
    <w:rsid w:val="1A09162B"/>
    <w:rsid w:val="1A0E6C42"/>
    <w:rsid w:val="1A194FE3"/>
    <w:rsid w:val="1A277D03"/>
    <w:rsid w:val="1A295829"/>
    <w:rsid w:val="1A367F46"/>
    <w:rsid w:val="1A420699"/>
    <w:rsid w:val="1A4268EB"/>
    <w:rsid w:val="1A442663"/>
    <w:rsid w:val="1A4B1C44"/>
    <w:rsid w:val="1A4E5290"/>
    <w:rsid w:val="1A5328A6"/>
    <w:rsid w:val="1A5501C1"/>
    <w:rsid w:val="1A5B175B"/>
    <w:rsid w:val="1A5B5BFF"/>
    <w:rsid w:val="1A613215"/>
    <w:rsid w:val="1A62250D"/>
    <w:rsid w:val="1A626F8D"/>
    <w:rsid w:val="1A646862"/>
    <w:rsid w:val="1A654388"/>
    <w:rsid w:val="1A6B4094"/>
    <w:rsid w:val="1A703458"/>
    <w:rsid w:val="1A807414"/>
    <w:rsid w:val="1A824F3A"/>
    <w:rsid w:val="1A8E7D82"/>
    <w:rsid w:val="1A9D6217"/>
    <w:rsid w:val="1AA03612"/>
    <w:rsid w:val="1AA72BF2"/>
    <w:rsid w:val="1AAB4490"/>
    <w:rsid w:val="1AB1581F"/>
    <w:rsid w:val="1AB8095B"/>
    <w:rsid w:val="1AC34C38"/>
    <w:rsid w:val="1AC45552"/>
    <w:rsid w:val="1AC45610"/>
    <w:rsid w:val="1AC51736"/>
    <w:rsid w:val="1AD27C6F"/>
    <w:rsid w:val="1ADA2FC8"/>
    <w:rsid w:val="1AE17D45"/>
    <w:rsid w:val="1AE654C9"/>
    <w:rsid w:val="1AE87493"/>
    <w:rsid w:val="1AEB2ADF"/>
    <w:rsid w:val="1AEF6A73"/>
    <w:rsid w:val="1AF04599"/>
    <w:rsid w:val="1AF23E6D"/>
    <w:rsid w:val="1AFA0F74"/>
    <w:rsid w:val="1B040045"/>
    <w:rsid w:val="1B0869ED"/>
    <w:rsid w:val="1B0A7251"/>
    <w:rsid w:val="1B100797"/>
    <w:rsid w:val="1B184A03"/>
    <w:rsid w:val="1B1C0EEA"/>
    <w:rsid w:val="1B1D4C62"/>
    <w:rsid w:val="1B216501"/>
    <w:rsid w:val="1B26620D"/>
    <w:rsid w:val="1B3A2DE8"/>
    <w:rsid w:val="1B440441"/>
    <w:rsid w:val="1B490617"/>
    <w:rsid w:val="1B495A57"/>
    <w:rsid w:val="1B4A1EFB"/>
    <w:rsid w:val="1B4B5C73"/>
    <w:rsid w:val="1B4D72F6"/>
    <w:rsid w:val="1B4F6BAD"/>
    <w:rsid w:val="1B520DB0"/>
    <w:rsid w:val="1B577D2D"/>
    <w:rsid w:val="1B602520"/>
    <w:rsid w:val="1B6C00C4"/>
    <w:rsid w:val="1B6D1746"/>
    <w:rsid w:val="1B735DC4"/>
    <w:rsid w:val="1B75684C"/>
    <w:rsid w:val="1B812F99"/>
    <w:rsid w:val="1BA33762"/>
    <w:rsid w:val="1BA64C58"/>
    <w:rsid w:val="1BA76A4E"/>
    <w:rsid w:val="1BA84E74"/>
    <w:rsid w:val="1BAA4748"/>
    <w:rsid w:val="1BB67591"/>
    <w:rsid w:val="1BC25F36"/>
    <w:rsid w:val="1BC577D4"/>
    <w:rsid w:val="1BC7354C"/>
    <w:rsid w:val="1BC872C4"/>
    <w:rsid w:val="1BCA303C"/>
    <w:rsid w:val="1BD05A58"/>
    <w:rsid w:val="1BD17F27"/>
    <w:rsid w:val="1BDC68CC"/>
    <w:rsid w:val="1BED2887"/>
    <w:rsid w:val="1BEF2AA3"/>
    <w:rsid w:val="1BF3533B"/>
    <w:rsid w:val="1BFD0D1C"/>
    <w:rsid w:val="1BFF20F5"/>
    <w:rsid w:val="1C043B1E"/>
    <w:rsid w:val="1C093B64"/>
    <w:rsid w:val="1C1B5646"/>
    <w:rsid w:val="1C1C5F36"/>
    <w:rsid w:val="1C1F5136"/>
    <w:rsid w:val="1C212CA9"/>
    <w:rsid w:val="1C27223D"/>
    <w:rsid w:val="1C2A5F5B"/>
    <w:rsid w:val="1C2E5379"/>
    <w:rsid w:val="1C38691D"/>
    <w:rsid w:val="1C4A7CD9"/>
    <w:rsid w:val="1C511068"/>
    <w:rsid w:val="1C542906"/>
    <w:rsid w:val="1C56667E"/>
    <w:rsid w:val="1C5D7A0C"/>
    <w:rsid w:val="1C782DBF"/>
    <w:rsid w:val="1C7954A1"/>
    <w:rsid w:val="1C7B7E93"/>
    <w:rsid w:val="1C874A89"/>
    <w:rsid w:val="1C8C52F8"/>
    <w:rsid w:val="1C8E406A"/>
    <w:rsid w:val="1C901B90"/>
    <w:rsid w:val="1C9054E9"/>
    <w:rsid w:val="1C907DE2"/>
    <w:rsid w:val="1C986C96"/>
    <w:rsid w:val="1C9A0C60"/>
    <w:rsid w:val="1CA4388D"/>
    <w:rsid w:val="1CA76EDA"/>
    <w:rsid w:val="1CA93CD1"/>
    <w:rsid w:val="1CAE64BA"/>
    <w:rsid w:val="1CAE76AA"/>
    <w:rsid w:val="1CB03FE0"/>
    <w:rsid w:val="1CB3762C"/>
    <w:rsid w:val="1CB6711D"/>
    <w:rsid w:val="1CBD04AB"/>
    <w:rsid w:val="1CC47A8B"/>
    <w:rsid w:val="1CC7132A"/>
    <w:rsid w:val="1CD06430"/>
    <w:rsid w:val="1CD13F56"/>
    <w:rsid w:val="1CD35F20"/>
    <w:rsid w:val="1CD75A11"/>
    <w:rsid w:val="1CD777BF"/>
    <w:rsid w:val="1CD87093"/>
    <w:rsid w:val="1CD94BF8"/>
    <w:rsid w:val="1CDF0421"/>
    <w:rsid w:val="1CE43C8A"/>
    <w:rsid w:val="1CED6FE2"/>
    <w:rsid w:val="1CF71C0F"/>
    <w:rsid w:val="1D0E0D07"/>
    <w:rsid w:val="1D13456F"/>
    <w:rsid w:val="1D1722B1"/>
    <w:rsid w:val="1D187DD7"/>
    <w:rsid w:val="1D1A58FD"/>
    <w:rsid w:val="1D1D719C"/>
    <w:rsid w:val="1D2247B2"/>
    <w:rsid w:val="1D2B7B0B"/>
    <w:rsid w:val="1D2E3157"/>
    <w:rsid w:val="1D320E99"/>
    <w:rsid w:val="1D3249F5"/>
    <w:rsid w:val="1D3369BF"/>
    <w:rsid w:val="1D3D530A"/>
    <w:rsid w:val="1D434E54"/>
    <w:rsid w:val="1D4604A0"/>
    <w:rsid w:val="1D4806BC"/>
    <w:rsid w:val="1D4B1F5B"/>
    <w:rsid w:val="1D5726AE"/>
    <w:rsid w:val="1D5A03F0"/>
    <w:rsid w:val="1D606D68"/>
    <w:rsid w:val="1D7414B2"/>
    <w:rsid w:val="1D8A2A83"/>
    <w:rsid w:val="1D927B8A"/>
    <w:rsid w:val="1D9B6A3E"/>
    <w:rsid w:val="1D9E02DC"/>
    <w:rsid w:val="1D9E208B"/>
    <w:rsid w:val="1DAA0909"/>
    <w:rsid w:val="1DAB29F9"/>
    <w:rsid w:val="1DAB47A7"/>
    <w:rsid w:val="1DAC0C4B"/>
    <w:rsid w:val="1DAD49C3"/>
    <w:rsid w:val="1DAF24EA"/>
    <w:rsid w:val="1DB01DBE"/>
    <w:rsid w:val="1DB157EA"/>
    <w:rsid w:val="1DB23D88"/>
    <w:rsid w:val="1DB7139E"/>
    <w:rsid w:val="1DCA10D2"/>
    <w:rsid w:val="1DD67A76"/>
    <w:rsid w:val="1DDA29FC"/>
    <w:rsid w:val="1DDC7057"/>
    <w:rsid w:val="1DDF4451"/>
    <w:rsid w:val="1DEC729A"/>
    <w:rsid w:val="1DED3012"/>
    <w:rsid w:val="1DF223D6"/>
    <w:rsid w:val="1DF455AC"/>
    <w:rsid w:val="1DF47EFC"/>
    <w:rsid w:val="1DF61EC7"/>
    <w:rsid w:val="1DF779ED"/>
    <w:rsid w:val="1DFB128B"/>
    <w:rsid w:val="1DFB74DD"/>
    <w:rsid w:val="1DFD14A7"/>
    <w:rsid w:val="1E0C3311"/>
    <w:rsid w:val="1E0D0FBE"/>
    <w:rsid w:val="1E164317"/>
    <w:rsid w:val="1E1D38F7"/>
    <w:rsid w:val="1E1E766F"/>
    <w:rsid w:val="1E281711"/>
    <w:rsid w:val="1E2A7DC2"/>
    <w:rsid w:val="1E334EC9"/>
    <w:rsid w:val="1E3B5B2B"/>
    <w:rsid w:val="1E4A2212"/>
    <w:rsid w:val="1E4A5D6E"/>
    <w:rsid w:val="1E5903C3"/>
    <w:rsid w:val="1E6037E4"/>
    <w:rsid w:val="1E672DC4"/>
    <w:rsid w:val="1E6C3F37"/>
    <w:rsid w:val="1E803E86"/>
    <w:rsid w:val="1E805C34"/>
    <w:rsid w:val="1E845724"/>
    <w:rsid w:val="1E860CC4"/>
    <w:rsid w:val="1E917E41"/>
    <w:rsid w:val="1E9516DF"/>
    <w:rsid w:val="1EAE454F"/>
    <w:rsid w:val="1EBD29E4"/>
    <w:rsid w:val="1EC024D4"/>
    <w:rsid w:val="1EC91389"/>
    <w:rsid w:val="1ECE699F"/>
    <w:rsid w:val="1ED146E2"/>
    <w:rsid w:val="1EDA5344"/>
    <w:rsid w:val="1EE45C13"/>
    <w:rsid w:val="1EE53CE9"/>
    <w:rsid w:val="1EE77A61"/>
    <w:rsid w:val="1EEE2B9E"/>
    <w:rsid w:val="1EEE7042"/>
    <w:rsid w:val="1EF36406"/>
    <w:rsid w:val="1EF8649C"/>
    <w:rsid w:val="1EF91405"/>
    <w:rsid w:val="1EFA398D"/>
    <w:rsid w:val="1EFC175F"/>
    <w:rsid w:val="1EFF4DAB"/>
    <w:rsid w:val="1F0060BE"/>
    <w:rsid w:val="1F022AED"/>
    <w:rsid w:val="1F0C1276"/>
    <w:rsid w:val="1F0C571A"/>
    <w:rsid w:val="1F120F82"/>
    <w:rsid w:val="1F170346"/>
    <w:rsid w:val="1F1D3483"/>
    <w:rsid w:val="1F226CEB"/>
    <w:rsid w:val="1F2B2044"/>
    <w:rsid w:val="1F2B3DF2"/>
    <w:rsid w:val="1F2B5BA0"/>
    <w:rsid w:val="1F2D6D7E"/>
    <w:rsid w:val="1F2E743E"/>
    <w:rsid w:val="1F3233D2"/>
    <w:rsid w:val="1F3B0685"/>
    <w:rsid w:val="1F3F789D"/>
    <w:rsid w:val="1F422EEA"/>
    <w:rsid w:val="1F4437D9"/>
    <w:rsid w:val="1F444EB4"/>
    <w:rsid w:val="1F503858"/>
    <w:rsid w:val="1F505606"/>
    <w:rsid w:val="1F5173AA"/>
    <w:rsid w:val="1F5270A7"/>
    <w:rsid w:val="1F59095F"/>
    <w:rsid w:val="1F6410B2"/>
    <w:rsid w:val="1F642E60"/>
    <w:rsid w:val="1F686DF4"/>
    <w:rsid w:val="1F6B41EE"/>
    <w:rsid w:val="1F6E3CDF"/>
    <w:rsid w:val="1F784B5D"/>
    <w:rsid w:val="1F7A6B27"/>
    <w:rsid w:val="1F811C64"/>
    <w:rsid w:val="1F974FE3"/>
    <w:rsid w:val="1F9B55EC"/>
    <w:rsid w:val="1FAB0A8F"/>
    <w:rsid w:val="1FB21E1D"/>
    <w:rsid w:val="1FB45B95"/>
    <w:rsid w:val="1FB913FE"/>
    <w:rsid w:val="1FBB0CD4"/>
    <w:rsid w:val="1FCA360B"/>
    <w:rsid w:val="1FD47FE6"/>
    <w:rsid w:val="1FD55B0C"/>
    <w:rsid w:val="1FDC333E"/>
    <w:rsid w:val="1FE521F3"/>
    <w:rsid w:val="1FF00B97"/>
    <w:rsid w:val="1FF16DE9"/>
    <w:rsid w:val="1FF271A0"/>
    <w:rsid w:val="1FFC753C"/>
    <w:rsid w:val="1FFE5062"/>
    <w:rsid w:val="200D1749"/>
    <w:rsid w:val="20176124"/>
    <w:rsid w:val="201C7BDE"/>
    <w:rsid w:val="201E5705"/>
    <w:rsid w:val="201F1EFA"/>
    <w:rsid w:val="20256A93"/>
    <w:rsid w:val="20286583"/>
    <w:rsid w:val="202A5E57"/>
    <w:rsid w:val="202D3B9A"/>
    <w:rsid w:val="202F2AA4"/>
    <w:rsid w:val="203767C6"/>
    <w:rsid w:val="203942EC"/>
    <w:rsid w:val="203B0065"/>
    <w:rsid w:val="203B1E13"/>
    <w:rsid w:val="20401B1F"/>
    <w:rsid w:val="20537E3B"/>
    <w:rsid w:val="2059102B"/>
    <w:rsid w:val="2059498F"/>
    <w:rsid w:val="20611216"/>
    <w:rsid w:val="206A26F8"/>
    <w:rsid w:val="207D067D"/>
    <w:rsid w:val="20825C93"/>
    <w:rsid w:val="208337BA"/>
    <w:rsid w:val="20847C5E"/>
    <w:rsid w:val="20857532"/>
    <w:rsid w:val="20872F31"/>
    <w:rsid w:val="208E288A"/>
    <w:rsid w:val="208F215E"/>
    <w:rsid w:val="209634ED"/>
    <w:rsid w:val="209669C5"/>
    <w:rsid w:val="20971013"/>
    <w:rsid w:val="20A756FA"/>
    <w:rsid w:val="20AA51EA"/>
    <w:rsid w:val="20AD0837"/>
    <w:rsid w:val="20AE4CDA"/>
    <w:rsid w:val="20AE6A88"/>
    <w:rsid w:val="20AF2801"/>
    <w:rsid w:val="20B57688"/>
    <w:rsid w:val="20BB73F7"/>
    <w:rsid w:val="20CE2C87"/>
    <w:rsid w:val="20E00C0C"/>
    <w:rsid w:val="20E22BD6"/>
    <w:rsid w:val="20E26732"/>
    <w:rsid w:val="20E95D13"/>
    <w:rsid w:val="20FA1CCE"/>
    <w:rsid w:val="20FD17BE"/>
    <w:rsid w:val="20FF72E4"/>
    <w:rsid w:val="21076199"/>
    <w:rsid w:val="2110329F"/>
    <w:rsid w:val="211D31E6"/>
    <w:rsid w:val="211F7986"/>
    <w:rsid w:val="21262AC3"/>
    <w:rsid w:val="21283337"/>
    <w:rsid w:val="212925B3"/>
    <w:rsid w:val="21350F58"/>
    <w:rsid w:val="213B5E42"/>
    <w:rsid w:val="213F1DD6"/>
    <w:rsid w:val="21415B4F"/>
    <w:rsid w:val="21424B42"/>
    <w:rsid w:val="2148258B"/>
    <w:rsid w:val="214967B1"/>
    <w:rsid w:val="214B077B"/>
    <w:rsid w:val="215018EE"/>
    <w:rsid w:val="215C14FC"/>
    <w:rsid w:val="215C25EF"/>
    <w:rsid w:val="216278F1"/>
    <w:rsid w:val="21675FC1"/>
    <w:rsid w:val="21701F90"/>
    <w:rsid w:val="21703D3E"/>
    <w:rsid w:val="21731A80"/>
    <w:rsid w:val="217952E8"/>
    <w:rsid w:val="217A2E0F"/>
    <w:rsid w:val="217F21D3"/>
    <w:rsid w:val="21817CF9"/>
    <w:rsid w:val="218617B3"/>
    <w:rsid w:val="2186530F"/>
    <w:rsid w:val="218C669E"/>
    <w:rsid w:val="218E68BA"/>
    <w:rsid w:val="2190618E"/>
    <w:rsid w:val="21921F06"/>
    <w:rsid w:val="219859DA"/>
    <w:rsid w:val="219A700D"/>
    <w:rsid w:val="21A12149"/>
    <w:rsid w:val="21A47E8B"/>
    <w:rsid w:val="21A67760"/>
    <w:rsid w:val="21A734D8"/>
    <w:rsid w:val="21B55BF5"/>
    <w:rsid w:val="21B93937"/>
    <w:rsid w:val="21BC51D5"/>
    <w:rsid w:val="21CA5B44"/>
    <w:rsid w:val="21D249F9"/>
    <w:rsid w:val="21DA1AFF"/>
    <w:rsid w:val="21DC5877"/>
    <w:rsid w:val="21E309B4"/>
    <w:rsid w:val="21E64947"/>
    <w:rsid w:val="21ED1832"/>
    <w:rsid w:val="21ED538F"/>
    <w:rsid w:val="21F02CF1"/>
    <w:rsid w:val="21F305CB"/>
    <w:rsid w:val="22010E3A"/>
    <w:rsid w:val="220A23E4"/>
    <w:rsid w:val="2210107D"/>
    <w:rsid w:val="22135B75"/>
    <w:rsid w:val="222039B6"/>
    <w:rsid w:val="2221328A"/>
    <w:rsid w:val="22235254"/>
    <w:rsid w:val="22237002"/>
    <w:rsid w:val="222B5EB7"/>
    <w:rsid w:val="22350AE4"/>
    <w:rsid w:val="22372AAE"/>
    <w:rsid w:val="2241392C"/>
    <w:rsid w:val="22456F79"/>
    <w:rsid w:val="22482F0D"/>
    <w:rsid w:val="224A27E1"/>
    <w:rsid w:val="224C6559"/>
    <w:rsid w:val="224F6049"/>
    <w:rsid w:val="22511DC1"/>
    <w:rsid w:val="225B64A4"/>
    <w:rsid w:val="225E628C"/>
    <w:rsid w:val="2265586D"/>
    <w:rsid w:val="2268710B"/>
    <w:rsid w:val="226F2247"/>
    <w:rsid w:val="22761828"/>
    <w:rsid w:val="22794E74"/>
    <w:rsid w:val="227B6E3E"/>
    <w:rsid w:val="227C4964"/>
    <w:rsid w:val="22857CBD"/>
    <w:rsid w:val="228C2DF9"/>
    <w:rsid w:val="228F4698"/>
    <w:rsid w:val="22A55C69"/>
    <w:rsid w:val="22AC428A"/>
    <w:rsid w:val="22C5630B"/>
    <w:rsid w:val="22C72083"/>
    <w:rsid w:val="22D36C7A"/>
    <w:rsid w:val="22DD3655"/>
    <w:rsid w:val="22E5250A"/>
    <w:rsid w:val="22EC10CA"/>
    <w:rsid w:val="22EC5646"/>
    <w:rsid w:val="2302130E"/>
    <w:rsid w:val="2305495A"/>
    <w:rsid w:val="23072480"/>
    <w:rsid w:val="23073A04"/>
    <w:rsid w:val="2309444A"/>
    <w:rsid w:val="230E1A60"/>
    <w:rsid w:val="231057D9"/>
    <w:rsid w:val="231B417D"/>
    <w:rsid w:val="2322550C"/>
    <w:rsid w:val="23294AEC"/>
    <w:rsid w:val="2329689A"/>
    <w:rsid w:val="2335523F"/>
    <w:rsid w:val="23356FED"/>
    <w:rsid w:val="233F60BE"/>
    <w:rsid w:val="234C4337"/>
    <w:rsid w:val="234E4553"/>
    <w:rsid w:val="235002CB"/>
    <w:rsid w:val="235A4CA6"/>
    <w:rsid w:val="235C6C70"/>
    <w:rsid w:val="236553F8"/>
    <w:rsid w:val="23706277"/>
    <w:rsid w:val="23737B15"/>
    <w:rsid w:val="237C7D5E"/>
    <w:rsid w:val="237F64BA"/>
    <w:rsid w:val="238735C1"/>
    <w:rsid w:val="238B30B1"/>
    <w:rsid w:val="238C6E29"/>
    <w:rsid w:val="238E494F"/>
    <w:rsid w:val="23977CA8"/>
    <w:rsid w:val="239A1546"/>
    <w:rsid w:val="23A44173"/>
    <w:rsid w:val="23BC770E"/>
    <w:rsid w:val="23BF2D5C"/>
    <w:rsid w:val="23C640E9"/>
    <w:rsid w:val="23CB5BA3"/>
    <w:rsid w:val="23CE2F9E"/>
    <w:rsid w:val="23D42CAA"/>
    <w:rsid w:val="23DA1943"/>
    <w:rsid w:val="23E34C9B"/>
    <w:rsid w:val="23F01166"/>
    <w:rsid w:val="23F21382"/>
    <w:rsid w:val="23F92711"/>
    <w:rsid w:val="24084702"/>
    <w:rsid w:val="240F5A90"/>
    <w:rsid w:val="241237D2"/>
    <w:rsid w:val="241C01AD"/>
    <w:rsid w:val="241C63FF"/>
    <w:rsid w:val="241E2177"/>
    <w:rsid w:val="241F37F9"/>
    <w:rsid w:val="24213A15"/>
    <w:rsid w:val="242B5EFE"/>
    <w:rsid w:val="242B6642"/>
    <w:rsid w:val="242D5F16"/>
    <w:rsid w:val="24311EAA"/>
    <w:rsid w:val="243948BB"/>
    <w:rsid w:val="24436D00"/>
    <w:rsid w:val="24444B67"/>
    <w:rsid w:val="244F2331"/>
    <w:rsid w:val="24516CBE"/>
    <w:rsid w:val="24521E21"/>
    <w:rsid w:val="2452597D"/>
    <w:rsid w:val="24540A05"/>
    <w:rsid w:val="24577437"/>
    <w:rsid w:val="245C4A4D"/>
    <w:rsid w:val="24646D22"/>
    <w:rsid w:val="24651B54"/>
    <w:rsid w:val="246758CC"/>
    <w:rsid w:val="247578BD"/>
    <w:rsid w:val="247E2C16"/>
    <w:rsid w:val="248D2E59"/>
    <w:rsid w:val="249C4E4A"/>
    <w:rsid w:val="24AA3A0B"/>
    <w:rsid w:val="24AC7783"/>
    <w:rsid w:val="24AF12C8"/>
    <w:rsid w:val="24B30B11"/>
    <w:rsid w:val="24B65F0C"/>
    <w:rsid w:val="24C20D54"/>
    <w:rsid w:val="24CD76F9"/>
    <w:rsid w:val="24D80578"/>
    <w:rsid w:val="24DE730D"/>
    <w:rsid w:val="24E05525"/>
    <w:rsid w:val="24E16D01"/>
    <w:rsid w:val="24E231A5"/>
    <w:rsid w:val="24E52C95"/>
    <w:rsid w:val="24E567F1"/>
    <w:rsid w:val="25037D3A"/>
    <w:rsid w:val="25052E0F"/>
    <w:rsid w:val="25056E93"/>
    <w:rsid w:val="250D7AF6"/>
    <w:rsid w:val="250F1AC0"/>
    <w:rsid w:val="25162E4E"/>
    <w:rsid w:val="251B2213"/>
    <w:rsid w:val="251B66B7"/>
    <w:rsid w:val="251F61A7"/>
    <w:rsid w:val="252178FB"/>
    <w:rsid w:val="252512E3"/>
    <w:rsid w:val="253432D4"/>
    <w:rsid w:val="2536529E"/>
    <w:rsid w:val="253903B5"/>
    <w:rsid w:val="25396B3D"/>
    <w:rsid w:val="253A4D8F"/>
    <w:rsid w:val="25401C79"/>
    <w:rsid w:val="2540611D"/>
    <w:rsid w:val="254259F1"/>
    <w:rsid w:val="25506360"/>
    <w:rsid w:val="25536CD7"/>
    <w:rsid w:val="255642F6"/>
    <w:rsid w:val="25755DC7"/>
    <w:rsid w:val="257858B7"/>
    <w:rsid w:val="257C53A7"/>
    <w:rsid w:val="2584600A"/>
    <w:rsid w:val="25891872"/>
    <w:rsid w:val="25893620"/>
    <w:rsid w:val="258E50DA"/>
    <w:rsid w:val="25A91F14"/>
    <w:rsid w:val="25AB7A3A"/>
    <w:rsid w:val="25B12B77"/>
    <w:rsid w:val="25B14925"/>
    <w:rsid w:val="25B54415"/>
    <w:rsid w:val="25BE697B"/>
    <w:rsid w:val="25C66622"/>
    <w:rsid w:val="25CE54D7"/>
    <w:rsid w:val="25D0124F"/>
    <w:rsid w:val="25D02FFD"/>
    <w:rsid w:val="25D36F91"/>
    <w:rsid w:val="25D56865"/>
    <w:rsid w:val="25E1345C"/>
    <w:rsid w:val="25EB6089"/>
    <w:rsid w:val="25F0544D"/>
    <w:rsid w:val="25F10EA3"/>
    <w:rsid w:val="25F56F08"/>
    <w:rsid w:val="25FC0296"/>
    <w:rsid w:val="25FF7D86"/>
    <w:rsid w:val="26031625"/>
    <w:rsid w:val="26154EB4"/>
    <w:rsid w:val="261A071C"/>
    <w:rsid w:val="262477ED"/>
    <w:rsid w:val="262B2929"/>
    <w:rsid w:val="262D4649"/>
    <w:rsid w:val="26307F40"/>
    <w:rsid w:val="26325A66"/>
    <w:rsid w:val="26347A30"/>
    <w:rsid w:val="26373F08"/>
    <w:rsid w:val="26395046"/>
    <w:rsid w:val="263C4B36"/>
    <w:rsid w:val="263D6120"/>
    <w:rsid w:val="26435EC5"/>
    <w:rsid w:val="264E7E89"/>
    <w:rsid w:val="26541E80"/>
    <w:rsid w:val="26571970"/>
    <w:rsid w:val="265C2AE3"/>
    <w:rsid w:val="265E2CFF"/>
    <w:rsid w:val="266A6A94"/>
    <w:rsid w:val="266B71CA"/>
    <w:rsid w:val="266D2F42"/>
    <w:rsid w:val="26797620"/>
    <w:rsid w:val="2681079B"/>
    <w:rsid w:val="2685203A"/>
    <w:rsid w:val="26865DB2"/>
    <w:rsid w:val="268A58A2"/>
    <w:rsid w:val="268B161A"/>
    <w:rsid w:val="26942845"/>
    <w:rsid w:val="26977FBF"/>
    <w:rsid w:val="26995AE5"/>
    <w:rsid w:val="269C55D5"/>
    <w:rsid w:val="269C7383"/>
    <w:rsid w:val="26A30712"/>
    <w:rsid w:val="26A76454"/>
    <w:rsid w:val="26AA1AA0"/>
    <w:rsid w:val="26BB1EFF"/>
    <w:rsid w:val="26CA3EF0"/>
    <w:rsid w:val="26D66D39"/>
    <w:rsid w:val="26E251BC"/>
    <w:rsid w:val="26E825C8"/>
    <w:rsid w:val="26F92A28"/>
    <w:rsid w:val="26FE3B9A"/>
    <w:rsid w:val="270311B0"/>
    <w:rsid w:val="27076EF2"/>
    <w:rsid w:val="270C62B7"/>
    <w:rsid w:val="271138CD"/>
    <w:rsid w:val="27117D71"/>
    <w:rsid w:val="271433BD"/>
    <w:rsid w:val="27160EE4"/>
    <w:rsid w:val="271678E1"/>
    <w:rsid w:val="271D04C4"/>
    <w:rsid w:val="271D6716"/>
    <w:rsid w:val="27233601"/>
    <w:rsid w:val="27351CB2"/>
    <w:rsid w:val="27387112"/>
    <w:rsid w:val="273B4DEE"/>
    <w:rsid w:val="2742617D"/>
    <w:rsid w:val="274F0899"/>
    <w:rsid w:val="274F2647"/>
    <w:rsid w:val="2751016E"/>
    <w:rsid w:val="2754116D"/>
    <w:rsid w:val="27547C5E"/>
    <w:rsid w:val="275B723E"/>
    <w:rsid w:val="27614B39"/>
    <w:rsid w:val="276C31F9"/>
    <w:rsid w:val="277025E4"/>
    <w:rsid w:val="27710727"/>
    <w:rsid w:val="27710810"/>
    <w:rsid w:val="27736336"/>
    <w:rsid w:val="277976C4"/>
    <w:rsid w:val="277D0F63"/>
    <w:rsid w:val="2780018A"/>
    <w:rsid w:val="278422F1"/>
    <w:rsid w:val="27873B8F"/>
    <w:rsid w:val="27974F81"/>
    <w:rsid w:val="27AC35F6"/>
    <w:rsid w:val="27B34984"/>
    <w:rsid w:val="27C43035"/>
    <w:rsid w:val="27E014F2"/>
    <w:rsid w:val="27E408AD"/>
    <w:rsid w:val="27E56B08"/>
    <w:rsid w:val="27E62FAC"/>
    <w:rsid w:val="27EB411E"/>
    <w:rsid w:val="27ED433A"/>
    <w:rsid w:val="27F136FF"/>
    <w:rsid w:val="27F31605"/>
    <w:rsid w:val="27F76F67"/>
    <w:rsid w:val="280451E0"/>
    <w:rsid w:val="28096C9A"/>
    <w:rsid w:val="280B47C0"/>
    <w:rsid w:val="280D678A"/>
    <w:rsid w:val="28100029"/>
    <w:rsid w:val="28123DA1"/>
    <w:rsid w:val="281318C7"/>
    <w:rsid w:val="28153891"/>
    <w:rsid w:val="2815563F"/>
    <w:rsid w:val="281C4C20"/>
    <w:rsid w:val="281F64BE"/>
    <w:rsid w:val="282910EA"/>
    <w:rsid w:val="28300EFF"/>
    <w:rsid w:val="28333D17"/>
    <w:rsid w:val="2835183D"/>
    <w:rsid w:val="283D6944"/>
    <w:rsid w:val="284611E4"/>
    <w:rsid w:val="285048C9"/>
    <w:rsid w:val="28546167"/>
    <w:rsid w:val="285E0D94"/>
    <w:rsid w:val="285F1D8B"/>
    <w:rsid w:val="286435B5"/>
    <w:rsid w:val="28724840"/>
    <w:rsid w:val="28754330"/>
    <w:rsid w:val="28773C04"/>
    <w:rsid w:val="28862099"/>
    <w:rsid w:val="2886653D"/>
    <w:rsid w:val="288822B5"/>
    <w:rsid w:val="28885E11"/>
    <w:rsid w:val="28926C90"/>
    <w:rsid w:val="28956639"/>
    <w:rsid w:val="28996270"/>
    <w:rsid w:val="289A52F5"/>
    <w:rsid w:val="289E0A26"/>
    <w:rsid w:val="28AF7842"/>
    <w:rsid w:val="28B05368"/>
    <w:rsid w:val="28B704A4"/>
    <w:rsid w:val="28BA1D43"/>
    <w:rsid w:val="28C72DDD"/>
    <w:rsid w:val="28CA467C"/>
    <w:rsid w:val="28D15A0A"/>
    <w:rsid w:val="28DB23E5"/>
    <w:rsid w:val="28DC43AF"/>
    <w:rsid w:val="28DF17A9"/>
    <w:rsid w:val="28E03E9F"/>
    <w:rsid w:val="28E76FDC"/>
    <w:rsid w:val="28EA087A"/>
    <w:rsid w:val="28F65471"/>
    <w:rsid w:val="28FC235B"/>
    <w:rsid w:val="290556B4"/>
    <w:rsid w:val="290B259E"/>
    <w:rsid w:val="29114058"/>
    <w:rsid w:val="29177195"/>
    <w:rsid w:val="291B6C85"/>
    <w:rsid w:val="2927562A"/>
    <w:rsid w:val="292D0766"/>
    <w:rsid w:val="29310257"/>
    <w:rsid w:val="293146FB"/>
    <w:rsid w:val="294361DC"/>
    <w:rsid w:val="294837F2"/>
    <w:rsid w:val="294A57BC"/>
    <w:rsid w:val="295977AD"/>
    <w:rsid w:val="295B52D4"/>
    <w:rsid w:val="296248B4"/>
    <w:rsid w:val="29693E94"/>
    <w:rsid w:val="296A19BB"/>
    <w:rsid w:val="296C74E1"/>
    <w:rsid w:val="297B7724"/>
    <w:rsid w:val="298C36DF"/>
    <w:rsid w:val="298C7B83"/>
    <w:rsid w:val="29916F47"/>
    <w:rsid w:val="29932CBF"/>
    <w:rsid w:val="29995DFC"/>
    <w:rsid w:val="299D3B3E"/>
    <w:rsid w:val="299F78B6"/>
    <w:rsid w:val="29A547A1"/>
    <w:rsid w:val="29AE5D4B"/>
    <w:rsid w:val="29AF561F"/>
    <w:rsid w:val="29C0782D"/>
    <w:rsid w:val="29C70BBB"/>
    <w:rsid w:val="29C9048F"/>
    <w:rsid w:val="29CE3CF8"/>
    <w:rsid w:val="29D357B2"/>
    <w:rsid w:val="29D46E34"/>
    <w:rsid w:val="29DD218D"/>
    <w:rsid w:val="29EF3C6E"/>
    <w:rsid w:val="29F179E6"/>
    <w:rsid w:val="29F31AC2"/>
    <w:rsid w:val="29F64FFC"/>
    <w:rsid w:val="29FA689B"/>
    <w:rsid w:val="29FD638B"/>
    <w:rsid w:val="2A07545B"/>
    <w:rsid w:val="2A077209"/>
    <w:rsid w:val="2A0C4820"/>
    <w:rsid w:val="2A1060BE"/>
    <w:rsid w:val="2A111E36"/>
    <w:rsid w:val="2A157B78"/>
    <w:rsid w:val="2A16459C"/>
    <w:rsid w:val="2A1D4C7F"/>
    <w:rsid w:val="2A202079"/>
    <w:rsid w:val="2A224043"/>
    <w:rsid w:val="2A2953D2"/>
    <w:rsid w:val="2A2C4EF9"/>
    <w:rsid w:val="2A422128"/>
    <w:rsid w:val="2A4915D0"/>
    <w:rsid w:val="2A491EB3"/>
    <w:rsid w:val="2A495A74"/>
    <w:rsid w:val="2A571F3F"/>
    <w:rsid w:val="2A587A65"/>
    <w:rsid w:val="2A5A1A2F"/>
    <w:rsid w:val="2A622692"/>
    <w:rsid w:val="2A6A7EA4"/>
    <w:rsid w:val="2A7C7BF7"/>
    <w:rsid w:val="2A7D74CC"/>
    <w:rsid w:val="2A7F3244"/>
    <w:rsid w:val="2A830F86"/>
    <w:rsid w:val="2A8D5961"/>
    <w:rsid w:val="2A954815"/>
    <w:rsid w:val="2A97233B"/>
    <w:rsid w:val="2A9A1E2C"/>
    <w:rsid w:val="2AA1140C"/>
    <w:rsid w:val="2AAA6513"/>
    <w:rsid w:val="2AAF13A1"/>
    <w:rsid w:val="2AC375D4"/>
    <w:rsid w:val="2ACA0963"/>
    <w:rsid w:val="2AD43590"/>
    <w:rsid w:val="2ADE440E"/>
    <w:rsid w:val="2AE5579D"/>
    <w:rsid w:val="2AE8528D"/>
    <w:rsid w:val="2AED4651"/>
    <w:rsid w:val="2B013C59"/>
    <w:rsid w:val="2B0A0D5F"/>
    <w:rsid w:val="2B0D6AA1"/>
    <w:rsid w:val="2B14398C"/>
    <w:rsid w:val="2B147E30"/>
    <w:rsid w:val="2B1D5208"/>
    <w:rsid w:val="2B1E2A5D"/>
    <w:rsid w:val="2B2160A9"/>
    <w:rsid w:val="2B277B63"/>
    <w:rsid w:val="2B4324C3"/>
    <w:rsid w:val="2B481888"/>
    <w:rsid w:val="2B4C581C"/>
    <w:rsid w:val="2B7408CF"/>
    <w:rsid w:val="2B771A3F"/>
    <w:rsid w:val="2B795EE5"/>
    <w:rsid w:val="2B830B12"/>
    <w:rsid w:val="2B8C79C6"/>
    <w:rsid w:val="2B911481"/>
    <w:rsid w:val="2B99123F"/>
    <w:rsid w:val="2B9B22FF"/>
    <w:rsid w:val="2BA2368E"/>
    <w:rsid w:val="2BA411B4"/>
    <w:rsid w:val="2BA56CDA"/>
    <w:rsid w:val="2BA70CA4"/>
    <w:rsid w:val="2BAA609E"/>
    <w:rsid w:val="2BB331A5"/>
    <w:rsid w:val="2BB533C1"/>
    <w:rsid w:val="2BB807BB"/>
    <w:rsid w:val="2BB93C98"/>
    <w:rsid w:val="2BBB64FD"/>
    <w:rsid w:val="2BC01D66"/>
    <w:rsid w:val="2BCE4483"/>
    <w:rsid w:val="2BD15D21"/>
    <w:rsid w:val="2BDB6BA0"/>
    <w:rsid w:val="2BE315B0"/>
    <w:rsid w:val="2BE772F2"/>
    <w:rsid w:val="2C041C52"/>
    <w:rsid w:val="2C071743"/>
    <w:rsid w:val="2C26606D"/>
    <w:rsid w:val="2C2C2F57"/>
    <w:rsid w:val="2C35005E"/>
    <w:rsid w:val="2C3D33B6"/>
    <w:rsid w:val="2C440DBA"/>
    <w:rsid w:val="2C4F3FF2"/>
    <w:rsid w:val="2C583D4C"/>
    <w:rsid w:val="2C624BCB"/>
    <w:rsid w:val="2C640943"/>
    <w:rsid w:val="2C666469"/>
    <w:rsid w:val="2C680433"/>
    <w:rsid w:val="2C70553A"/>
    <w:rsid w:val="2C7A0167"/>
    <w:rsid w:val="2C7C7A3B"/>
    <w:rsid w:val="2C80124B"/>
    <w:rsid w:val="2C8E3C12"/>
    <w:rsid w:val="2C934D84"/>
    <w:rsid w:val="2C954FA0"/>
    <w:rsid w:val="2C970D19"/>
    <w:rsid w:val="2C974875"/>
    <w:rsid w:val="2C9F5E1F"/>
    <w:rsid w:val="2CA84CD4"/>
    <w:rsid w:val="2CB03B88"/>
    <w:rsid w:val="2CB82A3D"/>
    <w:rsid w:val="2CCB451E"/>
    <w:rsid w:val="2CCD473A"/>
    <w:rsid w:val="2CD94E8D"/>
    <w:rsid w:val="2CE101E6"/>
    <w:rsid w:val="2CE14CDC"/>
    <w:rsid w:val="2CE17F35"/>
    <w:rsid w:val="2CE37ABA"/>
    <w:rsid w:val="2CE657FC"/>
    <w:rsid w:val="2CE81574"/>
    <w:rsid w:val="2CED0939"/>
    <w:rsid w:val="2CEE645F"/>
    <w:rsid w:val="2CF0667B"/>
    <w:rsid w:val="2CF41CC7"/>
    <w:rsid w:val="2CF717B7"/>
    <w:rsid w:val="2CFA3055"/>
    <w:rsid w:val="2D03015C"/>
    <w:rsid w:val="2D0F6B01"/>
    <w:rsid w:val="2D104627"/>
    <w:rsid w:val="2D142BC3"/>
    <w:rsid w:val="2D145EC5"/>
    <w:rsid w:val="2D193F10"/>
    <w:rsid w:val="2D1C7470"/>
    <w:rsid w:val="2D2325AC"/>
    <w:rsid w:val="2D285E15"/>
    <w:rsid w:val="2D314CC9"/>
    <w:rsid w:val="2D32459D"/>
    <w:rsid w:val="2D340315"/>
    <w:rsid w:val="2D4349FC"/>
    <w:rsid w:val="2D4367AA"/>
    <w:rsid w:val="2D4D7629"/>
    <w:rsid w:val="2D522E91"/>
    <w:rsid w:val="2D5409B8"/>
    <w:rsid w:val="2D595F6A"/>
    <w:rsid w:val="2D5B1D46"/>
    <w:rsid w:val="2D5C786C"/>
    <w:rsid w:val="2D6055AE"/>
    <w:rsid w:val="2D636E4D"/>
    <w:rsid w:val="2D652BC5"/>
    <w:rsid w:val="2D685354"/>
    <w:rsid w:val="2D6A384C"/>
    <w:rsid w:val="2D6B7AAF"/>
    <w:rsid w:val="2D79041E"/>
    <w:rsid w:val="2D7B4196"/>
    <w:rsid w:val="2D8017AD"/>
    <w:rsid w:val="2D804E45"/>
    <w:rsid w:val="2D8079FF"/>
    <w:rsid w:val="2D811081"/>
    <w:rsid w:val="2D8172D3"/>
    <w:rsid w:val="2D880661"/>
    <w:rsid w:val="2D89574A"/>
    <w:rsid w:val="2D8A6187"/>
    <w:rsid w:val="2D8D7A26"/>
    <w:rsid w:val="2D8E275C"/>
    <w:rsid w:val="2D91641F"/>
    <w:rsid w:val="2D984D48"/>
    <w:rsid w:val="2D9B65E7"/>
    <w:rsid w:val="2DA27975"/>
    <w:rsid w:val="2DA37362"/>
    <w:rsid w:val="2DA52FC1"/>
    <w:rsid w:val="2DA84860"/>
    <w:rsid w:val="2DAA682A"/>
    <w:rsid w:val="2DAC07F4"/>
    <w:rsid w:val="2DAD1E76"/>
    <w:rsid w:val="2DC55411"/>
    <w:rsid w:val="2DC72F38"/>
    <w:rsid w:val="2DC84F02"/>
    <w:rsid w:val="2DC93154"/>
    <w:rsid w:val="2DD1025A"/>
    <w:rsid w:val="2DD41AF8"/>
    <w:rsid w:val="2DDB4C35"/>
    <w:rsid w:val="2DDD09AD"/>
    <w:rsid w:val="2DDD6BFF"/>
    <w:rsid w:val="2DE51610"/>
    <w:rsid w:val="2DE97352"/>
    <w:rsid w:val="2DF33D2D"/>
    <w:rsid w:val="2E0A72C8"/>
    <w:rsid w:val="2E144766"/>
    <w:rsid w:val="2E1F2D74"/>
    <w:rsid w:val="2E262354"/>
    <w:rsid w:val="2E2A1718"/>
    <w:rsid w:val="2E2C36E3"/>
    <w:rsid w:val="2E310CF9"/>
    <w:rsid w:val="2E3D144C"/>
    <w:rsid w:val="2E3E68CE"/>
    <w:rsid w:val="2E3F51C4"/>
    <w:rsid w:val="2E494294"/>
    <w:rsid w:val="2E513149"/>
    <w:rsid w:val="2E5C5D76"/>
    <w:rsid w:val="2E5D1AEE"/>
    <w:rsid w:val="2E5D3835"/>
    <w:rsid w:val="2E5F5866"/>
    <w:rsid w:val="2E652751"/>
    <w:rsid w:val="2E6B420B"/>
    <w:rsid w:val="2E700274"/>
    <w:rsid w:val="2E725599"/>
    <w:rsid w:val="2E756E38"/>
    <w:rsid w:val="2E883A48"/>
    <w:rsid w:val="2E8B21B7"/>
    <w:rsid w:val="2EA43223"/>
    <w:rsid w:val="2EB07E70"/>
    <w:rsid w:val="2EBC05C2"/>
    <w:rsid w:val="2EBC598F"/>
    <w:rsid w:val="2EBD433B"/>
    <w:rsid w:val="2EBE469D"/>
    <w:rsid w:val="2EC61441"/>
    <w:rsid w:val="2EC92CDF"/>
    <w:rsid w:val="2ED27DE6"/>
    <w:rsid w:val="2EDE49DD"/>
    <w:rsid w:val="2EEB08F7"/>
    <w:rsid w:val="2EED4C20"/>
    <w:rsid w:val="2EF22236"/>
    <w:rsid w:val="2EF949D0"/>
    <w:rsid w:val="2EFF2166"/>
    <w:rsid w:val="2F142FCF"/>
    <w:rsid w:val="2F176141"/>
    <w:rsid w:val="2F2B399A"/>
    <w:rsid w:val="2F320885"/>
    <w:rsid w:val="2F3960B7"/>
    <w:rsid w:val="2F3B1E2F"/>
    <w:rsid w:val="2F3C7955"/>
    <w:rsid w:val="2F3E7229"/>
    <w:rsid w:val="2F4A2072"/>
    <w:rsid w:val="2F4C1343"/>
    <w:rsid w:val="2F503401"/>
    <w:rsid w:val="2F527179"/>
    <w:rsid w:val="2F5A7DDB"/>
    <w:rsid w:val="2F601896"/>
    <w:rsid w:val="2F650C5A"/>
    <w:rsid w:val="2F662C24"/>
    <w:rsid w:val="2F6A44C2"/>
    <w:rsid w:val="2F6D7B0F"/>
    <w:rsid w:val="2F7013AD"/>
    <w:rsid w:val="2F713AA3"/>
    <w:rsid w:val="2F734448"/>
    <w:rsid w:val="2F8530AA"/>
    <w:rsid w:val="2F8A246F"/>
    <w:rsid w:val="2F8B04A7"/>
    <w:rsid w:val="2F9C03F4"/>
    <w:rsid w:val="2F9C21A2"/>
    <w:rsid w:val="2FA01C92"/>
    <w:rsid w:val="2FA8139B"/>
    <w:rsid w:val="2FAC6889"/>
    <w:rsid w:val="2FAF1ED5"/>
    <w:rsid w:val="2FBB4D1E"/>
    <w:rsid w:val="2FBE65BC"/>
    <w:rsid w:val="2FE51D9B"/>
    <w:rsid w:val="2FE9188B"/>
    <w:rsid w:val="2FED29FE"/>
    <w:rsid w:val="2FF43D8C"/>
    <w:rsid w:val="2FF901F3"/>
    <w:rsid w:val="30092348"/>
    <w:rsid w:val="301B57BD"/>
    <w:rsid w:val="301D4006"/>
    <w:rsid w:val="301E705B"/>
    <w:rsid w:val="30202DD3"/>
    <w:rsid w:val="3029612C"/>
    <w:rsid w:val="302A1EA4"/>
    <w:rsid w:val="302C79CA"/>
    <w:rsid w:val="303074BA"/>
    <w:rsid w:val="30316D8E"/>
    <w:rsid w:val="30354AD0"/>
    <w:rsid w:val="303643A5"/>
    <w:rsid w:val="304C1E1A"/>
    <w:rsid w:val="304E7940"/>
    <w:rsid w:val="3051685D"/>
    <w:rsid w:val="305331A8"/>
    <w:rsid w:val="30536D05"/>
    <w:rsid w:val="30590093"/>
    <w:rsid w:val="306233EC"/>
    <w:rsid w:val="306727B0"/>
    <w:rsid w:val="306B6744"/>
    <w:rsid w:val="306F78B6"/>
    <w:rsid w:val="3075311F"/>
    <w:rsid w:val="308570DA"/>
    <w:rsid w:val="308B46F0"/>
    <w:rsid w:val="308B70BE"/>
    <w:rsid w:val="308C66BA"/>
    <w:rsid w:val="308E5F8F"/>
    <w:rsid w:val="309335A5"/>
    <w:rsid w:val="30977539"/>
    <w:rsid w:val="309F019C"/>
    <w:rsid w:val="309F44FF"/>
    <w:rsid w:val="30A05CC2"/>
    <w:rsid w:val="30A457B2"/>
    <w:rsid w:val="30A9665E"/>
    <w:rsid w:val="30AB4799"/>
    <w:rsid w:val="30B71989"/>
    <w:rsid w:val="30B874AF"/>
    <w:rsid w:val="30BA3228"/>
    <w:rsid w:val="30C220DC"/>
    <w:rsid w:val="30C61BCC"/>
    <w:rsid w:val="30C96FC7"/>
    <w:rsid w:val="30D065A7"/>
    <w:rsid w:val="30E402A4"/>
    <w:rsid w:val="30E42053"/>
    <w:rsid w:val="30E61159"/>
    <w:rsid w:val="30E738F1"/>
    <w:rsid w:val="30EE4C7F"/>
    <w:rsid w:val="30F57DBC"/>
    <w:rsid w:val="30FA6BB1"/>
    <w:rsid w:val="31085D41"/>
    <w:rsid w:val="310B5831"/>
    <w:rsid w:val="311566B0"/>
    <w:rsid w:val="31181CFC"/>
    <w:rsid w:val="311A1F18"/>
    <w:rsid w:val="31264419"/>
    <w:rsid w:val="312861A6"/>
    <w:rsid w:val="312D1C4B"/>
    <w:rsid w:val="312E32CE"/>
    <w:rsid w:val="31350872"/>
    <w:rsid w:val="31376626"/>
    <w:rsid w:val="3140197F"/>
    <w:rsid w:val="314E571E"/>
    <w:rsid w:val="314F1BC2"/>
    <w:rsid w:val="315C7E3B"/>
    <w:rsid w:val="315F792B"/>
    <w:rsid w:val="316A69FC"/>
    <w:rsid w:val="317653A0"/>
    <w:rsid w:val="31813D45"/>
    <w:rsid w:val="318A49A8"/>
    <w:rsid w:val="318B24CE"/>
    <w:rsid w:val="318B6972"/>
    <w:rsid w:val="318F1FBE"/>
    <w:rsid w:val="318F6462"/>
    <w:rsid w:val="319475D5"/>
    <w:rsid w:val="319F5F79"/>
    <w:rsid w:val="31A17F44"/>
    <w:rsid w:val="31A83080"/>
    <w:rsid w:val="31B00187"/>
    <w:rsid w:val="31B1462B"/>
    <w:rsid w:val="31B934DF"/>
    <w:rsid w:val="31BB7257"/>
    <w:rsid w:val="31BC6B2B"/>
    <w:rsid w:val="31CA1248"/>
    <w:rsid w:val="31DE6AA2"/>
    <w:rsid w:val="31E247E4"/>
    <w:rsid w:val="31E57E30"/>
    <w:rsid w:val="31E670CB"/>
    <w:rsid w:val="31E97C48"/>
    <w:rsid w:val="31EA5447"/>
    <w:rsid w:val="31F6203D"/>
    <w:rsid w:val="31F75DB5"/>
    <w:rsid w:val="31F91B2E"/>
    <w:rsid w:val="31FD1A5A"/>
    <w:rsid w:val="32004C6A"/>
    <w:rsid w:val="32024E86"/>
    <w:rsid w:val="320D55D9"/>
    <w:rsid w:val="32125149"/>
    <w:rsid w:val="32193F7E"/>
    <w:rsid w:val="321B1AA4"/>
    <w:rsid w:val="321C75CA"/>
    <w:rsid w:val="32244DFC"/>
    <w:rsid w:val="322748ED"/>
    <w:rsid w:val="322830C2"/>
    <w:rsid w:val="322A1CE7"/>
    <w:rsid w:val="323112C7"/>
    <w:rsid w:val="323668DE"/>
    <w:rsid w:val="32384404"/>
    <w:rsid w:val="3239017C"/>
    <w:rsid w:val="323E5792"/>
    <w:rsid w:val="32452FC5"/>
    <w:rsid w:val="32470AEB"/>
    <w:rsid w:val="32472899"/>
    <w:rsid w:val="32476D3D"/>
    <w:rsid w:val="324A0061"/>
    <w:rsid w:val="325154C6"/>
    <w:rsid w:val="32543208"/>
    <w:rsid w:val="325E7BE3"/>
    <w:rsid w:val="325F5873"/>
    <w:rsid w:val="326C14FE"/>
    <w:rsid w:val="32794A1C"/>
    <w:rsid w:val="328238D1"/>
    <w:rsid w:val="328C0BF4"/>
    <w:rsid w:val="32A73338"/>
    <w:rsid w:val="32BD0DAD"/>
    <w:rsid w:val="32C043F9"/>
    <w:rsid w:val="32CC0FF0"/>
    <w:rsid w:val="32CE4D68"/>
    <w:rsid w:val="32D14858"/>
    <w:rsid w:val="32D502ED"/>
    <w:rsid w:val="32DA54BB"/>
    <w:rsid w:val="32E4458C"/>
    <w:rsid w:val="32E97DF4"/>
    <w:rsid w:val="32FA6BE3"/>
    <w:rsid w:val="33024A12"/>
    <w:rsid w:val="330B1B18"/>
    <w:rsid w:val="33174961"/>
    <w:rsid w:val="331F3816"/>
    <w:rsid w:val="33244988"/>
    <w:rsid w:val="332930F1"/>
    <w:rsid w:val="332B5D17"/>
    <w:rsid w:val="333024E1"/>
    <w:rsid w:val="3330332D"/>
    <w:rsid w:val="333472C1"/>
    <w:rsid w:val="3343212F"/>
    <w:rsid w:val="3344502A"/>
    <w:rsid w:val="33482D6D"/>
    <w:rsid w:val="33527747"/>
    <w:rsid w:val="335D7E9A"/>
    <w:rsid w:val="335E60EC"/>
    <w:rsid w:val="336F654B"/>
    <w:rsid w:val="33835B53"/>
    <w:rsid w:val="338F44F8"/>
    <w:rsid w:val="3390201E"/>
    <w:rsid w:val="339F04B3"/>
    <w:rsid w:val="33A8380B"/>
    <w:rsid w:val="33AB32FB"/>
    <w:rsid w:val="33AD7074"/>
    <w:rsid w:val="33B25639"/>
    <w:rsid w:val="33B45D0C"/>
    <w:rsid w:val="33C1667B"/>
    <w:rsid w:val="33C30645"/>
    <w:rsid w:val="33C61EE3"/>
    <w:rsid w:val="33C817B8"/>
    <w:rsid w:val="33CA19D4"/>
    <w:rsid w:val="33CC574C"/>
    <w:rsid w:val="33EA7980"/>
    <w:rsid w:val="33F00D0E"/>
    <w:rsid w:val="33F7209D"/>
    <w:rsid w:val="33F95E15"/>
    <w:rsid w:val="34060344"/>
    <w:rsid w:val="340824FC"/>
    <w:rsid w:val="340842AA"/>
    <w:rsid w:val="34086058"/>
    <w:rsid w:val="340B78F6"/>
    <w:rsid w:val="34164C19"/>
    <w:rsid w:val="3422536C"/>
    <w:rsid w:val="342967EE"/>
    <w:rsid w:val="34337579"/>
    <w:rsid w:val="344277BC"/>
    <w:rsid w:val="3445105A"/>
    <w:rsid w:val="34473024"/>
    <w:rsid w:val="344C4197"/>
    <w:rsid w:val="34594B05"/>
    <w:rsid w:val="346040E6"/>
    <w:rsid w:val="346516FC"/>
    <w:rsid w:val="34655258"/>
    <w:rsid w:val="346D4150"/>
    <w:rsid w:val="347B2CCE"/>
    <w:rsid w:val="34806536"/>
    <w:rsid w:val="34871673"/>
    <w:rsid w:val="348C0A37"/>
    <w:rsid w:val="348C4EDB"/>
    <w:rsid w:val="349D2C44"/>
    <w:rsid w:val="349D49F2"/>
    <w:rsid w:val="349F69BC"/>
    <w:rsid w:val="34AC2E87"/>
    <w:rsid w:val="34B61F58"/>
    <w:rsid w:val="34B8182C"/>
    <w:rsid w:val="34C06933"/>
    <w:rsid w:val="34C44675"/>
    <w:rsid w:val="34C53F49"/>
    <w:rsid w:val="34C75F13"/>
    <w:rsid w:val="34CA77B1"/>
    <w:rsid w:val="34CB5A03"/>
    <w:rsid w:val="34D16D92"/>
    <w:rsid w:val="34D348B8"/>
    <w:rsid w:val="34D5735F"/>
    <w:rsid w:val="34E73EBF"/>
    <w:rsid w:val="34F30AB6"/>
    <w:rsid w:val="34F5482E"/>
    <w:rsid w:val="34F860CC"/>
    <w:rsid w:val="34FA62E8"/>
    <w:rsid w:val="35004F81"/>
    <w:rsid w:val="35064C8D"/>
    <w:rsid w:val="350E3B42"/>
    <w:rsid w:val="35101668"/>
    <w:rsid w:val="35103416"/>
    <w:rsid w:val="351D1FD7"/>
    <w:rsid w:val="35213538"/>
    <w:rsid w:val="35246EC1"/>
    <w:rsid w:val="35262C3A"/>
    <w:rsid w:val="352D7DB0"/>
    <w:rsid w:val="352E5F92"/>
    <w:rsid w:val="353115DE"/>
    <w:rsid w:val="353A4937"/>
    <w:rsid w:val="353C06AF"/>
    <w:rsid w:val="353F5AA9"/>
    <w:rsid w:val="354B4447"/>
    <w:rsid w:val="354D6418"/>
    <w:rsid w:val="35597348"/>
    <w:rsid w:val="356674DA"/>
    <w:rsid w:val="35675000"/>
    <w:rsid w:val="35690D78"/>
    <w:rsid w:val="356B689E"/>
    <w:rsid w:val="356C2617"/>
    <w:rsid w:val="3575771D"/>
    <w:rsid w:val="357D4824"/>
    <w:rsid w:val="359114A3"/>
    <w:rsid w:val="359E6C74"/>
    <w:rsid w:val="35A149B6"/>
    <w:rsid w:val="35A20EE3"/>
    <w:rsid w:val="35A65B28"/>
    <w:rsid w:val="35A95619"/>
    <w:rsid w:val="35AB1391"/>
    <w:rsid w:val="35AB313F"/>
    <w:rsid w:val="35AE2C2F"/>
    <w:rsid w:val="35B244CD"/>
    <w:rsid w:val="35B9585C"/>
    <w:rsid w:val="35C83CF1"/>
    <w:rsid w:val="35C91817"/>
    <w:rsid w:val="35CB1A33"/>
    <w:rsid w:val="35CF32D1"/>
    <w:rsid w:val="35D24B6F"/>
    <w:rsid w:val="35D501BC"/>
    <w:rsid w:val="35DA3A24"/>
    <w:rsid w:val="35E825E5"/>
    <w:rsid w:val="35EF5721"/>
    <w:rsid w:val="35F03248"/>
    <w:rsid w:val="35F20D6E"/>
    <w:rsid w:val="35F5260C"/>
    <w:rsid w:val="35FF348B"/>
    <w:rsid w:val="3608233F"/>
    <w:rsid w:val="360B29CC"/>
    <w:rsid w:val="360C5B09"/>
    <w:rsid w:val="360D204B"/>
    <w:rsid w:val="36146F36"/>
    <w:rsid w:val="361B02C4"/>
    <w:rsid w:val="3627310D"/>
    <w:rsid w:val="363475D8"/>
    <w:rsid w:val="36401AD9"/>
    <w:rsid w:val="364A6DFC"/>
    <w:rsid w:val="364C2B74"/>
    <w:rsid w:val="364F61C0"/>
    <w:rsid w:val="365732C7"/>
    <w:rsid w:val="365C268B"/>
    <w:rsid w:val="365E28A7"/>
    <w:rsid w:val="36657792"/>
    <w:rsid w:val="36687282"/>
    <w:rsid w:val="366A2FFA"/>
    <w:rsid w:val="36723C5D"/>
    <w:rsid w:val="3676374D"/>
    <w:rsid w:val="368A71F8"/>
    <w:rsid w:val="369342FF"/>
    <w:rsid w:val="369B7657"/>
    <w:rsid w:val="369D33CF"/>
    <w:rsid w:val="369D517D"/>
    <w:rsid w:val="36A209E6"/>
    <w:rsid w:val="36AC3612"/>
    <w:rsid w:val="36AC53C0"/>
    <w:rsid w:val="36BD75CE"/>
    <w:rsid w:val="36C4095C"/>
    <w:rsid w:val="36C50230"/>
    <w:rsid w:val="36C97D20"/>
    <w:rsid w:val="36CF10AF"/>
    <w:rsid w:val="36D466C5"/>
    <w:rsid w:val="36D6068F"/>
    <w:rsid w:val="36D6243D"/>
    <w:rsid w:val="36DB5CA6"/>
    <w:rsid w:val="36E27034"/>
    <w:rsid w:val="36E42DAC"/>
    <w:rsid w:val="36E92171"/>
    <w:rsid w:val="36EA5EE9"/>
    <w:rsid w:val="36EE59D9"/>
    <w:rsid w:val="36FA25D0"/>
    <w:rsid w:val="36FF1994"/>
    <w:rsid w:val="37023232"/>
    <w:rsid w:val="37070849"/>
    <w:rsid w:val="37133692"/>
    <w:rsid w:val="371511B8"/>
    <w:rsid w:val="371A057C"/>
    <w:rsid w:val="371B60A2"/>
    <w:rsid w:val="3720190B"/>
    <w:rsid w:val="372431A9"/>
    <w:rsid w:val="37307DA0"/>
    <w:rsid w:val="3733316B"/>
    <w:rsid w:val="37353608"/>
    <w:rsid w:val="373A0C1E"/>
    <w:rsid w:val="373B6744"/>
    <w:rsid w:val="373F7FE3"/>
    <w:rsid w:val="374675C3"/>
    <w:rsid w:val="374D6BA3"/>
    <w:rsid w:val="37500442"/>
    <w:rsid w:val="3750290C"/>
    <w:rsid w:val="37555A58"/>
    <w:rsid w:val="37593067"/>
    <w:rsid w:val="375F68D7"/>
    <w:rsid w:val="37620175"/>
    <w:rsid w:val="37621F23"/>
    <w:rsid w:val="376F3581"/>
    <w:rsid w:val="377C4D93"/>
    <w:rsid w:val="3787198A"/>
    <w:rsid w:val="378B0211"/>
    <w:rsid w:val="379522F8"/>
    <w:rsid w:val="379A16BD"/>
    <w:rsid w:val="379C5435"/>
    <w:rsid w:val="379C71E3"/>
    <w:rsid w:val="37AB70F8"/>
    <w:rsid w:val="37AC319E"/>
    <w:rsid w:val="37B81AC6"/>
    <w:rsid w:val="37BE184F"/>
    <w:rsid w:val="37D72911"/>
    <w:rsid w:val="37D746BF"/>
    <w:rsid w:val="37DF3574"/>
    <w:rsid w:val="37E56149"/>
    <w:rsid w:val="37E56DDC"/>
    <w:rsid w:val="37EB016A"/>
    <w:rsid w:val="37ED1E46"/>
    <w:rsid w:val="380B25BB"/>
    <w:rsid w:val="381A45AC"/>
    <w:rsid w:val="381C6576"/>
    <w:rsid w:val="3828316D"/>
    <w:rsid w:val="382877F5"/>
    <w:rsid w:val="382F62A9"/>
    <w:rsid w:val="38376F0C"/>
    <w:rsid w:val="383C09C6"/>
    <w:rsid w:val="38406F5B"/>
    <w:rsid w:val="384A30E3"/>
    <w:rsid w:val="38561A88"/>
    <w:rsid w:val="385C6972"/>
    <w:rsid w:val="38606463"/>
    <w:rsid w:val="386341A5"/>
    <w:rsid w:val="38651CCB"/>
    <w:rsid w:val="3870241E"/>
    <w:rsid w:val="38741F0E"/>
    <w:rsid w:val="38767A34"/>
    <w:rsid w:val="388434EC"/>
    <w:rsid w:val="38864FA2"/>
    <w:rsid w:val="388E7474"/>
    <w:rsid w:val="388F6D48"/>
    <w:rsid w:val="389E23E6"/>
    <w:rsid w:val="389F48CD"/>
    <w:rsid w:val="38A30A45"/>
    <w:rsid w:val="38A547BD"/>
    <w:rsid w:val="38A731BC"/>
    <w:rsid w:val="38A74091"/>
    <w:rsid w:val="38BD5663"/>
    <w:rsid w:val="38C2711D"/>
    <w:rsid w:val="38C509BB"/>
    <w:rsid w:val="38D26C34"/>
    <w:rsid w:val="38D64977"/>
    <w:rsid w:val="38EA0422"/>
    <w:rsid w:val="38ED55D8"/>
    <w:rsid w:val="38F512A1"/>
    <w:rsid w:val="38F82B3F"/>
    <w:rsid w:val="38F924F1"/>
    <w:rsid w:val="38FD1F03"/>
    <w:rsid w:val="39055318"/>
    <w:rsid w:val="3905700A"/>
    <w:rsid w:val="39241B86"/>
    <w:rsid w:val="39262192"/>
    <w:rsid w:val="392C27E9"/>
    <w:rsid w:val="39310A01"/>
    <w:rsid w:val="39400042"/>
    <w:rsid w:val="39406294"/>
    <w:rsid w:val="39445625"/>
    <w:rsid w:val="39447B32"/>
    <w:rsid w:val="394B745F"/>
    <w:rsid w:val="39534219"/>
    <w:rsid w:val="395F496C"/>
    <w:rsid w:val="395F671A"/>
    <w:rsid w:val="39603861"/>
    <w:rsid w:val="396106E4"/>
    <w:rsid w:val="39640161"/>
    <w:rsid w:val="39677CC5"/>
    <w:rsid w:val="39697599"/>
    <w:rsid w:val="396C7089"/>
    <w:rsid w:val="3971469F"/>
    <w:rsid w:val="397F6DBC"/>
    <w:rsid w:val="3986639D"/>
    <w:rsid w:val="39893797"/>
    <w:rsid w:val="398937F5"/>
    <w:rsid w:val="398D772B"/>
    <w:rsid w:val="398F7560"/>
    <w:rsid w:val="39935381"/>
    <w:rsid w:val="399A1E48"/>
    <w:rsid w:val="399F2FBB"/>
    <w:rsid w:val="39A6259B"/>
    <w:rsid w:val="39A71E82"/>
    <w:rsid w:val="39B0341A"/>
    <w:rsid w:val="39C649EB"/>
    <w:rsid w:val="39CD3FCC"/>
    <w:rsid w:val="39CE38A0"/>
    <w:rsid w:val="39D13674"/>
    <w:rsid w:val="39D8471E"/>
    <w:rsid w:val="39D864CC"/>
    <w:rsid w:val="39DA3FF3"/>
    <w:rsid w:val="39DD3AE3"/>
    <w:rsid w:val="39DF4537"/>
    <w:rsid w:val="39DF785B"/>
    <w:rsid w:val="39EB6200"/>
    <w:rsid w:val="39F03816"/>
    <w:rsid w:val="39FA4695"/>
    <w:rsid w:val="3A0A0D7C"/>
    <w:rsid w:val="3A1E0383"/>
    <w:rsid w:val="3A1F234D"/>
    <w:rsid w:val="3A283C93"/>
    <w:rsid w:val="3A2B512B"/>
    <w:rsid w:val="3A323E2F"/>
    <w:rsid w:val="3A392571"/>
    <w:rsid w:val="3A4361F4"/>
    <w:rsid w:val="3A437DEA"/>
    <w:rsid w:val="3A4A1178"/>
    <w:rsid w:val="3A526B67"/>
    <w:rsid w:val="3A563FC1"/>
    <w:rsid w:val="3A59760D"/>
    <w:rsid w:val="3A5F274A"/>
    <w:rsid w:val="3A614714"/>
    <w:rsid w:val="3A6A181A"/>
    <w:rsid w:val="3A704957"/>
    <w:rsid w:val="3A744447"/>
    <w:rsid w:val="3A8328DC"/>
    <w:rsid w:val="3A887EF3"/>
    <w:rsid w:val="3A924A2F"/>
    <w:rsid w:val="3A9C74FA"/>
    <w:rsid w:val="3AA34D2C"/>
    <w:rsid w:val="3AAF1923"/>
    <w:rsid w:val="3AC32CD9"/>
    <w:rsid w:val="3AC86541"/>
    <w:rsid w:val="3AC97905"/>
    <w:rsid w:val="3AD60C5E"/>
    <w:rsid w:val="3ADB44C6"/>
    <w:rsid w:val="3AE07D2F"/>
    <w:rsid w:val="3AED7D56"/>
    <w:rsid w:val="3AEE244B"/>
    <w:rsid w:val="3AFA0DF0"/>
    <w:rsid w:val="3AFE1F63"/>
    <w:rsid w:val="3B007A89"/>
    <w:rsid w:val="3B0A0908"/>
    <w:rsid w:val="3B0C4680"/>
    <w:rsid w:val="3B0F4A75"/>
    <w:rsid w:val="3B0F7485"/>
    <w:rsid w:val="3B131EB2"/>
    <w:rsid w:val="3B1671FF"/>
    <w:rsid w:val="3B200BDA"/>
    <w:rsid w:val="3B2111B9"/>
    <w:rsid w:val="3B247C1B"/>
    <w:rsid w:val="3B280A40"/>
    <w:rsid w:val="3B295216"/>
    <w:rsid w:val="3B305CCE"/>
    <w:rsid w:val="3B392F9B"/>
    <w:rsid w:val="3B3D0CDD"/>
    <w:rsid w:val="3B3F4A55"/>
    <w:rsid w:val="3B3F4ABE"/>
    <w:rsid w:val="3B4C7172"/>
    <w:rsid w:val="3B585B17"/>
    <w:rsid w:val="3B6224F2"/>
    <w:rsid w:val="3B626996"/>
    <w:rsid w:val="3B697D24"/>
    <w:rsid w:val="3B72650D"/>
    <w:rsid w:val="3B762441"/>
    <w:rsid w:val="3B765F9D"/>
    <w:rsid w:val="3B7A783B"/>
    <w:rsid w:val="3B7F4E52"/>
    <w:rsid w:val="3B854F3F"/>
    <w:rsid w:val="3B974891"/>
    <w:rsid w:val="3B985F13"/>
    <w:rsid w:val="3B9D177C"/>
    <w:rsid w:val="3BA24FE4"/>
    <w:rsid w:val="3BA7084C"/>
    <w:rsid w:val="3BAC19BF"/>
    <w:rsid w:val="3BB52F69"/>
    <w:rsid w:val="3BBB1358"/>
    <w:rsid w:val="3BBF5B96"/>
    <w:rsid w:val="3BC25DE6"/>
    <w:rsid w:val="3BCC3E0F"/>
    <w:rsid w:val="3BCE7B87"/>
    <w:rsid w:val="3BD17677"/>
    <w:rsid w:val="3BD31641"/>
    <w:rsid w:val="3BD52D4A"/>
    <w:rsid w:val="3BDC6748"/>
    <w:rsid w:val="3BDF22E8"/>
    <w:rsid w:val="3BE178BA"/>
    <w:rsid w:val="3BE473AB"/>
    <w:rsid w:val="3BEE1FD7"/>
    <w:rsid w:val="3BF35840"/>
    <w:rsid w:val="3BF5780A"/>
    <w:rsid w:val="3BFC64A2"/>
    <w:rsid w:val="3C067321"/>
    <w:rsid w:val="3C0B0DDB"/>
    <w:rsid w:val="3C132CEC"/>
    <w:rsid w:val="3C1A7270"/>
    <w:rsid w:val="3C2B2403"/>
    <w:rsid w:val="3C2E0626"/>
    <w:rsid w:val="3C3814A4"/>
    <w:rsid w:val="3C3F2833"/>
    <w:rsid w:val="3C4A2F0A"/>
    <w:rsid w:val="3C4D13F4"/>
    <w:rsid w:val="3C565E2F"/>
    <w:rsid w:val="3C5C1637"/>
    <w:rsid w:val="3C5E53AF"/>
    <w:rsid w:val="3C5F4C83"/>
    <w:rsid w:val="3C6127A9"/>
    <w:rsid w:val="3C642299"/>
    <w:rsid w:val="3C6E4EC6"/>
    <w:rsid w:val="3C77021F"/>
    <w:rsid w:val="3C797AF3"/>
    <w:rsid w:val="3C7A386B"/>
    <w:rsid w:val="3C7D289B"/>
    <w:rsid w:val="3C7D2DD0"/>
    <w:rsid w:val="3C7E15AD"/>
    <w:rsid w:val="3C7F0E81"/>
    <w:rsid w:val="3C81109D"/>
    <w:rsid w:val="3C8A0201"/>
    <w:rsid w:val="3C9012E0"/>
    <w:rsid w:val="3C9568F7"/>
    <w:rsid w:val="3C9C66C4"/>
    <w:rsid w:val="3CA52FDE"/>
    <w:rsid w:val="3CA54D8C"/>
    <w:rsid w:val="3CA83D9D"/>
    <w:rsid w:val="3CAC611A"/>
    <w:rsid w:val="3CAF79B9"/>
    <w:rsid w:val="3CB7061B"/>
    <w:rsid w:val="3CBC528F"/>
    <w:rsid w:val="3CC01BC6"/>
    <w:rsid w:val="3CC26F4F"/>
    <w:rsid w:val="3CCA47F2"/>
    <w:rsid w:val="3CD2382E"/>
    <w:rsid w:val="3CD877BF"/>
    <w:rsid w:val="3CE21B3C"/>
    <w:rsid w:val="3CEB6517"/>
    <w:rsid w:val="3CF61143"/>
    <w:rsid w:val="3CF950D8"/>
    <w:rsid w:val="3D08531B"/>
    <w:rsid w:val="3D127F47"/>
    <w:rsid w:val="3D145A6E"/>
    <w:rsid w:val="3D1B504E"/>
    <w:rsid w:val="3D20796B"/>
    <w:rsid w:val="3D2832C7"/>
    <w:rsid w:val="3D346110"/>
    <w:rsid w:val="3D361E88"/>
    <w:rsid w:val="3D385C00"/>
    <w:rsid w:val="3D3879AE"/>
    <w:rsid w:val="3D3B2FFA"/>
    <w:rsid w:val="3D404EC6"/>
    <w:rsid w:val="3D406863"/>
    <w:rsid w:val="3D424389"/>
    <w:rsid w:val="3D4520CB"/>
    <w:rsid w:val="3D4A5933"/>
    <w:rsid w:val="3D4A76E1"/>
    <w:rsid w:val="3D4E0F7F"/>
    <w:rsid w:val="3D5642D8"/>
    <w:rsid w:val="3D595B76"/>
    <w:rsid w:val="3D5A3DC8"/>
    <w:rsid w:val="3D5E4F3B"/>
    <w:rsid w:val="3D5F13DF"/>
    <w:rsid w:val="3D646C9A"/>
    <w:rsid w:val="3D65451B"/>
    <w:rsid w:val="3D7309E6"/>
    <w:rsid w:val="3D766728"/>
    <w:rsid w:val="3D7D7AB7"/>
    <w:rsid w:val="3D8C1AA8"/>
    <w:rsid w:val="3D9077EA"/>
    <w:rsid w:val="3D98044D"/>
    <w:rsid w:val="3DA45043"/>
    <w:rsid w:val="3DA52B6A"/>
    <w:rsid w:val="3DA53531"/>
    <w:rsid w:val="3DA667C1"/>
    <w:rsid w:val="3DA908AC"/>
    <w:rsid w:val="3DAF6437"/>
    <w:rsid w:val="3DB334D8"/>
    <w:rsid w:val="3DB80AEF"/>
    <w:rsid w:val="3DBD17B8"/>
    <w:rsid w:val="3DC94AAA"/>
    <w:rsid w:val="3DCB6A74"/>
    <w:rsid w:val="3DD0408A"/>
    <w:rsid w:val="3DDB0CD9"/>
    <w:rsid w:val="3DDF607B"/>
    <w:rsid w:val="3DE55F43"/>
    <w:rsid w:val="3DEB4A20"/>
    <w:rsid w:val="3DEE62BF"/>
    <w:rsid w:val="3DF53AF1"/>
    <w:rsid w:val="3DFB09DB"/>
    <w:rsid w:val="3DFC6C2D"/>
    <w:rsid w:val="3DFD4754"/>
    <w:rsid w:val="3E000846"/>
    <w:rsid w:val="3E027FBC"/>
    <w:rsid w:val="3E155F41"/>
    <w:rsid w:val="3E18333B"/>
    <w:rsid w:val="3E1877DF"/>
    <w:rsid w:val="3E1F0B6E"/>
    <w:rsid w:val="3E20258C"/>
    <w:rsid w:val="3E257C65"/>
    <w:rsid w:val="3E3363C7"/>
    <w:rsid w:val="3E3C527C"/>
    <w:rsid w:val="3E506F79"/>
    <w:rsid w:val="3E52684D"/>
    <w:rsid w:val="3E530817"/>
    <w:rsid w:val="3E5D51F2"/>
    <w:rsid w:val="3E622809"/>
    <w:rsid w:val="3E6B1FF2"/>
    <w:rsid w:val="3E6F38A3"/>
    <w:rsid w:val="3E742C68"/>
    <w:rsid w:val="3E7B314F"/>
    <w:rsid w:val="3E7C38CA"/>
    <w:rsid w:val="3E846C23"/>
    <w:rsid w:val="3E890A18"/>
    <w:rsid w:val="3E894239"/>
    <w:rsid w:val="3E8B6203"/>
    <w:rsid w:val="3E8D5AD7"/>
    <w:rsid w:val="3E921340"/>
    <w:rsid w:val="3E927592"/>
    <w:rsid w:val="3EA370A9"/>
    <w:rsid w:val="3EB07A18"/>
    <w:rsid w:val="3EBA1941"/>
    <w:rsid w:val="3EBA2645"/>
    <w:rsid w:val="3EBE3EE3"/>
    <w:rsid w:val="3EC6723B"/>
    <w:rsid w:val="3EC82FB3"/>
    <w:rsid w:val="3ED100BA"/>
    <w:rsid w:val="3ED5122D"/>
    <w:rsid w:val="3ED53549"/>
    <w:rsid w:val="3ED55C68"/>
    <w:rsid w:val="3ED6747E"/>
    <w:rsid w:val="3ED731F7"/>
    <w:rsid w:val="3ED74FA5"/>
    <w:rsid w:val="3EDB2CE7"/>
    <w:rsid w:val="3EDE4585"/>
    <w:rsid w:val="3EEA4CD8"/>
    <w:rsid w:val="3EEF22EE"/>
    <w:rsid w:val="3EF1250A"/>
    <w:rsid w:val="3EF47905"/>
    <w:rsid w:val="3EFE0783"/>
    <w:rsid w:val="3F0D09C6"/>
    <w:rsid w:val="3F1227AC"/>
    <w:rsid w:val="3F1B1335"/>
    <w:rsid w:val="3F204B9E"/>
    <w:rsid w:val="3F20694C"/>
    <w:rsid w:val="3F261A88"/>
    <w:rsid w:val="3F285800"/>
    <w:rsid w:val="3F3441A5"/>
    <w:rsid w:val="3F3E5024"/>
    <w:rsid w:val="3F487C50"/>
    <w:rsid w:val="3F4A39C9"/>
    <w:rsid w:val="3F4C7741"/>
    <w:rsid w:val="3F536D21"/>
    <w:rsid w:val="3F566811"/>
    <w:rsid w:val="3F5B0647"/>
    <w:rsid w:val="3F60143E"/>
    <w:rsid w:val="3F6727CC"/>
    <w:rsid w:val="3F6F342F"/>
    <w:rsid w:val="3F6F78D3"/>
    <w:rsid w:val="3F731171"/>
    <w:rsid w:val="3F7A121F"/>
    <w:rsid w:val="3F836EDA"/>
    <w:rsid w:val="3F8F3AD1"/>
    <w:rsid w:val="3F93711E"/>
    <w:rsid w:val="3F9A4950"/>
    <w:rsid w:val="3FA01B56"/>
    <w:rsid w:val="3FA07A8C"/>
    <w:rsid w:val="3FB452E6"/>
    <w:rsid w:val="3FB83028"/>
    <w:rsid w:val="3FC03C8B"/>
    <w:rsid w:val="3FC45529"/>
    <w:rsid w:val="3FC76DC7"/>
    <w:rsid w:val="3FD85478"/>
    <w:rsid w:val="3FE43E1D"/>
    <w:rsid w:val="3FE536F1"/>
    <w:rsid w:val="3FE756BB"/>
    <w:rsid w:val="3FE91433"/>
    <w:rsid w:val="3FEA0D08"/>
    <w:rsid w:val="3FEE25A6"/>
    <w:rsid w:val="3FF658FE"/>
    <w:rsid w:val="3FFB2F15"/>
    <w:rsid w:val="3FFF47B3"/>
    <w:rsid w:val="400973E0"/>
    <w:rsid w:val="400E0E9A"/>
    <w:rsid w:val="400E2C48"/>
    <w:rsid w:val="400E5D55"/>
    <w:rsid w:val="40104C12"/>
    <w:rsid w:val="40167D4F"/>
    <w:rsid w:val="401A339B"/>
    <w:rsid w:val="40251D40"/>
    <w:rsid w:val="402B3F4E"/>
    <w:rsid w:val="402E32EA"/>
    <w:rsid w:val="40330901"/>
    <w:rsid w:val="403D352D"/>
    <w:rsid w:val="403F1053"/>
    <w:rsid w:val="40464190"/>
    <w:rsid w:val="404843AC"/>
    <w:rsid w:val="405A7C3B"/>
    <w:rsid w:val="405F5252"/>
    <w:rsid w:val="40642868"/>
    <w:rsid w:val="40644F5E"/>
    <w:rsid w:val="40692574"/>
    <w:rsid w:val="406B3BF6"/>
    <w:rsid w:val="408056BB"/>
    <w:rsid w:val="408A49C4"/>
    <w:rsid w:val="408B24EB"/>
    <w:rsid w:val="408E3D89"/>
    <w:rsid w:val="408E5B37"/>
    <w:rsid w:val="40953369"/>
    <w:rsid w:val="409969B6"/>
    <w:rsid w:val="409A272E"/>
    <w:rsid w:val="409E3FCC"/>
    <w:rsid w:val="40A35A86"/>
    <w:rsid w:val="40BB2DD0"/>
    <w:rsid w:val="40BF2194"/>
    <w:rsid w:val="40CA3013"/>
    <w:rsid w:val="40CF1174"/>
    <w:rsid w:val="40D07EFD"/>
    <w:rsid w:val="40D914A8"/>
    <w:rsid w:val="40DE086C"/>
    <w:rsid w:val="40E045E4"/>
    <w:rsid w:val="40F41E3E"/>
    <w:rsid w:val="40FE4A6B"/>
    <w:rsid w:val="41067DC3"/>
    <w:rsid w:val="41076015"/>
    <w:rsid w:val="410F0A26"/>
    <w:rsid w:val="410F6C78"/>
    <w:rsid w:val="411C75E7"/>
    <w:rsid w:val="411E6EBB"/>
    <w:rsid w:val="41232723"/>
    <w:rsid w:val="4125649B"/>
    <w:rsid w:val="412C782A"/>
    <w:rsid w:val="41306BEE"/>
    <w:rsid w:val="413A68E2"/>
    <w:rsid w:val="413E755D"/>
    <w:rsid w:val="414C1C7A"/>
    <w:rsid w:val="41546D80"/>
    <w:rsid w:val="41594397"/>
    <w:rsid w:val="415C79E3"/>
    <w:rsid w:val="415E7BFF"/>
    <w:rsid w:val="4162149D"/>
    <w:rsid w:val="41650F8E"/>
    <w:rsid w:val="416845DA"/>
    <w:rsid w:val="416F1491"/>
    <w:rsid w:val="4171348E"/>
    <w:rsid w:val="41735459"/>
    <w:rsid w:val="41760AA5"/>
    <w:rsid w:val="417D0085"/>
    <w:rsid w:val="417F52D9"/>
    <w:rsid w:val="418C651A"/>
    <w:rsid w:val="418E7C8B"/>
    <w:rsid w:val="41913B31"/>
    <w:rsid w:val="4194717D"/>
    <w:rsid w:val="419B49AF"/>
    <w:rsid w:val="419D0727"/>
    <w:rsid w:val="41AC4A55"/>
    <w:rsid w:val="41B63597"/>
    <w:rsid w:val="41BD0482"/>
    <w:rsid w:val="41BE41FA"/>
    <w:rsid w:val="41C21F3C"/>
    <w:rsid w:val="41C23CEA"/>
    <w:rsid w:val="41C55588"/>
    <w:rsid w:val="41CC6917"/>
    <w:rsid w:val="41CE08E1"/>
    <w:rsid w:val="41CE1C4B"/>
    <w:rsid w:val="41D8350E"/>
    <w:rsid w:val="41DA54D8"/>
    <w:rsid w:val="41E2613A"/>
    <w:rsid w:val="41E974C9"/>
    <w:rsid w:val="41F36599"/>
    <w:rsid w:val="41F540C0"/>
    <w:rsid w:val="41FF4F3E"/>
    <w:rsid w:val="42100EF9"/>
    <w:rsid w:val="4214206C"/>
    <w:rsid w:val="42186000"/>
    <w:rsid w:val="421D0A58"/>
    <w:rsid w:val="421D510F"/>
    <w:rsid w:val="422229DB"/>
    <w:rsid w:val="42224789"/>
    <w:rsid w:val="42224F20"/>
    <w:rsid w:val="42240501"/>
    <w:rsid w:val="42246753"/>
    <w:rsid w:val="423009B4"/>
    <w:rsid w:val="423170C2"/>
    <w:rsid w:val="423821FE"/>
    <w:rsid w:val="423A7D24"/>
    <w:rsid w:val="423D5A66"/>
    <w:rsid w:val="425A6618"/>
    <w:rsid w:val="425B7C9B"/>
    <w:rsid w:val="4269685C"/>
    <w:rsid w:val="427D40B5"/>
    <w:rsid w:val="42892A5A"/>
    <w:rsid w:val="429C52B9"/>
    <w:rsid w:val="42A930FC"/>
    <w:rsid w:val="42B75819"/>
    <w:rsid w:val="42B94A01"/>
    <w:rsid w:val="42BE0955"/>
    <w:rsid w:val="42BE70B6"/>
    <w:rsid w:val="42C10446"/>
    <w:rsid w:val="42C341BE"/>
    <w:rsid w:val="42C6780A"/>
    <w:rsid w:val="42C83582"/>
    <w:rsid w:val="42D27F5D"/>
    <w:rsid w:val="42D53EF1"/>
    <w:rsid w:val="42DC527F"/>
    <w:rsid w:val="42E163F2"/>
    <w:rsid w:val="42E3660E"/>
    <w:rsid w:val="42E44134"/>
    <w:rsid w:val="42E61C5A"/>
    <w:rsid w:val="42F00D2B"/>
    <w:rsid w:val="42F02AD9"/>
    <w:rsid w:val="42F500EF"/>
    <w:rsid w:val="42F9198D"/>
    <w:rsid w:val="43000F6E"/>
    <w:rsid w:val="43065E58"/>
    <w:rsid w:val="43104F29"/>
    <w:rsid w:val="43195B8C"/>
    <w:rsid w:val="431A1904"/>
    <w:rsid w:val="431C38CE"/>
    <w:rsid w:val="431E0B52"/>
    <w:rsid w:val="43282273"/>
    <w:rsid w:val="432B3B11"/>
    <w:rsid w:val="432F3601"/>
    <w:rsid w:val="432F53AF"/>
    <w:rsid w:val="433469DC"/>
    <w:rsid w:val="433C7ACC"/>
    <w:rsid w:val="43430E5B"/>
    <w:rsid w:val="434540EF"/>
    <w:rsid w:val="434626F9"/>
    <w:rsid w:val="43470FC7"/>
    <w:rsid w:val="434E7CF8"/>
    <w:rsid w:val="43543068"/>
    <w:rsid w:val="435968D0"/>
    <w:rsid w:val="435B43F6"/>
    <w:rsid w:val="435E5C94"/>
    <w:rsid w:val="43607C5E"/>
    <w:rsid w:val="436332AB"/>
    <w:rsid w:val="43686B13"/>
    <w:rsid w:val="437E00E5"/>
    <w:rsid w:val="438374A9"/>
    <w:rsid w:val="43860D47"/>
    <w:rsid w:val="43863E28"/>
    <w:rsid w:val="439D4A0F"/>
    <w:rsid w:val="439D67BD"/>
    <w:rsid w:val="43A044FF"/>
    <w:rsid w:val="43AC4C52"/>
    <w:rsid w:val="43AF64F0"/>
    <w:rsid w:val="43BB4E95"/>
    <w:rsid w:val="43BC29BB"/>
    <w:rsid w:val="43BE6733"/>
    <w:rsid w:val="43CE2E1A"/>
    <w:rsid w:val="43CF0940"/>
    <w:rsid w:val="43D1290A"/>
    <w:rsid w:val="43D16466"/>
    <w:rsid w:val="43D30430"/>
    <w:rsid w:val="43DF5027"/>
    <w:rsid w:val="43F959BD"/>
    <w:rsid w:val="44022AC4"/>
    <w:rsid w:val="440525B4"/>
    <w:rsid w:val="44136A7F"/>
    <w:rsid w:val="441D16AC"/>
    <w:rsid w:val="44213E6A"/>
    <w:rsid w:val="44250560"/>
    <w:rsid w:val="442A3DC9"/>
    <w:rsid w:val="442C7B41"/>
    <w:rsid w:val="443609BF"/>
    <w:rsid w:val="443864E5"/>
    <w:rsid w:val="443A04B0"/>
    <w:rsid w:val="44424CB3"/>
    <w:rsid w:val="44446C38"/>
    <w:rsid w:val="44476729"/>
    <w:rsid w:val="44533614"/>
    <w:rsid w:val="445350CD"/>
    <w:rsid w:val="445A645C"/>
    <w:rsid w:val="445D419E"/>
    <w:rsid w:val="44624498"/>
    <w:rsid w:val="44654E01"/>
    <w:rsid w:val="44676DCB"/>
    <w:rsid w:val="44780FD8"/>
    <w:rsid w:val="44896D41"/>
    <w:rsid w:val="4496320C"/>
    <w:rsid w:val="449A71A0"/>
    <w:rsid w:val="44A771C7"/>
    <w:rsid w:val="44B244EA"/>
    <w:rsid w:val="44B6565C"/>
    <w:rsid w:val="44C4421D"/>
    <w:rsid w:val="44C85ABB"/>
    <w:rsid w:val="44D37FBC"/>
    <w:rsid w:val="44D81A76"/>
    <w:rsid w:val="44E2459E"/>
    <w:rsid w:val="44EB79FC"/>
    <w:rsid w:val="44F3240C"/>
    <w:rsid w:val="44FA19ED"/>
    <w:rsid w:val="44FC7513"/>
    <w:rsid w:val="44FF34A7"/>
    <w:rsid w:val="45050ABD"/>
    <w:rsid w:val="4508235C"/>
    <w:rsid w:val="45085EB8"/>
    <w:rsid w:val="45097E82"/>
    <w:rsid w:val="450E5498"/>
    <w:rsid w:val="45127F98"/>
    <w:rsid w:val="451F76A5"/>
    <w:rsid w:val="452D1DC2"/>
    <w:rsid w:val="452E1133"/>
    <w:rsid w:val="452F5B3A"/>
    <w:rsid w:val="45392515"/>
    <w:rsid w:val="4541586E"/>
    <w:rsid w:val="45486BFC"/>
    <w:rsid w:val="45521829"/>
    <w:rsid w:val="455410FD"/>
    <w:rsid w:val="45554E75"/>
    <w:rsid w:val="4557299B"/>
    <w:rsid w:val="45575091"/>
    <w:rsid w:val="45576E3F"/>
    <w:rsid w:val="4561381A"/>
    <w:rsid w:val="4577128F"/>
    <w:rsid w:val="45795008"/>
    <w:rsid w:val="457F1EF2"/>
    <w:rsid w:val="45817ED1"/>
    <w:rsid w:val="459260C9"/>
    <w:rsid w:val="45947182"/>
    <w:rsid w:val="45A04342"/>
    <w:rsid w:val="45A21CAB"/>
    <w:rsid w:val="45A2455E"/>
    <w:rsid w:val="45A55DFD"/>
    <w:rsid w:val="45B86678"/>
    <w:rsid w:val="45BB117C"/>
    <w:rsid w:val="45BE6EBE"/>
    <w:rsid w:val="45C142B9"/>
    <w:rsid w:val="45C67B21"/>
    <w:rsid w:val="45CA5863"/>
    <w:rsid w:val="45CF2E79"/>
    <w:rsid w:val="45E32481"/>
    <w:rsid w:val="45E36925"/>
    <w:rsid w:val="45E561F9"/>
    <w:rsid w:val="45E76415"/>
    <w:rsid w:val="45E83F3B"/>
    <w:rsid w:val="45EF7078"/>
    <w:rsid w:val="45FC590E"/>
    <w:rsid w:val="45FE7882"/>
    <w:rsid w:val="46020B59"/>
    <w:rsid w:val="4604552B"/>
    <w:rsid w:val="46050F1E"/>
    <w:rsid w:val="460F14C8"/>
    <w:rsid w:val="460F3276"/>
    <w:rsid w:val="46162970"/>
    <w:rsid w:val="46187E50"/>
    <w:rsid w:val="461D017F"/>
    <w:rsid w:val="46250CEB"/>
    <w:rsid w:val="46276812"/>
    <w:rsid w:val="462907DC"/>
    <w:rsid w:val="462A4554"/>
    <w:rsid w:val="46396545"/>
    <w:rsid w:val="464534A6"/>
    <w:rsid w:val="464C0026"/>
    <w:rsid w:val="464F7B16"/>
    <w:rsid w:val="46535859"/>
    <w:rsid w:val="4654512D"/>
    <w:rsid w:val="465515D1"/>
    <w:rsid w:val="46586D4B"/>
    <w:rsid w:val="46697CD0"/>
    <w:rsid w:val="466A4950"/>
    <w:rsid w:val="466C06C8"/>
    <w:rsid w:val="46712183"/>
    <w:rsid w:val="46717A8D"/>
    <w:rsid w:val="4674757D"/>
    <w:rsid w:val="46761547"/>
    <w:rsid w:val="467852BF"/>
    <w:rsid w:val="467F664E"/>
    <w:rsid w:val="46804174"/>
    <w:rsid w:val="468A074A"/>
    <w:rsid w:val="46902609"/>
    <w:rsid w:val="469320F9"/>
    <w:rsid w:val="469D2F78"/>
    <w:rsid w:val="469F45FA"/>
    <w:rsid w:val="46A14816"/>
    <w:rsid w:val="46AF05B5"/>
    <w:rsid w:val="46B02CAB"/>
    <w:rsid w:val="46B502C1"/>
    <w:rsid w:val="46B75DE7"/>
    <w:rsid w:val="46C027C2"/>
    <w:rsid w:val="46C2478C"/>
    <w:rsid w:val="46C73B51"/>
    <w:rsid w:val="46C93D6D"/>
    <w:rsid w:val="46D63D94"/>
    <w:rsid w:val="46DC3AA0"/>
    <w:rsid w:val="46DC584E"/>
    <w:rsid w:val="46E2098A"/>
    <w:rsid w:val="46E666CD"/>
    <w:rsid w:val="46E93AC7"/>
    <w:rsid w:val="46ED7A5B"/>
    <w:rsid w:val="46EE5581"/>
    <w:rsid w:val="46F54B62"/>
    <w:rsid w:val="46F70CED"/>
    <w:rsid w:val="46FE3A16"/>
    <w:rsid w:val="47044DA5"/>
    <w:rsid w:val="470D1EAB"/>
    <w:rsid w:val="470E352E"/>
    <w:rsid w:val="47134FE8"/>
    <w:rsid w:val="47150D60"/>
    <w:rsid w:val="47242D51"/>
    <w:rsid w:val="472965B9"/>
    <w:rsid w:val="472D60AA"/>
    <w:rsid w:val="472F07E4"/>
    <w:rsid w:val="47372A84"/>
    <w:rsid w:val="474A6C5C"/>
    <w:rsid w:val="47555616"/>
    <w:rsid w:val="47574ED5"/>
    <w:rsid w:val="47596E9F"/>
    <w:rsid w:val="475A2C17"/>
    <w:rsid w:val="475F022D"/>
    <w:rsid w:val="475F69ED"/>
    <w:rsid w:val="477F61D9"/>
    <w:rsid w:val="47841A42"/>
    <w:rsid w:val="478C7274"/>
    <w:rsid w:val="479003E6"/>
    <w:rsid w:val="479223B1"/>
    <w:rsid w:val="47946129"/>
    <w:rsid w:val="47A85730"/>
    <w:rsid w:val="47AC3472"/>
    <w:rsid w:val="47B2035D"/>
    <w:rsid w:val="47CF53B3"/>
    <w:rsid w:val="47DB78B4"/>
    <w:rsid w:val="47E00A2F"/>
    <w:rsid w:val="47E726FC"/>
    <w:rsid w:val="47F170D7"/>
    <w:rsid w:val="47F210A1"/>
    <w:rsid w:val="4800731A"/>
    <w:rsid w:val="48032022"/>
    <w:rsid w:val="48084421"/>
    <w:rsid w:val="481553CE"/>
    <w:rsid w:val="481903DC"/>
    <w:rsid w:val="481E59F2"/>
    <w:rsid w:val="48227C31"/>
    <w:rsid w:val="48272AF9"/>
    <w:rsid w:val="482F19AD"/>
    <w:rsid w:val="48345216"/>
    <w:rsid w:val="48390A7E"/>
    <w:rsid w:val="483A324F"/>
    <w:rsid w:val="483A4653"/>
    <w:rsid w:val="48482A6F"/>
    <w:rsid w:val="48496F13"/>
    <w:rsid w:val="4852279F"/>
    <w:rsid w:val="485853A8"/>
    <w:rsid w:val="48592ECE"/>
    <w:rsid w:val="485F3913"/>
    <w:rsid w:val="4860425D"/>
    <w:rsid w:val="487970CD"/>
    <w:rsid w:val="487B4BF3"/>
    <w:rsid w:val="487D4E0F"/>
    <w:rsid w:val="48801B42"/>
    <w:rsid w:val="48855A71"/>
    <w:rsid w:val="48873598"/>
    <w:rsid w:val="48895562"/>
    <w:rsid w:val="48931F3C"/>
    <w:rsid w:val="489A776F"/>
    <w:rsid w:val="489D100D"/>
    <w:rsid w:val="48A57EC2"/>
    <w:rsid w:val="48AE6D76"/>
    <w:rsid w:val="48BA1BBF"/>
    <w:rsid w:val="48BD16AF"/>
    <w:rsid w:val="48BF2D31"/>
    <w:rsid w:val="48BF5427"/>
    <w:rsid w:val="48C12F4D"/>
    <w:rsid w:val="48C437EC"/>
    <w:rsid w:val="48CC18F2"/>
    <w:rsid w:val="48CC36A0"/>
    <w:rsid w:val="48D013E2"/>
    <w:rsid w:val="48D03190"/>
    <w:rsid w:val="48D80297"/>
    <w:rsid w:val="48DB38E3"/>
    <w:rsid w:val="48E22EC4"/>
    <w:rsid w:val="48E42798"/>
    <w:rsid w:val="48E44E8E"/>
    <w:rsid w:val="48E7672C"/>
    <w:rsid w:val="48F02BCA"/>
    <w:rsid w:val="48F50E49"/>
    <w:rsid w:val="48FD7CFE"/>
    <w:rsid w:val="49044BE8"/>
    <w:rsid w:val="49060960"/>
    <w:rsid w:val="49064E04"/>
    <w:rsid w:val="49082166"/>
    <w:rsid w:val="490E3CB9"/>
    <w:rsid w:val="491C0184"/>
    <w:rsid w:val="492139EC"/>
    <w:rsid w:val="493059DD"/>
    <w:rsid w:val="49382AE4"/>
    <w:rsid w:val="493F3E72"/>
    <w:rsid w:val="49431BB4"/>
    <w:rsid w:val="494476DB"/>
    <w:rsid w:val="495518E8"/>
    <w:rsid w:val="49556B1B"/>
    <w:rsid w:val="49583186"/>
    <w:rsid w:val="495913D8"/>
    <w:rsid w:val="495A5150"/>
    <w:rsid w:val="495C2C76"/>
    <w:rsid w:val="496438D9"/>
    <w:rsid w:val="49697141"/>
    <w:rsid w:val="496E6505"/>
    <w:rsid w:val="4972249A"/>
    <w:rsid w:val="49725FF6"/>
    <w:rsid w:val="49816239"/>
    <w:rsid w:val="498E6BA8"/>
    <w:rsid w:val="498F4DFA"/>
    <w:rsid w:val="499248EA"/>
    <w:rsid w:val="499E6DEB"/>
    <w:rsid w:val="49AD702E"/>
    <w:rsid w:val="49AE4226"/>
    <w:rsid w:val="49AF724A"/>
    <w:rsid w:val="49B4660E"/>
    <w:rsid w:val="49C01457"/>
    <w:rsid w:val="49C74A91"/>
    <w:rsid w:val="49CA05A8"/>
    <w:rsid w:val="49D24CE6"/>
    <w:rsid w:val="49DB003F"/>
    <w:rsid w:val="49E60792"/>
    <w:rsid w:val="49EC224C"/>
    <w:rsid w:val="49F904C5"/>
    <w:rsid w:val="49FA5FEB"/>
    <w:rsid w:val="49FE1F7F"/>
    <w:rsid w:val="4A001853"/>
    <w:rsid w:val="4A066F9A"/>
    <w:rsid w:val="4A0C644A"/>
    <w:rsid w:val="4A0D21C2"/>
    <w:rsid w:val="4A0F5F3A"/>
    <w:rsid w:val="4A192915"/>
    <w:rsid w:val="4A201EF6"/>
    <w:rsid w:val="4A280DAA"/>
    <w:rsid w:val="4A2E2C6A"/>
    <w:rsid w:val="4A2F038B"/>
    <w:rsid w:val="4A315EB1"/>
    <w:rsid w:val="4A3414FD"/>
    <w:rsid w:val="4A3B6D2F"/>
    <w:rsid w:val="4A404346"/>
    <w:rsid w:val="4A45370A"/>
    <w:rsid w:val="4A484FA8"/>
    <w:rsid w:val="4A4A6F73"/>
    <w:rsid w:val="4A527BD5"/>
    <w:rsid w:val="4A547DF1"/>
    <w:rsid w:val="4A5B2F2E"/>
    <w:rsid w:val="4A5E2A1E"/>
    <w:rsid w:val="4A7E52E5"/>
    <w:rsid w:val="4A8835F7"/>
    <w:rsid w:val="4A8C758B"/>
    <w:rsid w:val="4A9B157C"/>
    <w:rsid w:val="4A9B332A"/>
    <w:rsid w:val="4AA444DD"/>
    <w:rsid w:val="4AA76173"/>
    <w:rsid w:val="4AA85A47"/>
    <w:rsid w:val="4AAA7A11"/>
    <w:rsid w:val="4AAF6DD6"/>
    <w:rsid w:val="4AB32D6A"/>
    <w:rsid w:val="4ABB1C1E"/>
    <w:rsid w:val="4AC46D25"/>
    <w:rsid w:val="4ACC3E2B"/>
    <w:rsid w:val="4AD11442"/>
    <w:rsid w:val="4AD14F9E"/>
    <w:rsid w:val="4AD52CE0"/>
    <w:rsid w:val="4AD60806"/>
    <w:rsid w:val="4ADB5E1D"/>
    <w:rsid w:val="4ADD7DE7"/>
    <w:rsid w:val="4AE90539"/>
    <w:rsid w:val="4AEA6060"/>
    <w:rsid w:val="4AF33166"/>
    <w:rsid w:val="4AFA62A3"/>
    <w:rsid w:val="4AFB026D"/>
    <w:rsid w:val="4B076C12"/>
    <w:rsid w:val="4B0C247A"/>
    <w:rsid w:val="4B11183E"/>
    <w:rsid w:val="4B1F4421"/>
    <w:rsid w:val="4B1F44D4"/>
    <w:rsid w:val="4B206F4A"/>
    <w:rsid w:val="4B26353C"/>
    <w:rsid w:val="4B29302C"/>
    <w:rsid w:val="4B337A07"/>
    <w:rsid w:val="4B3C444F"/>
    <w:rsid w:val="4B4D6D1A"/>
    <w:rsid w:val="4B55797D"/>
    <w:rsid w:val="4B583500"/>
    <w:rsid w:val="4B58746D"/>
    <w:rsid w:val="4B5D2CD5"/>
    <w:rsid w:val="4B5F07FC"/>
    <w:rsid w:val="4B645E12"/>
    <w:rsid w:val="4B6B7E57"/>
    <w:rsid w:val="4B6D116B"/>
    <w:rsid w:val="4B6D2F19"/>
    <w:rsid w:val="4B6E6C91"/>
    <w:rsid w:val="4B83098E"/>
    <w:rsid w:val="4B895879"/>
    <w:rsid w:val="4B8A1D1C"/>
    <w:rsid w:val="4B8B15F1"/>
    <w:rsid w:val="4B8D0671"/>
    <w:rsid w:val="4B9009B5"/>
    <w:rsid w:val="4B944949"/>
    <w:rsid w:val="4B9A1834"/>
    <w:rsid w:val="4B9A7A86"/>
    <w:rsid w:val="4BA3693A"/>
    <w:rsid w:val="4BA67EBB"/>
    <w:rsid w:val="4BA803F5"/>
    <w:rsid w:val="4BA97CC9"/>
    <w:rsid w:val="4BB943B0"/>
    <w:rsid w:val="4BBC79FC"/>
    <w:rsid w:val="4BCB7C3F"/>
    <w:rsid w:val="4BD905AE"/>
    <w:rsid w:val="4BDE7972"/>
    <w:rsid w:val="4BE156B5"/>
    <w:rsid w:val="4BE71A14"/>
    <w:rsid w:val="4BEA4569"/>
    <w:rsid w:val="4BED22AB"/>
    <w:rsid w:val="4BF4239E"/>
    <w:rsid w:val="4BF52F0E"/>
    <w:rsid w:val="4BFE0015"/>
    <w:rsid w:val="4C013661"/>
    <w:rsid w:val="4C0513A3"/>
    <w:rsid w:val="4C0A69B9"/>
    <w:rsid w:val="4C0F2222"/>
    <w:rsid w:val="4C1635B0"/>
    <w:rsid w:val="4C2A0E0A"/>
    <w:rsid w:val="4C2C4B82"/>
    <w:rsid w:val="4C2D08FA"/>
    <w:rsid w:val="4C303F46"/>
    <w:rsid w:val="4C4874E2"/>
    <w:rsid w:val="4C4C5224"/>
    <w:rsid w:val="4C51283A"/>
    <w:rsid w:val="4C516396"/>
    <w:rsid w:val="4C537F25"/>
    <w:rsid w:val="4C6205A3"/>
    <w:rsid w:val="4C6562E6"/>
    <w:rsid w:val="4C667968"/>
    <w:rsid w:val="4C6F4A6E"/>
    <w:rsid w:val="4C72455F"/>
    <w:rsid w:val="4C72630D"/>
    <w:rsid w:val="4C7E4CB1"/>
    <w:rsid w:val="4C800A2A"/>
    <w:rsid w:val="4C8147A2"/>
    <w:rsid w:val="4C856040"/>
    <w:rsid w:val="4C885B30"/>
    <w:rsid w:val="4C8C5620"/>
    <w:rsid w:val="4C9149E5"/>
    <w:rsid w:val="4C9170DB"/>
    <w:rsid w:val="4C942727"/>
    <w:rsid w:val="4C983FC5"/>
    <w:rsid w:val="4C995F8F"/>
    <w:rsid w:val="4C9D15DC"/>
    <w:rsid w:val="4CA50490"/>
    <w:rsid w:val="4CA706AC"/>
    <w:rsid w:val="4CAA3CF8"/>
    <w:rsid w:val="4CB42DC9"/>
    <w:rsid w:val="4CBB3F4D"/>
    <w:rsid w:val="4CBB7CB4"/>
    <w:rsid w:val="4CBE5DDA"/>
    <w:rsid w:val="4CC27294"/>
    <w:rsid w:val="4CCC177E"/>
    <w:rsid w:val="4CCF375F"/>
    <w:rsid w:val="4CD07C03"/>
    <w:rsid w:val="4CD46FC7"/>
    <w:rsid w:val="4CD9638C"/>
    <w:rsid w:val="4CE865CF"/>
    <w:rsid w:val="4CEC4311"/>
    <w:rsid w:val="4CF11927"/>
    <w:rsid w:val="4CF3744D"/>
    <w:rsid w:val="4CF60CEC"/>
    <w:rsid w:val="4CFC2960"/>
    <w:rsid w:val="4CFF2296"/>
    <w:rsid w:val="4D04165B"/>
    <w:rsid w:val="4D07739D"/>
    <w:rsid w:val="4D0E4287"/>
    <w:rsid w:val="4D125AC1"/>
    <w:rsid w:val="4D245859"/>
    <w:rsid w:val="4D297313"/>
    <w:rsid w:val="4D2E66D8"/>
    <w:rsid w:val="4D3857A8"/>
    <w:rsid w:val="4D4B7289"/>
    <w:rsid w:val="4D4E0B28"/>
    <w:rsid w:val="4D534390"/>
    <w:rsid w:val="4D550108"/>
    <w:rsid w:val="4D587BF8"/>
    <w:rsid w:val="4D5A74CD"/>
    <w:rsid w:val="4D5D520F"/>
    <w:rsid w:val="4D5F2D35"/>
    <w:rsid w:val="4D61085B"/>
    <w:rsid w:val="4D615AC9"/>
    <w:rsid w:val="4D6245D3"/>
    <w:rsid w:val="4D677E3B"/>
    <w:rsid w:val="4D695962"/>
    <w:rsid w:val="4D6D5452"/>
    <w:rsid w:val="4D6E4D26"/>
    <w:rsid w:val="4D6E7892"/>
    <w:rsid w:val="4D752558"/>
    <w:rsid w:val="4D761E2D"/>
    <w:rsid w:val="4D793C01"/>
    <w:rsid w:val="4D891B60"/>
    <w:rsid w:val="4D8B1D7C"/>
    <w:rsid w:val="4D8C33FE"/>
    <w:rsid w:val="4D8E53C8"/>
    <w:rsid w:val="4D8F7974"/>
    <w:rsid w:val="4D92310A"/>
    <w:rsid w:val="4D9561A6"/>
    <w:rsid w:val="4D987FF5"/>
    <w:rsid w:val="4D9D385D"/>
    <w:rsid w:val="4DA16EA9"/>
    <w:rsid w:val="4DA67CFD"/>
    <w:rsid w:val="4DA90454"/>
    <w:rsid w:val="4DAB5F7A"/>
    <w:rsid w:val="4DB12E65"/>
    <w:rsid w:val="4DB210B7"/>
    <w:rsid w:val="4DB43081"/>
    <w:rsid w:val="4DBC3CE3"/>
    <w:rsid w:val="4DBF37D4"/>
    <w:rsid w:val="4DC1579E"/>
    <w:rsid w:val="4DC31516"/>
    <w:rsid w:val="4DC62DB4"/>
    <w:rsid w:val="4DC808DA"/>
    <w:rsid w:val="4DCB2178"/>
    <w:rsid w:val="4DD03C33"/>
    <w:rsid w:val="4DD0778F"/>
    <w:rsid w:val="4DD759A0"/>
    <w:rsid w:val="4DD76D6F"/>
    <w:rsid w:val="4DDC4386"/>
    <w:rsid w:val="4DE374C2"/>
    <w:rsid w:val="4DE4148C"/>
    <w:rsid w:val="4DE90850"/>
    <w:rsid w:val="4DEE5E67"/>
    <w:rsid w:val="4DF55447"/>
    <w:rsid w:val="4DFE254E"/>
    <w:rsid w:val="4E0A0EF3"/>
    <w:rsid w:val="4E0B6A19"/>
    <w:rsid w:val="4E0D09E3"/>
    <w:rsid w:val="4E10402F"/>
    <w:rsid w:val="4E125FF9"/>
    <w:rsid w:val="4E141D71"/>
    <w:rsid w:val="4E187194"/>
    <w:rsid w:val="4E1B6675"/>
    <w:rsid w:val="4E1C0C26"/>
    <w:rsid w:val="4E1F4272"/>
    <w:rsid w:val="4E242E89"/>
    <w:rsid w:val="4E2F68D1"/>
    <w:rsid w:val="4E320449"/>
    <w:rsid w:val="4E3825A7"/>
    <w:rsid w:val="4E434405"/>
    <w:rsid w:val="4E4D5283"/>
    <w:rsid w:val="4E50267E"/>
    <w:rsid w:val="4E555EE6"/>
    <w:rsid w:val="4E630603"/>
    <w:rsid w:val="4E683E6B"/>
    <w:rsid w:val="4E6D76D3"/>
    <w:rsid w:val="4E7B76FB"/>
    <w:rsid w:val="4E810A89"/>
    <w:rsid w:val="4E8911CD"/>
    <w:rsid w:val="4E8D742E"/>
    <w:rsid w:val="4E920EE8"/>
    <w:rsid w:val="4E962786"/>
    <w:rsid w:val="4E977AD1"/>
    <w:rsid w:val="4E9C3B15"/>
    <w:rsid w:val="4E9E5ADF"/>
    <w:rsid w:val="4EA330F5"/>
    <w:rsid w:val="4EAC01FC"/>
    <w:rsid w:val="4EAF3848"/>
    <w:rsid w:val="4EB470B0"/>
    <w:rsid w:val="4EC07803"/>
    <w:rsid w:val="4ECA0682"/>
    <w:rsid w:val="4ECF3EEA"/>
    <w:rsid w:val="4ED478C6"/>
    <w:rsid w:val="4EEE25C2"/>
    <w:rsid w:val="4EF31987"/>
    <w:rsid w:val="4EF43951"/>
    <w:rsid w:val="4EFB4CDF"/>
    <w:rsid w:val="4EFE20DA"/>
    <w:rsid w:val="4F027E1C"/>
    <w:rsid w:val="4F053468"/>
    <w:rsid w:val="4F075432"/>
    <w:rsid w:val="4F0C39F5"/>
    <w:rsid w:val="4F0C7953"/>
    <w:rsid w:val="4F111E0D"/>
    <w:rsid w:val="4F135B85"/>
    <w:rsid w:val="4F161B19"/>
    <w:rsid w:val="4F1638C7"/>
    <w:rsid w:val="4F1B712F"/>
    <w:rsid w:val="4F247D92"/>
    <w:rsid w:val="4F2A2ECF"/>
    <w:rsid w:val="4F367AC5"/>
    <w:rsid w:val="4F381A8F"/>
    <w:rsid w:val="4F3B1580"/>
    <w:rsid w:val="4F473A81"/>
    <w:rsid w:val="4F4C1097"/>
    <w:rsid w:val="4F4E12B3"/>
    <w:rsid w:val="4F5B577E"/>
    <w:rsid w:val="4F5C39D0"/>
    <w:rsid w:val="4F602D94"/>
    <w:rsid w:val="4F610FE6"/>
    <w:rsid w:val="4F672375"/>
    <w:rsid w:val="4F6939F7"/>
    <w:rsid w:val="4F6E3703"/>
    <w:rsid w:val="4F714737"/>
    <w:rsid w:val="4F716D4F"/>
    <w:rsid w:val="4F781E8C"/>
    <w:rsid w:val="4F786330"/>
    <w:rsid w:val="4F7D3946"/>
    <w:rsid w:val="4F80727E"/>
    <w:rsid w:val="4F9071D6"/>
    <w:rsid w:val="4F9667B6"/>
    <w:rsid w:val="4F9842DC"/>
    <w:rsid w:val="4F9B5B7A"/>
    <w:rsid w:val="4F9C201E"/>
    <w:rsid w:val="4F9D7B44"/>
    <w:rsid w:val="4FA40ED3"/>
    <w:rsid w:val="4FA62E9D"/>
    <w:rsid w:val="4FAC0894"/>
    <w:rsid w:val="4FB01626"/>
    <w:rsid w:val="4FB21842"/>
    <w:rsid w:val="4FB530E0"/>
    <w:rsid w:val="4FB86A79"/>
    <w:rsid w:val="4FBC621D"/>
    <w:rsid w:val="4FD03A76"/>
    <w:rsid w:val="4FD35314"/>
    <w:rsid w:val="4FD73056"/>
    <w:rsid w:val="4FDE2637"/>
    <w:rsid w:val="4FE70DC0"/>
    <w:rsid w:val="4FED287A"/>
    <w:rsid w:val="4FF77255"/>
    <w:rsid w:val="4FF84D7B"/>
    <w:rsid w:val="5003209D"/>
    <w:rsid w:val="50041972"/>
    <w:rsid w:val="50081462"/>
    <w:rsid w:val="500E27F0"/>
    <w:rsid w:val="50117696"/>
    <w:rsid w:val="501E6ED7"/>
    <w:rsid w:val="50242014"/>
    <w:rsid w:val="502A587C"/>
    <w:rsid w:val="502B5150"/>
    <w:rsid w:val="502B6EFE"/>
    <w:rsid w:val="502D0EC8"/>
    <w:rsid w:val="502F2E92"/>
    <w:rsid w:val="50354221"/>
    <w:rsid w:val="503B1837"/>
    <w:rsid w:val="504925C9"/>
    <w:rsid w:val="504A37B4"/>
    <w:rsid w:val="505226DD"/>
    <w:rsid w:val="50650662"/>
    <w:rsid w:val="50681F00"/>
    <w:rsid w:val="506A3ECB"/>
    <w:rsid w:val="506B19F1"/>
    <w:rsid w:val="506F14E1"/>
    <w:rsid w:val="50724B2D"/>
    <w:rsid w:val="507251FE"/>
    <w:rsid w:val="50770396"/>
    <w:rsid w:val="507A6218"/>
    <w:rsid w:val="5080549C"/>
    <w:rsid w:val="50854860"/>
    <w:rsid w:val="50962F12"/>
    <w:rsid w:val="509C1BAA"/>
    <w:rsid w:val="509D52B2"/>
    <w:rsid w:val="50A849F3"/>
    <w:rsid w:val="50AA076B"/>
    <w:rsid w:val="50B52C6C"/>
    <w:rsid w:val="50BC3FFA"/>
    <w:rsid w:val="50C8299F"/>
    <w:rsid w:val="50D145C2"/>
    <w:rsid w:val="50D91050"/>
    <w:rsid w:val="50DB26D2"/>
    <w:rsid w:val="50E579F5"/>
    <w:rsid w:val="50EF43D0"/>
    <w:rsid w:val="50F10148"/>
    <w:rsid w:val="50F87728"/>
    <w:rsid w:val="50FB0FC7"/>
    <w:rsid w:val="50FB2D75"/>
    <w:rsid w:val="50FC5DD1"/>
    <w:rsid w:val="5100038B"/>
    <w:rsid w:val="51022355"/>
    <w:rsid w:val="5107796B"/>
    <w:rsid w:val="510A2FB8"/>
    <w:rsid w:val="51142088"/>
    <w:rsid w:val="5116195C"/>
    <w:rsid w:val="51181B78"/>
    <w:rsid w:val="511B6F73"/>
    <w:rsid w:val="511C3380"/>
    <w:rsid w:val="511D718F"/>
    <w:rsid w:val="51204589"/>
    <w:rsid w:val="512978E2"/>
    <w:rsid w:val="512C73D2"/>
    <w:rsid w:val="512F6EC2"/>
    <w:rsid w:val="51363DAD"/>
    <w:rsid w:val="513B5867"/>
    <w:rsid w:val="513D513B"/>
    <w:rsid w:val="513F7105"/>
    <w:rsid w:val="514B0014"/>
    <w:rsid w:val="5151508A"/>
    <w:rsid w:val="51590CC2"/>
    <w:rsid w:val="515B7CB7"/>
    <w:rsid w:val="515D3A2F"/>
    <w:rsid w:val="51622DF4"/>
    <w:rsid w:val="516E081B"/>
    <w:rsid w:val="51713037"/>
    <w:rsid w:val="51714DE5"/>
    <w:rsid w:val="51786173"/>
    <w:rsid w:val="51837B5F"/>
    <w:rsid w:val="518C60C3"/>
    <w:rsid w:val="518E1E3B"/>
    <w:rsid w:val="518E3BE9"/>
    <w:rsid w:val="51905BB3"/>
    <w:rsid w:val="519D2F0D"/>
    <w:rsid w:val="51A0391C"/>
    <w:rsid w:val="51A451BA"/>
    <w:rsid w:val="51A60F32"/>
    <w:rsid w:val="51B7313F"/>
    <w:rsid w:val="51B87035"/>
    <w:rsid w:val="51C55131"/>
    <w:rsid w:val="51C8534D"/>
    <w:rsid w:val="51D27F79"/>
    <w:rsid w:val="51D33CF1"/>
    <w:rsid w:val="51DC4954"/>
    <w:rsid w:val="51E101BC"/>
    <w:rsid w:val="51E25CE3"/>
    <w:rsid w:val="51E3048B"/>
    <w:rsid w:val="51E952C3"/>
    <w:rsid w:val="51F003FF"/>
    <w:rsid w:val="51F24178"/>
    <w:rsid w:val="51FA47FD"/>
    <w:rsid w:val="51FF6894"/>
    <w:rsid w:val="520E0886"/>
    <w:rsid w:val="520E4D2A"/>
    <w:rsid w:val="520F3B0B"/>
    <w:rsid w:val="52135808"/>
    <w:rsid w:val="521C2FA3"/>
    <w:rsid w:val="52214A5D"/>
    <w:rsid w:val="5221680B"/>
    <w:rsid w:val="522462FB"/>
    <w:rsid w:val="522D6A53"/>
    <w:rsid w:val="52410C5B"/>
    <w:rsid w:val="52466271"/>
    <w:rsid w:val="524D5852"/>
    <w:rsid w:val="525A7F6F"/>
    <w:rsid w:val="525E35BB"/>
    <w:rsid w:val="526B217C"/>
    <w:rsid w:val="526B5CD8"/>
    <w:rsid w:val="52741030"/>
    <w:rsid w:val="527821A3"/>
    <w:rsid w:val="52790428"/>
    <w:rsid w:val="527A416D"/>
    <w:rsid w:val="527B23BF"/>
    <w:rsid w:val="52862B12"/>
    <w:rsid w:val="528943B0"/>
    <w:rsid w:val="528A0854"/>
    <w:rsid w:val="528B1ED6"/>
    <w:rsid w:val="528C45CC"/>
    <w:rsid w:val="528D5C4E"/>
    <w:rsid w:val="528F19C6"/>
    <w:rsid w:val="528F7C18"/>
    <w:rsid w:val="52974D1F"/>
    <w:rsid w:val="529E42FF"/>
    <w:rsid w:val="529E7E5B"/>
    <w:rsid w:val="52A511EA"/>
    <w:rsid w:val="52A64F62"/>
    <w:rsid w:val="52AA2CA4"/>
    <w:rsid w:val="52B14033"/>
    <w:rsid w:val="52B15DE1"/>
    <w:rsid w:val="52B753C1"/>
    <w:rsid w:val="52C553E8"/>
    <w:rsid w:val="52C8137C"/>
    <w:rsid w:val="52D10231"/>
    <w:rsid w:val="52D4387D"/>
    <w:rsid w:val="52D7511B"/>
    <w:rsid w:val="52E53CDC"/>
    <w:rsid w:val="52E77A54"/>
    <w:rsid w:val="52F263F9"/>
    <w:rsid w:val="52F61A46"/>
    <w:rsid w:val="53004672"/>
    <w:rsid w:val="530C3017"/>
    <w:rsid w:val="530D6D8F"/>
    <w:rsid w:val="530F2992"/>
    <w:rsid w:val="53114AD1"/>
    <w:rsid w:val="531B76FE"/>
    <w:rsid w:val="531F65D6"/>
    <w:rsid w:val="533B1B4E"/>
    <w:rsid w:val="534053B7"/>
    <w:rsid w:val="53486019"/>
    <w:rsid w:val="534C3D5B"/>
    <w:rsid w:val="53513120"/>
    <w:rsid w:val="53560736"/>
    <w:rsid w:val="535624E4"/>
    <w:rsid w:val="535844AE"/>
    <w:rsid w:val="535B7AFB"/>
    <w:rsid w:val="535E38B8"/>
    <w:rsid w:val="535E75EB"/>
    <w:rsid w:val="536F17F8"/>
    <w:rsid w:val="53735749"/>
    <w:rsid w:val="53760DD8"/>
    <w:rsid w:val="537B63EF"/>
    <w:rsid w:val="537E1A3B"/>
    <w:rsid w:val="538E6122"/>
    <w:rsid w:val="53AB0A82"/>
    <w:rsid w:val="53AE0572"/>
    <w:rsid w:val="53AE40CE"/>
    <w:rsid w:val="53B06098"/>
    <w:rsid w:val="53BF0089"/>
    <w:rsid w:val="53C9715A"/>
    <w:rsid w:val="53CC6C4A"/>
    <w:rsid w:val="53D1600F"/>
    <w:rsid w:val="53DA3115"/>
    <w:rsid w:val="53DB0C3B"/>
    <w:rsid w:val="53EB35B5"/>
    <w:rsid w:val="53EC109A"/>
    <w:rsid w:val="53F1220D"/>
    <w:rsid w:val="53F65BA6"/>
    <w:rsid w:val="53FA37B7"/>
    <w:rsid w:val="53FD0BB2"/>
    <w:rsid w:val="54136627"/>
    <w:rsid w:val="541505F1"/>
    <w:rsid w:val="5415239F"/>
    <w:rsid w:val="54183C3E"/>
    <w:rsid w:val="541859EC"/>
    <w:rsid w:val="54212AF2"/>
    <w:rsid w:val="54216F96"/>
    <w:rsid w:val="542645AC"/>
    <w:rsid w:val="542919A7"/>
    <w:rsid w:val="54297BF9"/>
    <w:rsid w:val="542D1CD6"/>
    <w:rsid w:val="542D76E9"/>
    <w:rsid w:val="54361306"/>
    <w:rsid w:val="5440557B"/>
    <w:rsid w:val="54413194"/>
    <w:rsid w:val="54436F0C"/>
    <w:rsid w:val="544669FD"/>
    <w:rsid w:val="54484523"/>
    <w:rsid w:val="54492049"/>
    <w:rsid w:val="544F3B03"/>
    <w:rsid w:val="545E3D46"/>
    <w:rsid w:val="54703A7A"/>
    <w:rsid w:val="547215A0"/>
    <w:rsid w:val="5488491F"/>
    <w:rsid w:val="548D0188"/>
    <w:rsid w:val="54902E59"/>
    <w:rsid w:val="54907C78"/>
    <w:rsid w:val="54995E0B"/>
    <w:rsid w:val="549A4653"/>
    <w:rsid w:val="549C661D"/>
    <w:rsid w:val="549E05E7"/>
    <w:rsid w:val="54A92AE8"/>
    <w:rsid w:val="54AA6F8B"/>
    <w:rsid w:val="54B020C8"/>
    <w:rsid w:val="54B41BB8"/>
    <w:rsid w:val="54BC6CBF"/>
    <w:rsid w:val="54C618EB"/>
    <w:rsid w:val="54CD3EF6"/>
    <w:rsid w:val="54D9517B"/>
    <w:rsid w:val="54DA4AA4"/>
    <w:rsid w:val="54EB4EAE"/>
    <w:rsid w:val="54F40207"/>
    <w:rsid w:val="54F63F7F"/>
    <w:rsid w:val="54FB1595"/>
    <w:rsid w:val="55006BAB"/>
    <w:rsid w:val="5503669C"/>
    <w:rsid w:val="55061CE8"/>
    <w:rsid w:val="550F5041"/>
    <w:rsid w:val="55144405"/>
    <w:rsid w:val="551749F3"/>
    <w:rsid w:val="55254864"/>
    <w:rsid w:val="55256612"/>
    <w:rsid w:val="55264138"/>
    <w:rsid w:val="55271C1F"/>
    <w:rsid w:val="55376345"/>
    <w:rsid w:val="554271C4"/>
    <w:rsid w:val="55434CEA"/>
    <w:rsid w:val="55436A98"/>
    <w:rsid w:val="554C0043"/>
    <w:rsid w:val="554D5B69"/>
    <w:rsid w:val="55592760"/>
    <w:rsid w:val="5560589C"/>
    <w:rsid w:val="556233C2"/>
    <w:rsid w:val="5563092B"/>
    <w:rsid w:val="556B0281"/>
    <w:rsid w:val="55717AA9"/>
    <w:rsid w:val="55775466"/>
    <w:rsid w:val="557F583F"/>
    <w:rsid w:val="55801A9A"/>
    <w:rsid w:val="558772CD"/>
    <w:rsid w:val="558A2919"/>
    <w:rsid w:val="55917828"/>
    <w:rsid w:val="55985036"/>
    <w:rsid w:val="55993A75"/>
    <w:rsid w:val="55A57753"/>
    <w:rsid w:val="55A734CB"/>
    <w:rsid w:val="55B1434A"/>
    <w:rsid w:val="55B33C1E"/>
    <w:rsid w:val="55C027DF"/>
    <w:rsid w:val="55C776C9"/>
    <w:rsid w:val="55CC2F32"/>
    <w:rsid w:val="55CF657E"/>
    <w:rsid w:val="55E738C7"/>
    <w:rsid w:val="55F67FAE"/>
    <w:rsid w:val="55F83D27"/>
    <w:rsid w:val="55FA7A9F"/>
    <w:rsid w:val="56004989"/>
    <w:rsid w:val="56020701"/>
    <w:rsid w:val="56026953"/>
    <w:rsid w:val="56066443"/>
    <w:rsid w:val="56101070"/>
    <w:rsid w:val="5613734A"/>
    <w:rsid w:val="561B7A15"/>
    <w:rsid w:val="56260894"/>
    <w:rsid w:val="56310FE7"/>
    <w:rsid w:val="563805C7"/>
    <w:rsid w:val="56505911"/>
    <w:rsid w:val="56513437"/>
    <w:rsid w:val="56527255"/>
    <w:rsid w:val="56584E35"/>
    <w:rsid w:val="565D3B8A"/>
    <w:rsid w:val="565F5B54"/>
    <w:rsid w:val="566273F2"/>
    <w:rsid w:val="56723AD9"/>
    <w:rsid w:val="567540C3"/>
    <w:rsid w:val="56764C4B"/>
    <w:rsid w:val="56821842"/>
    <w:rsid w:val="5684380C"/>
    <w:rsid w:val="568455BA"/>
    <w:rsid w:val="568832FC"/>
    <w:rsid w:val="568D446F"/>
    <w:rsid w:val="568D64E8"/>
    <w:rsid w:val="569D042A"/>
    <w:rsid w:val="569F0646"/>
    <w:rsid w:val="56A31EE4"/>
    <w:rsid w:val="56A417B8"/>
    <w:rsid w:val="56A8574D"/>
    <w:rsid w:val="56BC0DE5"/>
    <w:rsid w:val="56C105BC"/>
    <w:rsid w:val="56CA1CA8"/>
    <w:rsid w:val="56CB143B"/>
    <w:rsid w:val="56DA167E"/>
    <w:rsid w:val="56E10C5F"/>
    <w:rsid w:val="56ED7603"/>
    <w:rsid w:val="56EF512A"/>
    <w:rsid w:val="56F00EA2"/>
    <w:rsid w:val="56F049FE"/>
    <w:rsid w:val="56F269C8"/>
    <w:rsid w:val="57030BD5"/>
    <w:rsid w:val="57034731"/>
    <w:rsid w:val="57062473"/>
    <w:rsid w:val="57106E4E"/>
    <w:rsid w:val="571C1C97"/>
    <w:rsid w:val="5721105B"/>
    <w:rsid w:val="572823EA"/>
    <w:rsid w:val="57325016"/>
    <w:rsid w:val="57376AD1"/>
    <w:rsid w:val="57407733"/>
    <w:rsid w:val="5748483A"/>
    <w:rsid w:val="574A6804"/>
    <w:rsid w:val="574B60D8"/>
    <w:rsid w:val="574F5BC8"/>
    <w:rsid w:val="57601B83"/>
    <w:rsid w:val="5765363E"/>
    <w:rsid w:val="577E200A"/>
    <w:rsid w:val="57853398"/>
    <w:rsid w:val="578A6C00"/>
    <w:rsid w:val="57900337"/>
    <w:rsid w:val="5797131D"/>
    <w:rsid w:val="57A06424"/>
    <w:rsid w:val="57AE0B41"/>
    <w:rsid w:val="57B36157"/>
    <w:rsid w:val="57B41ECF"/>
    <w:rsid w:val="57B43C7D"/>
    <w:rsid w:val="57B65C47"/>
    <w:rsid w:val="57B95737"/>
    <w:rsid w:val="57B974E6"/>
    <w:rsid w:val="57BE68AA"/>
    <w:rsid w:val="57BF2D4E"/>
    <w:rsid w:val="57C40364"/>
    <w:rsid w:val="57C87729"/>
    <w:rsid w:val="57D936E4"/>
    <w:rsid w:val="57E502DB"/>
    <w:rsid w:val="57EB7CA4"/>
    <w:rsid w:val="57EF1159"/>
    <w:rsid w:val="57EF4CB5"/>
    <w:rsid w:val="57F16C7F"/>
    <w:rsid w:val="57F329F7"/>
    <w:rsid w:val="57F81DBC"/>
    <w:rsid w:val="57FA3D86"/>
    <w:rsid w:val="57FB18AC"/>
    <w:rsid w:val="58003366"/>
    <w:rsid w:val="58006EC2"/>
    <w:rsid w:val="58067C88"/>
    <w:rsid w:val="58070251"/>
    <w:rsid w:val="580B5F93"/>
    <w:rsid w:val="580E15DF"/>
    <w:rsid w:val="5812316E"/>
    <w:rsid w:val="58160494"/>
    <w:rsid w:val="581666E6"/>
    <w:rsid w:val="58240E03"/>
    <w:rsid w:val="58256929"/>
    <w:rsid w:val="582C5F09"/>
    <w:rsid w:val="583059FA"/>
    <w:rsid w:val="583F39AE"/>
    <w:rsid w:val="58405952"/>
    <w:rsid w:val="5846521D"/>
    <w:rsid w:val="584C4139"/>
    <w:rsid w:val="58513F4A"/>
    <w:rsid w:val="58550FBC"/>
    <w:rsid w:val="586236D9"/>
    <w:rsid w:val="586C27AA"/>
    <w:rsid w:val="586E207E"/>
    <w:rsid w:val="58737694"/>
    <w:rsid w:val="587A6C75"/>
    <w:rsid w:val="587C0C3F"/>
    <w:rsid w:val="587D2851"/>
    <w:rsid w:val="5886386C"/>
    <w:rsid w:val="58874AA2"/>
    <w:rsid w:val="588B0E82"/>
    <w:rsid w:val="58A106A5"/>
    <w:rsid w:val="58A65CBC"/>
    <w:rsid w:val="58A67A6A"/>
    <w:rsid w:val="58B33F35"/>
    <w:rsid w:val="58B67013"/>
    <w:rsid w:val="58B71C77"/>
    <w:rsid w:val="58B73A25"/>
    <w:rsid w:val="58BC0F2C"/>
    <w:rsid w:val="58BE3005"/>
    <w:rsid w:val="58C425E6"/>
    <w:rsid w:val="58C83E84"/>
    <w:rsid w:val="58CB74D0"/>
    <w:rsid w:val="58D2260D"/>
    <w:rsid w:val="58D520FD"/>
    <w:rsid w:val="58D75E75"/>
    <w:rsid w:val="58DA7713"/>
    <w:rsid w:val="58DE3F06"/>
    <w:rsid w:val="58DE5456"/>
    <w:rsid w:val="58DF11CE"/>
    <w:rsid w:val="58DF4D2A"/>
    <w:rsid w:val="58E660B8"/>
    <w:rsid w:val="58E81E30"/>
    <w:rsid w:val="58E95BA9"/>
    <w:rsid w:val="58EF1411"/>
    <w:rsid w:val="58F00CE5"/>
    <w:rsid w:val="58F44C79"/>
    <w:rsid w:val="58F9403E"/>
    <w:rsid w:val="58FC3B2E"/>
    <w:rsid w:val="58FF717A"/>
    <w:rsid w:val="590E560F"/>
    <w:rsid w:val="59101387"/>
    <w:rsid w:val="59126EAD"/>
    <w:rsid w:val="59140E77"/>
    <w:rsid w:val="5915699E"/>
    <w:rsid w:val="59170968"/>
    <w:rsid w:val="591E5852"/>
    <w:rsid w:val="59215342"/>
    <w:rsid w:val="59227859"/>
    <w:rsid w:val="59254E33"/>
    <w:rsid w:val="59280156"/>
    <w:rsid w:val="592A069B"/>
    <w:rsid w:val="59411541"/>
    <w:rsid w:val="5952374E"/>
    <w:rsid w:val="59570D64"/>
    <w:rsid w:val="59653481"/>
    <w:rsid w:val="596D67DA"/>
    <w:rsid w:val="59723DF0"/>
    <w:rsid w:val="598472AE"/>
    <w:rsid w:val="59853B23"/>
    <w:rsid w:val="5987789B"/>
    <w:rsid w:val="598F6750"/>
    <w:rsid w:val="599B6EA3"/>
    <w:rsid w:val="599D70BF"/>
    <w:rsid w:val="599E6993"/>
    <w:rsid w:val="59B57901"/>
    <w:rsid w:val="59CC52AE"/>
    <w:rsid w:val="59DB3743"/>
    <w:rsid w:val="59E65F92"/>
    <w:rsid w:val="59F1740B"/>
    <w:rsid w:val="59F667CF"/>
    <w:rsid w:val="59FB2037"/>
    <w:rsid w:val="5A026F22"/>
    <w:rsid w:val="5A0E3B19"/>
    <w:rsid w:val="5A0F163F"/>
    <w:rsid w:val="5A1354E1"/>
    <w:rsid w:val="5A166E71"/>
    <w:rsid w:val="5A184997"/>
    <w:rsid w:val="5A186745"/>
    <w:rsid w:val="5A1B6236"/>
    <w:rsid w:val="5A1E1882"/>
    <w:rsid w:val="5A3317D1"/>
    <w:rsid w:val="5A3410A5"/>
    <w:rsid w:val="5A3D6ADB"/>
    <w:rsid w:val="5A4532B2"/>
    <w:rsid w:val="5A490FF5"/>
    <w:rsid w:val="5A4B5567"/>
    <w:rsid w:val="5A4B6B1B"/>
    <w:rsid w:val="5A4E03B9"/>
    <w:rsid w:val="5A530AFD"/>
    <w:rsid w:val="5A557999"/>
    <w:rsid w:val="5A581238"/>
    <w:rsid w:val="5A584D94"/>
    <w:rsid w:val="5A5A35FA"/>
    <w:rsid w:val="5A5A6D5E"/>
    <w:rsid w:val="5A61633E"/>
    <w:rsid w:val="5A6A0A65"/>
    <w:rsid w:val="5A6D4479"/>
    <w:rsid w:val="5A6F20DD"/>
    <w:rsid w:val="5A730B8F"/>
    <w:rsid w:val="5A753B98"/>
    <w:rsid w:val="5A7616BE"/>
    <w:rsid w:val="5A7A11AE"/>
    <w:rsid w:val="5A7B0A82"/>
    <w:rsid w:val="5A8042EB"/>
    <w:rsid w:val="5A81253D"/>
    <w:rsid w:val="5A8262B5"/>
    <w:rsid w:val="5A8C2C8F"/>
    <w:rsid w:val="5A8E6A07"/>
    <w:rsid w:val="5A955FE8"/>
    <w:rsid w:val="5A966A76"/>
    <w:rsid w:val="5AA4622B"/>
    <w:rsid w:val="5AA601F5"/>
    <w:rsid w:val="5AA63D51"/>
    <w:rsid w:val="5AA71877"/>
    <w:rsid w:val="5AB50438"/>
    <w:rsid w:val="5AB81CD6"/>
    <w:rsid w:val="5ABF12B7"/>
    <w:rsid w:val="5AC05BEB"/>
    <w:rsid w:val="5AC36930"/>
    <w:rsid w:val="5ACD39D4"/>
    <w:rsid w:val="5AD36B10"/>
    <w:rsid w:val="5AD7215D"/>
    <w:rsid w:val="5ADA1C4D"/>
    <w:rsid w:val="5ADA61C0"/>
    <w:rsid w:val="5ADF6D7F"/>
    <w:rsid w:val="5AE34EAB"/>
    <w:rsid w:val="5AE44879"/>
    <w:rsid w:val="5AE64A95"/>
    <w:rsid w:val="5AE8436A"/>
    <w:rsid w:val="5AE96334"/>
    <w:rsid w:val="5AED1980"/>
    <w:rsid w:val="5AF01470"/>
    <w:rsid w:val="5AF70A51"/>
    <w:rsid w:val="5AF745AD"/>
    <w:rsid w:val="5AFA22EF"/>
    <w:rsid w:val="5B01367D"/>
    <w:rsid w:val="5B0647F0"/>
    <w:rsid w:val="5B0B0058"/>
    <w:rsid w:val="5B174C4F"/>
    <w:rsid w:val="5B1A029B"/>
    <w:rsid w:val="5B1C04B7"/>
    <w:rsid w:val="5B2630E4"/>
    <w:rsid w:val="5B2D6220"/>
    <w:rsid w:val="5B2E3D47"/>
    <w:rsid w:val="5B322D98"/>
    <w:rsid w:val="5B37709F"/>
    <w:rsid w:val="5B3A6B8F"/>
    <w:rsid w:val="5B461090"/>
    <w:rsid w:val="5B4B48F9"/>
    <w:rsid w:val="5B57054F"/>
    <w:rsid w:val="5B5714EF"/>
    <w:rsid w:val="5B615ECA"/>
    <w:rsid w:val="5B653C0C"/>
    <w:rsid w:val="5B7A6F8C"/>
    <w:rsid w:val="5B863B83"/>
    <w:rsid w:val="5BA26C0E"/>
    <w:rsid w:val="5BAA161F"/>
    <w:rsid w:val="5BAA5AC3"/>
    <w:rsid w:val="5BB153FB"/>
    <w:rsid w:val="5BB26726"/>
    <w:rsid w:val="5BC22E0D"/>
    <w:rsid w:val="5BCB3FDF"/>
    <w:rsid w:val="5BD26DC8"/>
    <w:rsid w:val="5BD963A8"/>
    <w:rsid w:val="5BEC7E8A"/>
    <w:rsid w:val="5BF154A0"/>
    <w:rsid w:val="5BF37D59"/>
    <w:rsid w:val="5C02145B"/>
    <w:rsid w:val="5C1318BA"/>
    <w:rsid w:val="5C14118E"/>
    <w:rsid w:val="5C142F3C"/>
    <w:rsid w:val="5C186ED1"/>
    <w:rsid w:val="5C1967A5"/>
    <w:rsid w:val="5C225659"/>
    <w:rsid w:val="5C2E04A2"/>
    <w:rsid w:val="5C2F7D76"/>
    <w:rsid w:val="5C3B496D"/>
    <w:rsid w:val="5C3D06E5"/>
    <w:rsid w:val="5C45759A"/>
    <w:rsid w:val="5C4668EC"/>
    <w:rsid w:val="5C4D4754"/>
    <w:rsid w:val="5C4E644E"/>
    <w:rsid w:val="5C537F09"/>
    <w:rsid w:val="5C593045"/>
    <w:rsid w:val="5C5B0B6B"/>
    <w:rsid w:val="5C5F68AD"/>
    <w:rsid w:val="5C675762"/>
    <w:rsid w:val="5C6B34A4"/>
    <w:rsid w:val="5C7067F8"/>
    <w:rsid w:val="5C757E7F"/>
    <w:rsid w:val="5C757EA5"/>
    <w:rsid w:val="5C783A22"/>
    <w:rsid w:val="5C855BE8"/>
    <w:rsid w:val="5C875E04"/>
    <w:rsid w:val="5C910A31"/>
    <w:rsid w:val="5C9347A9"/>
    <w:rsid w:val="5C98591B"/>
    <w:rsid w:val="5C9B540C"/>
    <w:rsid w:val="5CA00C74"/>
    <w:rsid w:val="5CA249EC"/>
    <w:rsid w:val="5CC606DB"/>
    <w:rsid w:val="5CCB5CF1"/>
    <w:rsid w:val="5CD01366"/>
    <w:rsid w:val="5CD34BA6"/>
    <w:rsid w:val="5CDC1CAC"/>
    <w:rsid w:val="5CE24DE9"/>
    <w:rsid w:val="5CE727F2"/>
    <w:rsid w:val="5CF05758"/>
    <w:rsid w:val="5CF11D0D"/>
    <w:rsid w:val="5CFF599B"/>
    <w:rsid w:val="5D042FB1"/>
    <w:rsid w:val="5D07484F"/>
    <w:rsid w:val="5D1551BE"/>
    <w:rsid w:val="5D2673CB"/>
    <w:rsid w:val="5D276C9F"/>
    <w:rsid w:val="5D292A17"/>
    <w:rsid w:val="5D2B7A96"/>
    <w:rsid w:val="5D3513BC"/>
    <w:rsid w:val="5D373ADB"/>
    <w:rsid w:val="5D3816A6"/>
    <w:rsid w:val="5D3D1F42"/>
    <w:rsid w:val="5D494E68"/>
    <w:rsid w:val="5D5977A1"/>
    <w:rsid w:val="5D6E48CE"/>
    <w:rsid w:val="5D79399F"/>
    <w:rsid w:val="5D885990"/>
    <w:rsid w:val="5D8A5BAC"/>
    <w:rsid w:val="5D99194B"/>
    <w:rsid w:val="5D996B17"/>
    <w:rsid w:val="5DA54794"/>
    <w:rsid w:val="5DA622BA"/>
    <w:rsid w:val="5DAB5B22"/>
    <w:rsid w:val="5DBE13B2"/>
    <w:rsid w:val="5DC10EA2"/>
    <w:rsid w:val="5DC34C1A"/>
    <w:rsid w:val="5DCA7D57"/>
    <w:rsid w:val="5DCF35BF"/>
    <w:rsid w:val="5DD65873"/>
    <w:rsid w:val="5DEC23C3"/>
    <w:rsid w:val="5DF64FF0"/>
    <w:rsid w:val="5DF8442C"/>
    <w:rsid w:val="5E056FE1"/>
    <w:rsid w:val="5E0771FD"/>
    <w:rsid w:val="5E082F75"/>
    <w:rsid w:val="5E0F7E5F"/>
    <w:rsid w:val="5E196F30"/>
    <w:rsid w:val="5E1D07CE"/>
    <w:rsid w:val="5E2F095C"/>
    <w:rsid w:val="5E39312E"/>
    <w:rsid w:val="5E413D91"/>
    <w:rsid w:val="5E4915C3"/>
    <w:rsid w:val="5E4C2E61"/>
    <w:rsid w:val="5E4D0988"/>
    <w:rsid w:val="5E5341F0"/>
    <w:rsid w:val="5E543AC4"/>
    <w:rsid w:val="5E59557E"/>
    <w:rsid w:val="5E5D506F"/>
    <w:rsid w:val="5E5F0DE7"/>
    <w:rsid w:val="5E60690D"/>
    <w:rsid w:val="5E64294A"/>
    <w:rsid w:val="5E6463FD"/>
    <w:rsid w:val="5E723FBE"/>
    <w:rsid w:val="5E793037"/>
    <w:rsid w:val="5E7A79CF"/>
    <w:rsid w:val="5E7B54F5"/>
    <w:rsid w:val="5E820631"/>
    <w:rsid w:val="5E836CBA"/>
    <w:rsid w:val="5E93283E"/>
    <w:rsid w:val="5E9B7945"/>
    <w:rsid w:val="5EA256E4"/>
    <w:rsid w:val="5EA762EA"/>
    <w:rsid w:val="5EAB54E8"/>
    <w:rsid w:val="5EAC56AE"/>
    <w:rsid w:val="5EC46E9C"/>
    <w:rsid w:val="5ECE7D1A"/>
    <w:rsid w:val="5ED115B9"/>
    <w:rsid w:val="5EE412EC"/>
    <w:rsid w:val="5EE50BC0"/>
    <w:rsid w:val="5EE72B8A"/>
    <w:rsid w:val="5EF07C91"/>
    <w:rsid w:val="5EF157B7"/>
    <w:rsid w:val="5EF62BE9"/>
    <w:rsid w:val="5EFD23AE"/>
    <w:rsid w:val="5F092B01"/>
    <w:rsid w:val="5F0B0627"/>
    <w:rsid w:val="5F101D2A"/>
    <w:rsid w:val="5F16521D"/>
    <w:rsid w:val="5F180F96"/>
    <w:rsid w:val="5F284240"/>
    <w:rsid w:val="5F294F51"/>
    <w:rsid w:val="5F2E07B9"/>
    <w:rsid w:val="5F335AED"/>
    <w:rsid w:val="5F3429E7"/>
    <w:rsid w:val="5F3A0F0C"/>
    <w:rsid w:val="5F3E6C4E"/>
    <w:rsid w:val="5F5226F9"/>
    <w:rsid w:val="5F531FCE"/>
    <w:rsid w:val="5F543FCC"/>
    <w:rsid w:val="5F582787"/>
    <w:rsid w:val="5F593A88"/>
    <w:rsid w:val="5F5A15AE"/>
    <w:rsid w:val="5F5C70D4"/>
    <w:rsid w:val="5F6917F1"/>
    <w:rsid w:val="5F69359F"/>
    <w:rsid w:val="5F697A43"/>
    <w:rsid w:val="5F6D5089"/>
    <w:rsid w:val="5F746FE1"/>
    <w:rsid w:val="5F772160"/>
    <w:rsid w:val="5F7E529D"/>
    <w:rsid w:val="5F7F2DC3"/>
    <w:rsid w:val="5F85487D"/>
    <w:rsid w:val="5F8D54E0"/>
    <w:rsid w:val="5F9E593F"/>
    <w:rsid w:val="5FA863FE"/>
    <w:rsid w:val="5FB567E4"/>
    <w:rsid w:val="5FBA3DFB"/>
    <w:rsid w:val="5FC609F2"/>
    <w:rsid w:val="5FC829BC"/>
    <w:rsid w:val="5FCB425A"/>
    <w:rsid w:val="5FD255E8"/>
    <w:rsid w:val="5FD27396"/>
    <w:rsid w:val="5FD41360"/>
    <w:rsid w:val="5FDA624B"/>
    <w:rsid w:val="5FE61094"/>
    <w:rsid w:val="5FEB0458"/>
    <w:rsid w:val="5FFE63DD"/>
    <w:rsid w:val="60002155"/>
    <w:rsid w:val="60017C7C"/>
    <w:rsid w:val="60114363"/>
    <w:rsid w:val="6017124D"/>
    <w:rsid w:val="6017749F"/>
    <w:rsid w:val="601A0A51"/>
    <w:rsid w:val="601C4AB5"/>
    <w:rsid w:val="602A5424"/>
    <w:rsid w:val="602B5BA9"/>
    <w:rsid w:val="60327588"/>
    <w:rsid w:val="603D38D8"/>
    <w:rsid w:val="603E2C7E"/>
    <w:rsid w:val="60432042"/>
    <w:rsid w:val="60455DBA"/>
    <w:rsid w:val="604A1623"/>
    <w:rsid w:val="604D4C6F"/>
    <w:rsid w:val="60583D56"/>
    <w:rsid w:val="605D1356"/>
    <w:rsid w:val="605E6E7C"/>
    <w:rsid w:val="60600E46"/>
    <w:rsid w:val="6060660E"/>
    <w:rsid w:val="606326E4"/>
    <w:rsid w:val="60636F96"/>
    <w:rsid w:val="606F3410"/>
    <w:rsid w:val="607353BF"/>
    <w:rsid w:val="60762418"/>
    <w:rsid w:val="607C7302"/>
    <w:rsid w:val="607D5554"/>
    <w:rsid w:val="607D668D"/>
    <w:rsid w:val="608C1C3B"/>
    <w:rsid w:val="608F34D9"/>
    <w:rsid w:val="60911000"/>
    <w:rsid w:val="60A56859"/>
    <w:rsid w:val="60A725D1"/>
    <w:rsid w:val="60A9459B"/>
    <w:rsid w:val="60AC408B"/>
    <w:rsid w:val="60AC721D"/>
    <w:rsid w:val="60BD0047"/>
    <w:rsid w:val="60BD3037"/>
    <w:rsid w:val="60C2565D"/>
    <w:rsid w:val="60C413D5"/>
    <w:rsid w:val="60C44EA2"/>
    <w:rsid w:val="60CB2763"/>
    <w:rsid w:val="60D07D7A"/>
    <w:rsid w:val="60D4713E"/>
    <w:rsid w:val="60D62EB6"/>
    <w:rsid w:val="60DD2497"/>
    <w:rsid w:val="60E05AE3"/>
    <w:rsid w:val="60E7048E"/>
    <w:rsid w:val="60EE0200"/>
    <w:rsid w:val="60F55B6C"/>
    <w:rsid w:val="610E08A2"/>
    <w:rsid w:val="611834CF"/>
    <w:rsid w:val="612400C6"/>
    <w:rsid w:val="612B3202"/>
    <w:rsid w:val="612C0145"/>
    <w:rsid w:val="612C0D28"/>
    <w:rsid w:val="6138591F"/>
    <w:rsid w:val="613B0F6B"/>
    <w:rsid w:val="614610F4"/>
    <w:rsid w:val="61504A17"/>
    <w:rsid w:val="61656B01"/>
    <w:rsid w:val="6166050D"/>
    <w:rsid w:val="61695AD8"/>
    <w:rsid w:val="61952D71"/>
    <w:rsid w:val="61972646"/>
    <w:rsid w:val="61994610"/>
    <w:rsid w:val="619F650D"/>
    <w:rsid w:val="61A248DA"/>
    <w:rsid w:val="61AB60F1"/>
    <w:rsid w:val="61B80F7A"/>
    <w:rsid w:val="61BE5E24"/>
    <w:rsid w:val="61C13B66"/>
    <w:rsid w:val="61C6117D"/>
    <w:rsid w:val="61C816FB"/>
    <w:rsid w:val="61D94A0C"/>
    <w:rsid w:val="61DC44FC"/>
    <w:rsid w:val="61F45CEA"/>
    <w:rsid w:val="61F555BE"/>
    <w:rsid w:val="61FE26C5"/>
    <w:rsid w:val="61FF01EB"/>
    <w:rsid w:val="62035F2D"/>
    <w:rsid w:val="62175534"/>
    <w:rsid w:val="621E4B15"/>
    <w:rsid w:val="62210161"/>
    <w:rsid w:val="6223212B"/>
    <w:rsid w:val="62251537"/>
    <w:rsid w:val="622540F5"/>
    <w:rsid w:val="62255EA3"/>
    <w:rsid w:val="62285994"/>
    <w:rsid w:val="62287742"/>
    <w:rsid w:val="622D2FAA"/>
    <w:rsid w:val="6239194F"/>
    <w:rsid w:val="623A1223"/>
    <w:rsid w:val="623E6F65"/>
    <w:rsid w:val="62461CCA"/>
    <w:rsid w:val="624D71A8"/>
    <w:rsid w:val="625247BE"/>
    <w:rsid w:val="625642AF"/>
    <w:rsid w:val="625E13B5"/>
    <w:rsid w:val="62620EA5"/>
    <w:rsid w:val="6268123D"/>
    <w:rsid w:val="626B762E"/>
    <w:rsid w:val="626D33A6"/>
    <w:rsid w:val="626F711E"/>
    <w:rsid w:val="6274648E"/>
    <w:rsid w:val="627625A5"/>
    <w:rsid w:val="627D5CDF"/>
    <w:rsid w:val="628F77C1"/>
    <w:rsid w:val="6292105F"/>
    <w:rsid w:val="62944DD7"/>
    <w:rsid w:val="629460C2"/>
    <w:rsid w:val="62946B85"/>
    <w:rsid w:val="629D5664"/>
    <w:rsid w:val="62A52B40"/>
    <w:rsid w:val="62A52FDD"/>
    <w:rsid w:val="62AD7C47"/>
    <w:rsid w:val="62AE5E99"/>
    <w:rsid w:val="62B2525D"/>
    <w:rsid w:val="62BD2580"/>
    <w:rsid w:val="62BD432E"/>
    <w:rsid w:val="62C0797A"/>
    <w:rsid w:val="62D022B3"/>
    <w:rsid w:val="62D3534F"/>
    <w:rsid w:val="62E01DCA"/>
    <w:rsid w:val="62E713AB"/>
    <w:rsid w:val="62EC69C1"/>
    <w:rsid w:val="62EE098B"/>
    <w:rsid w:val="62EF64B1"/>
    <w:rsid w:val="62F12229"/>
    <w:rsid w:val="62F51723"/>
    <w:rsid w:val="62FB4E56"/>
    <w:rsid w:val="63043D0B"/>
    <w:rsid w:val="63057A83"/>
    <w:rsid w:val="63071A4D"/>
    <w:rsid w:val="631B1054"/>
    <w:rsid w:val="631B72A6"/>
    <w:rsid w:val="631D301E"/>
    <w:rsid w:val="631F6D97"/>
    <w:rsid w:val="63253C81"/>
    <w:rsid w:val="63271BFE"/>
    <w:rsid w:val="63275C4B"/>
    <w:rsid w:val="632C3261"/>
    <w:rsid w:val="632C5010"/>
    <w:rsid w:val="632D0417"/>
    <w:rsid w:val="63310878"/>
    <w:rsid w:val="63316ACA"/>
    <w:rsid w:val="63424833"/>
    <w:rsid w:val="634467FD"/>
    <w:rsid w:val="634560D1"/>
    <w:rsid w:val="63464323"/>
    <w:rsid w:val="6347009B"/>
    <w:rsid w:val="63497970"/>
    <w:rsid w:val="63507F5B"/>
    <w:rsid w:val="63512CC8"/>
    <w:rsid w:val="63533FB2"/>
    <w:rsid w:val="636226C5"/>
    <w:rsid w:val="63624ED5"/>
    <w:rsid w:val="63662621"/>
    <w:rsid w:val="63666773"/>
    <w:rsid w:val="6367429A"/>
    <w:rsid w:val="636C365E"/>
    <w:rsid w:val="636E5628"/>
    <w:rsid w:val="6372336A"/>
    <w:rsid w:val="63754C08"/>
    <w:rsid w:val="6378483D"/>
    <w:rsid w:val="63864720"/>
    <w:rsid w:val="638B7F88"/>
    <w:rsid w:val="63901A42"/>
    <w:rsid w:val="639037F0"/>
    <w:rsid w:val="639130C5"/>
    <w:rsid w:val="63950E07"/>
    <w:rsid w:val="63974B7F"/>
    <w:rsid w:val="639C03E7"/>
    <w:rsid w:val="63B55005"/>
    <w:rsid w:val="63BA086D"/>
    <w:rsid w:val="63CD67F3"/>
    <w:rsid w:val="63CE4319"/>
    <w:rsid w:val="63D53F5A"/>
    <w:rsid w:val="63E37DC4"/>
    <w:rsid w:val="63E678B4"/>
    <w:rsid w:val="63E8362C"/>
    <w:rsid w:val="63F633B2"/>
    <w:rsid w:val="63FA510E"/>
    <w:rsid w:val="63FF44D2"/>
    <w:rsid w:val="64065861"/>
    <w:rsid w:val="640E2967"/>
    <w:rsid w:val="64104931"/>
    <w:rsid w:val="641066DF"/>
    <w:rsid w:val="64151F48"/>
    <w:rsid w:val="64157F16"/>
    <w:rsid w:val="641C32D6"/>
    <w:rsid w:val="64265F03"/>
    <w:rsid w:val="642C7943"/>
    <w:rsid w:val="64356146"/>
    <w:rsid w:val="64357EF4"/>
    <w:rsid w:val="643E4FFA"/>
    <w:rsid w:val="64432611"/>
    <w:rsid w:val="6449399F"/>
    <w:rsid w:val="644D348F"/>
    <w:rsid w:val="64504D2E"/>
    <w:rsid w:val="645962D8"/>
    <w:rsid w:val="645E569D"/>
    <w:rsid w:val="64630F05"/>
    <w:rsid w:val="646709F5"/>
    <w:rsid w:val="64740A1C"/>
    <w:rsid w:val="64744EC0"/>
    <w:rsid w:val="6477516F"/>
    <w:rsid w:val="647B624F"/>
    <w:rsid w:val="648570CD"/>
    <w:rsid w:val="6486074F"/>
    <w:rsid w:val="648669A1"/>
    <w:rsid w:val="64882719"/>
    <w:rsid w:val="648A6492"/>
    <w:rsid w:val="648F174A"/>
    <w:rsid w:val="64923598"/>
    <w:rsid w:val="649317EA"/>
    <w:rsid w:val="649B069F"/>
    <w:rsid w:val="649D0E83"/>
    <w:rsid w:val="64A55079"/>
    <w:rsid w:val="64B96D77"/>
    <w:rsid w:val="64C64FF0"/>
    <w:rsid w:val="64C73242"/>
    <w:rsid w:val="64CD45D0"/>
    <w:rsid w:val="64CD637E"/>
    <w:rsid w:val="64CE2822"/>
    <w:rsid w:val="64CF20F6"/>
    <w:rsid w:val="64DD4813"/>
    <w:rsid w:val="64EC0EFA"/>
    <w:rsid w:val="64F25DE5"/>
    <w:rsid w:val="64F953C5"/>
    <w:rsid w:val="64FE478A"/>
    <w:rsid w:val="65033A48"/>
    <w:rsid w:val="65046244"/>
    <w:rsid w:val="651D2E62"/>
    <w:rsid w:val="65202952"/>
    <w:rsid w:val="65206DF6"/>
    <w:rsid w:val="65240694"/>
    <w:rsid w:val="652A1A23"/>
    <w:rsid w:val="652F0DE7"/>
    <w:rsid w:val="65312DB1"/>
    <w:rsid w:val="653308D7"/>
    <w:rsid w:val="654228F2"/>
    <w:rsid w:val="654900FB"/>
    <w:rsid w:val="654A79CF"/>
    <w:rsid w:val="65515201"/>
    <w:rsid w:val="655645C6"/>
    <w:rsid w:val="655C6080"/>
    <w:rsid w:val="656071F2"/>
    <w:rsid w:val="65644F35"/>
    <w:rsid w:val="65646CE3"/>
    <w:rsid w:val="65711400"/>
    <w:rsid w:val="65744C06"/>
    <w:rsid w:val="6578278E"/>
    <w:rsid w:val="657D7DA4"/>
    <w:rsid w:val="65815AE7"/>
    <w:rsid w:val="658253BB"/>
    <w:rsid w:val="65841133"/>
    <w:rsid w:val="658904F7"/>
    <w:rsid w:val="658E1FB1"/>
    <w:rsid w:val="658E5B0E"/>
    <w:rsid w:val="65921AA2"/>
    <w:rsid w:val="659770B8"/>
    <w:rsid w:val="659B647C"/>
    <w:rsid w:val="659D0447"/>
    <w:rsid w:val="659D3FA3"/>
    <w:rsid w:val="65B732B6"/>
    <w:rsid w:val="65BA3EB5"/>
    <w:rsid w:val="65BA6903"/>
    <w:rsid w:val="65BF216B"/>
    <w:rsid w:val="65C07C91"/>
    <w:rsid w:val="65C6799D"/>
    <w:rsid w:val="65CB0B10"/>
    <w:rsid w:val="65CB6D62"/>
    <w:rsid w:val="65D26342"/>
    <w:rsid w:val="65D35C16"/>
    <w:rsid w:val="65D716B3"/>
    <w:rsid w:val="65DE4CE7"/>
    <w:rsid w:val="65E132EC"/>
    <w:rsid w:val="65F16B55"/>
    <w:rsid w:val="65F20792"/>
    <w:rsid w:val="65F71905"/>
    <w:rsid w:val="65FD2C93"/>
    <w:rsid w:val="65FF4C5D"/>
    <w:rsid w:val="66042274"/>
    <w:rsid w:val="660758C0"/>
    <w:rsid w:val="66091638"/>
    <w:rsid w:val="660B1854"/>
    <w:rsid w:val="660B715E"/>
    <w:rsid w:val="660D2ED6"/>
    <w:rsid w:val="660D737A"/>
    <w:rsid w:val="66157FDD"/>
    <w:rsid w:val="66171FA7"/>
    <w:rsid w:val="66173D55"/>
    <w:rsid w:val="661F2C0A"/>
    <w:rsid w:val="662F1D0C"/>
    <w:rsid w:val="66342B59"/>
    <w:rsid w:val="66383CCB"/>
    <w:rsid w:val="663D12E2"/>
    <w:rsid w:val="664A62D0"/>
    <w:rsid w:val="664B1C51"/>
    <w:rsid w:val="664D7777"/>
    <w:rsid w:val="665054B9"/>
    <w:rsid w:val="66576847"/>
    <w:rsid w:val="665B6338"/>
    <w:rsid w:val="666351EC"/>
    <w:rsid w:val="66664CDC"/>
    <w:rsid w:val="66682803"/>
    <w:rsid w:val="666920D7"/>
    <w:rsid w:val="666E5281"/>
    <w:rsid w:val="667016B7"/>
    <w:rsid w:val="66707909"/>
    <w:rsid w:val="667411A7"/>
    <w:rsid w:val="66754F1F"/>
    <w:rsid w:val="668534B3"/>
    <w:rsid w:val="66855163"/>
    <w:rsid w:val="66874850"/>
    <w:rsid w:val="668F5FE1"/>
    <w:rsid w:val="669453A6"/>
    <w:rsid w:val="66974E96"/>
    <w:rsid w:val="66996E60"/>
    <w:rsid w:val="66A7157D"/>
    <w:rsid w:val="66AB26EF"/>
    <w:rsid w:val="66B21CD0"/>
    <w:rsid w:val="66BB3E8B"/>
    <w:rsid w:val="66BE68EE"/>
    <w:rsid w:val="66C832A1"/>
    <w:rsid w:val="66C8504F"/>
    <w:rsid w:val="66D02156"/>
    <w:rsid w:val="66D954AE"/>
    <w:rsid w:val="66E0683D"/>
    <w:rsid w:val="66EC3434"/>
    <w:rsid w:val="66F27A29"/>
    <w:rsid w:val="66F422E8"/>
    <w:rsid w:val="66F67E0E"/>
    <w:rsid w:val="66FD119D"/>
    <w:rsid w:val="66FD73EF"/>
    <w:rsid w:val="66FE6B75"/>
    <w:rsid w:val="670C7632"/>
    <w:rsid w:val="670F0ED0"/>
    <w:rsid w:val="670F7122"/>
    <w:rsid w:val="671169F6"/>
    <w:rsid w:val="6712451C"/>
    <w:rsid w:val="67226E55"/>
    <w:rsid w:val="6727621A"/>
    <w:rsid w:val="672D1356"/>
    <w:rsid w:val="672E57FA"/>
    <w:rsid w:val="67317098"/>
    <w:rsid w:val="67340937"/>
    <w:rsid w:val="67362901"/>
    <w:rsid w:val="673646AF"/>
    <w:rsid w:val="673821D5"/>
    <w:rsid w:val="673B7F17"/>
    <w:rsid w:val="673D3C8F"/>
    <w:rsid w:val="67472418"/>
    <w:rsid w:val="674A015A"/>
    <w:rsid w:val="6750184E"/>
    <w:rsid w:val="675114E9"/>
    <w:rsid w:val="675608AD"/>
    <w:rsid w:val="676254A4"/>
    <w:rsid w:val="67694A84"/>
    <w:rsid w:val="676A25AA"/>
    <w:rsid w:val="676E3E49"/>
    <w:rsid w:val="67746F85"/>
    <w:rsid w:val="67760F4F"/>
    <w:rsid w:val="677A27ED"/>
    <w:rsid w:val="677E1BB2"/>
    <w:rsid w:val="67892A30"/>
    <w:rsid w:val="67915D89"/>
    <w:rsid w:val="67961B39"/>
    <w:rsid w:val="679B09B6"/>
    <w:rsid w:val="679B2764"/>
    <w:rsid w:val="679F4002"/>
    <w:rsid w:val="67A07D7A"/>
    <w:rsid w:val="67A442CC"/>
    <w:rsid w:val="67A55390"/>
    <w:rsid w:val="67A61834"/>
    <w:rsid w:val="67AB0BF9"/>
    <w:rsid w:val="67AC2BC3"/>
    <w:rsid w:val="67B101D9"/>
    <w:rsid w:val="67B53825"/>
    <w:rsid w:val="67C25F42"/>
    <w:rsid w:val="67C428FB"/>
    <w:rsid w:val="67C73559"/>
    <w:rsid w:val="67D0240D"/>
    <w:rsid w:val="67E97973"/>
    <w:rsid w:val="67F02AB0"/>
    <w:rsid w:val="67F325A0"/>
    <w:rsid w:val="67F464DC"/>
    <w:rsid w:val="67FA0C0D"/>
    <w:rsid w:val="67FA392E"/>
    <w:rsid w:val="67FF2CF3"/>
    <w:rsid w:val="68077DF9"/>
    <w:rsid w:val="6808604B"/>
    <w:rsid w:val="68120C78"/>
    <w:rsid w:val="681324B9"/>
    <w:rsid w:val="6817003C"/>
    <w:rsid w:val="682269E1"/>
    <w:rsid w:val="682409AB"/>
    <w:rsid w:val="68246BFD"/>
    <w:rsid w:val="68264723"/>
    <w:rsid w:val="68286B39"/>
    <w:rsid w:val="68430CA2"/>
    <w:rsid w:val="684352D5"/>
    <w:rsid w:val="684B23DC"/>
    <w:rsid w:val="6853303E"/>
    <w:rsid w:val="68594AF9"/>
    <w:rsid w:val="685C1EF3"/>
    <w:rsid w:val="686428C3"/>
    <w:rsid w:val="686D5EAE"/>
    <w:rsid w:val="68757459"/>
    <w:rsid w:val="6879612C"/>
    <w:rsid w:val="687A681D"/>
    <w:rsid w:val="68815DFE"/>
    <w:rsid w:val="68817BAC"/>
    <w:rsid w:val="68880F3A"/>
    <w:rsid w:val="688A2F04"/>
    <w:rsid w:val="688E4077"/>
    <w:rsid w:val="68914293"/>
    <w:rsid w:val="689E69AF"/>
    <w:rsid w:val="689F6284"/>
    <w:rsid w:val="68A20A0C"/>
    <w:rsid w:val="68A8338A"/>
    <w:rsid w:val="68AA7102"/>
    <w:rsid w:val="68AD09A1"/>
    <w:rsid w:val="68AF4719"/>
    <w:rsid w:val="68B57855"/>
    <w:rsid w:val="68B910F3"/>
    <w:rsid w:val="68B92941"/>
    <w:rsid w:val="68BE670A"/>
    <w:rsid w:val="68C31F72"/>
    <w:rsid w:val="68C53F3C"/>
    <w:rsid w:val="68CA1553"/>
    <w:rsid w:val="68D51CA5"/>
    <w:rsid w:val="68DE4FFE"/>
    <w:rsid w:val="68E5638C"/>
    <w:rsid w:val="68E819D9"/>
    <w:rsid w:val="68E92303"/>
    <w:rsid w:val="68EA39A3"/>
    <w:rsid w:val="68EC14C9"/>
    <w:rsid w:val="68EF2D67"/>
    <w:rsid w:val="68F6059A"/>
    <w:rsid w:val="68F95994"/>
    <w:rsid w:val="690031C6"/>
    <w:rsid w:val="69004F74"/>
    <w:rsid w:val="690F3409"/>
    <w:rsid w:val="69112CDD"/>
    <w:rsid w:val="69166546"/>
    <w:rsid w:val="691C7D63"/>
    <w:rsid w:val="69224EEB"/>
    <w:rsid w:val="69236EB5"/>
    <w:rsid w:val="69274DDB"/>
    <w:rsid w:val="69280027"/>
    <w:rsid w:val="692844CB"/>
    <w:rsid w:val="692A1FF1"/>
    <w:rsid w:val="692C5D69"/>
    <w:rsid w:val="6938470E"/>
    <w:rsid w:val="693B7D5A"/>
    <w:rsid w:val="69531548"/>
    <w:rsid w:val="695928D6"/>
    <w:rsid w:val="69594684"/>
    <w:rsid w:val="69596370"/>
    <w:rsid w:val="695A0B28"/>
    <w:rsid w:val="695E1C9B"/>
    <w:rsid w:val="69603C65"/>
    <w:rsid w:val="696077C1"/>
    <w:rsid w:val="696372B1"/>
    <w:rsid w:val="6965127B"/>
    <w:rsid w:val="69780FAF"/>
    <w:rsid w:val="698303A0"/>
    <w:rsid w:val="699102C2"/>
    <w:rsid w:val="69967687"/>
    <w:rsid w:val="699F478D"/>
    <w:rsid w:val="69A04061"/>
    <w:rsid w:val="69AF73BD"/>
    <w:rsid w:val="69B67D29"/>
    <w:rsid w:val="69BB0E9B"/>
    <w:rsid w:val="69BD10B7"/>
    <w:rsid w:val="69C2553F"/>
    <w:rsid w:val="69C30412"/>
    <w:rsid w:val="69CF4947"/>
    <w:rsid w:val="69D837FB"/>
    <w:rsid w:val="69DD7064"/>
    <w:rsid w:val="69E403F2"/>
    <w:rsid w:val="69F543AD"/>
    <w:rsid w:val="69F60125"/>
    <w:rsid w:val="6A097E59"/>
    <w:rsid w:val="6A0E36C1"/>
    <w:rsid w:val="6A1E618D"/>
    <w:rsid w:val="6A1F142A"/>
    <w:rsid w:val="6A220F1A"/>
    <w:rsid w:val="6A22716C"/>
    <w:rsid w:val="6A260A0B"/>
    <w:rsid w:val="6A2904FB"/>
    <w:rsid w:val="6A337B22"/>
    <w:rsid w:val="6A3550F2"/>
    <w:rsid w:val="6A372C18"/>
    <w:rsid w:val="6A3A2708"/>
    <w:rsid w:val="6A3C6480"/>
    <w:rsid w:val="6A413A96"/>
    <w:rsid w:val="6A4929D1"/>
    <w:rsid w:val="6A5437CA"/>
    <w:rsid w:val="6A617C95"/>
    <w:rsid w:val="6A7379C8"/>
    <w:rsid w:val="6A7A2B04"/>
    <w:rsid w:val="6A7F636D"/>
    <w:rsid w:val="6A813E93"/>
    <w:rsid w:val="6A843983"/>
    <w:rsid w:val="6A995680"/>
    <w:rsid w:val="6A9A31A7"/>
    <w:rsid w:val="6AA06A0F"/>
    <w:rsid w:val="6AA10091"/>
    <w:rsid w:val="6AA61B4B"/>
    <w:rsid w:val="6AAB53B4"/>
    <w:rsid w:val="6ABF49BB"/>
    <w:rsid w:val="6AC41FD2"/>
    <w:rsid w:val="6AC50223"/>
    <w:rsid w:val="6AC55ECE"/>
    <w:rsid w:val="6AC63F9C"/>
    <w:rsid w:val="6ACB2F47"/>
    <w:rsid w:val="6ACB3360"/>
    <w:rsid w:val="6AD246EE"/>
    <w:rsid w:val="6AD466B8"/>
    <w:rsid w:val="6AD72F36"/>
    <w:rsid w:val="6ADA17F5"/>
    <w:rsid w:val="6AEF34F2"/>
    <w:rsid w:val="6AF44665"/>
    <w:rsid w:val="6AFB546D"/>
    <w:rsid w:val="6B032AFA"/>
    <w:rsid w:val="6B036F9E"/>
    <w:rsid w:val="6B0A032C"/>
    <w:rsid w:val="6B113469"/>
    <w:rsid w:val="6B122D3D"/>
    <w:rsid w:val="6B144D07"/>
    <w:rsid w:val="6B146AB5"/>
    <w:rsid w:val="6B160A7F"/>
    <w:rsid w:val="6B182A49"/>
    <w:rsid w:val="6B1940CB"/>
    <w:rsid w:val="6B1B7E43"/>
    <w:rsid w:val="6B1C3BBC"/>
    <w:rsid w:val="6B2018FE"/>
    <w:rsid w:val="6B2111D2"/>
    <w:rsid w:val="6B2667E8"/>
    <w:rsid w:val="6B2807B2"/>
    <w:rsid w:val="6B2A452A"/>
    <w:rsid w:val="6B317667"/>
    <w:rsid w:val="6B347157"/>
    <w:rsid w:val="6B364C7D"/>
    <w:rsid w:val="6B4078AA"/>
    <w:rsid w:val="6B43383E"/>
    <w:rsid w:val="6B451364"/>
    <w:rsid w:val="6B4A24D7"/>
    <w:rsid w:val="6B4B6368"/>
    <w:rsid w:val="6B596BBE"/>
    <w:rsid w:val="6B601CFA"/>
    <w:rsid w:val="6B621F16"/>
    <w:rsid w:val="6B685053"/>
    <w:rsid w:val="6B6F1F3D"/>
    <w:rsid w:val="6B826114"/>
    <w:rsid w:val="6B87197D"/>
    <w:rsid w:val="6B87372B"/>
    <w:rsid w:val="6B882FFF"/>
    <w:rsid w:val="6B926648"/>
    <w:rsid w:val="6B961BC0"/>
    <w:rsid w:val="6B9E2823"/>
    <w:rsid w:val="6BAE0CB8"/>
    <w:rsid w:val="6BAE515B"/>
    <w:rsid w:val="6BB40298"/>
    <w:rsid w:val="6BB46A94"/>
    <w:rsid w:val="6BBB33D4"/>
    <w:rsid w:val="6BC404DB"/>
    <w:rsid w:val="6BC93D43"/>
    <w:rsid w:val="6BCE4EB6"/>
    <w:rsid w:val="6BD050D2"/>
    <w:rsid w:val="6BD203A9"/>
    <w:rsid w:val="6BD66460"/>
    <w:rsid w:val="6BE741CA"/>
    <w:rsid w:val="6BF16DF6"/>
    <w:rsid w:val="6BF3491C"/>
    <w:rsid w:val="6BFB7C75"/>
    <w:rsid w:val="6C0134DD"/>
    <w:rsid w:val="6C0B610A"/>
    <w:rsid w:val="6C0E5BFA"/>
    <w:rsid w:val="6C101972"/>
    <w:rsid w:val="6C111246"/>
    <w:rsid w:val="6C1256EA"/>
    <w:rsid w:val="6C1825D5"/>
    <w:rsid w:val="6C184383"/>
    <w:rsid w:val="6C1D408F"/>
    <w:rsid w:val="6C205100"/>
    <w:rsid w:val="6C223454"/>
    <w:rsid w:val="6C3311BD"/>
    <w:rsid w:val="6C375151"/>
    <w:rsid w:val="6C3A079D"/>
    <w:rsid w:val="6C3D203B"/>
    <w:rsid w:val="6C417D7E"/>
    <w:rsid w:val="6C4258A4"/>
    <w:rsid w:val="6C450EF0"/>
    <w:rsid w:val="6C47110C"/>
    <w:rsid w:val="6C4D6722"/>
    <w:rsid w:val="6C5630FD"/>
    <w:rsid w:val="6C5C4BB7"/>
    <w:rsid w:val="6C5C6966"/>
    <w:rsid w:val="6C5F6456"/>
    <w:rsid w:val="6C6E48EB"/>
    <w:rsid w:val="6C77554D"/>
    <w:rsid w:val="6C7812C6"/>
    <w:rsid w:val="6C845EBC"/>
    <w:rsid w:val="6C90660F"/>
    <w:rsid w:val="6C9B721A"/>
    <w:rsid w:val="6C9C3206"/>
    <w:rsid w:val="6C9D2ADA"/>
    <w:rsid w:val="6CA200F0"/>
    <w:rsid w:val="6CA34594"/>
    <w:rsid w:val="6CA5024B"/>
    <w:rsid w:val="6CA572BA"/>
    <w:rsid w:val="6CA976D1"/>
    <w:rsid w:val="6CAB51F7"/>
    <w:rsid w:val="6CAD5413"/>
    <w:rsid w:val="6CB5251A"/>
    <w:rsid w:val="6CBA18DE"/>
    <w:rsid w:val="6CC91B21"/>
    <w:rsid w:val="6CD06CF5"/>
    <w:rsid w:val="6CD47E6C"/>
    <w:rsid w:val="6CDA3D2E"/>
    <w:rsid w:val="6CDC7AA6"/>
    <w:rsid w:val="6CDE381E"/>
    <w:rsid w:val="6CDE42D3"/>
    <w:rsid w:val="6CE1330F"/>
    <w:rsid w:val="6CE626D3"/>
    <w:rsid w:val="6CF43042"/>
    <w:rsid w:val="6CF44DF0"/>
    <w:rsid w:val="6CFE17CB"/>
    <w:rsid w:val="6D003795"/>
    <w:rsid w:val="6D033285"/>
    <w:rsid w:val="6D042B59"/>
    <w:rsid w:val="6D062D75"/>
    <w:rsid w:val="6D07276D"/>
    <w:rsid w:val="6D082649"/>
    <w:rsid w:val="6D0E5786"/>
    <w:rsid w:val="6D0F5EA7"/>
    <w:rsid w:val="6D125276"/>
    <w:rsid w:val="6D264D81"/>
    <w:rsid w:val="6D2D3E5E"/>
    <w:rsid w:val="6D2F407A"/>
    <w:rsid w:val="6D2F5E28"/>
    <w:rsid w:val="6D2F7BD6"/>
    <w:rsid w:val="6D3276C6"/>
    <w:rsid w:val="6D392803"/>
    <w:rsid w:val="6D400035"/>
    <w:rsid w:val="6D4A2C62"/>
    <w:rsid w:val="6D4D62AE"/>
    <w:rsid w:val="6D543AE1"/>
    <w:rsid w:val="6D561607"/>
    <w:rsid w:val="6D602485"/>
    <w:rsid w:val="6D605FE2"/>
    <w:rsid w:val="6D635AD2"/>
    <w:rsid w:val="6D714693"/>
    <w:rsid w:val="6D727A37"/>
    <w:rsid w:val="6D77157D"/>
    <w:rsid w:val="6D7A61C9"/>
    <w:rsid w:val="6D890438"/>
    <w:rsid w:val="6D8D2B4F"/>
    <w:rsid w:val="6D9263B7"/>
    <w:rsid w:val="6D965EA7"/>
    <w:rsid w:val="6D9C0FE4"/>
    <w:rsid w:val="6DAE26BA"/>
    <w:rsid w:val="6DAF0D17"/>
    <w:rsid w:val="6DC02F24"/>
    <w:rsid w:val="6DC24EEE"/>
    <w:rsid w:val="6DC56F07"/>
    <w:rsid w:val="6DCA3DA3"/>
    <w:rsid w:val="6DCB73B6"/>
    <w:rsid w:val="6DCC7B1B"/>
    <w:rsid w:val="6DD4077E"/>
    <w:rsid w:val="6DE22E9A"/>
    <w:rsid w:val="6DF130DE"/>
    <w:rsid w:val="6E041063"/>
    <w:rsid w:val="6E0C7F17"/>
    <w:rsid w:val="6E11552E"/>
    <w:rsid w:val="6E166FE8"/>
    <w:rsid w:val="6E204DCE"/>
    <w:rsid w:val="6E217E67"/>
    <w:rsid w:val="6E250FD9"/>
    <w:rsid w:val="6E2C05BA"/>
    <w:rsid w:val="6E2C2368"/>
    <w:rsid w:val="6E3556C0"/>
    <w:rsid w:val="6E3B6A4F"/>
    <w:rsid w:val="6E3D27C7"/>
    <w:rsid w:val="6E445903"/>
    <w:rsid w:val="6E4C0C5C"/>
    <w:rsid w:val="6E4E22DE"/>
    <w:rsid w:val="6E4F6056"/>
    <w:rsid w:val="6E5378F4"/>
    <w:rsid w:val="6E58315D"/>
    <w:rsid w:val="6E5D4C17"/>
    <w:rsid w:val="6E5D69C5"/>
    <w:rsid w:val="6E657628"/>
    <w:rsid w:val="6E70494A"/>
    <w:rsid w:val="6E7361E8"/>
    <w:rsid w:val="6E7C509D"/>
    <w:rsid w:val="6E7F4B8D"/>
    <w:rsid w:val="6E8B52E0"/>
    <w:rsid w:val="6E8D72AA"/>
    <w:rsid w:val="6E930639"/>
    <w:rsid w:val="6E963C85"/>
    <w:rsid w:val="6E987411"/>
    <w:rsid w:val="6EA43AB0"/>
    <w:rsid w:val="6EAB7730"/>
    <w:rsid w:val="6EC30F1E"/>
    <w:rsid w:val="6EC46A44"/>
    <w:rsid w:val="6EC86534"/>
    <w:rsid w:val="6EC922AC"/>
    <w:rsid w:val="6ED44ED9"/>
    <w:rsid w:val="6ED50C51"/>
    <w:rsid w:val="6ED83FAF"/>
    <w:rsid w:val="6ED8429D"/>
    <w:rsid w:val="6EE175F6"/>
    <w:rsid w:val="6EEA26C7"/>
    <w:rsid w:val="6EED49C0"/>
    <w:rsid w:val="6EED7D49"/>
    <w:rsid w:val="6EEE4BC6"/>
    <w:rsid w:val="6EF32E85"/>
    <w:rsid w:val="6EF72976"/>
    <w:rsid w:val="6EF8049C"/>
    <w:rsid w:val="6EFF7A7C"/>
    <w:rsid w:val="6F00046B"/>
    <w:rsid w:val="6F0642DD"/>
    <w:rsid w:val="6F1C418A"/>
    <w:rsid w:val="6F1E43A6"/>
    <w:rsid w:val="6F1F1ECC"/>
    <w:rsid w:val="6F2F65B3"/>
    <w:rsid w:val="6F305E87"/>
    <w:rsid w:val="6F307C36"/>
    <w:rsid w:val="6F321C00"/>
    <w:rsid w:val="6F3239AE"/>
    <w:rsid w:val="6F37310B"/>
    <w:rsid w:val="6F3E2352"/>
    <w:rsid w:val="6F40431D"/>
    <w:rsid w:val="6F435BBB"/>
    <w:rsid w:val="6F4638FD"/>
    <w:rsid w:val="6F524050"/>
    <w:rsid w:val="6F55769C"/>
    <w:rsid w:val="6F6B6EC0"/>
    <w:rsid w:val="6F767D3E"/>
    <w:rsid w:val="6F775864"/>
    <w:rsid w:val="6F782D45"/>
    <w:rsid w:val="6F7B35A7"/>
    <w:rsid w:val="6F7F4719"/>
    <w:rsid w:val="6F80231E"/>
    <w:rsid w:val="6F8D5088"/>
    <w:rsid w:val="6F912DCA"/>
    <w:rsid w:val="6F926B42"/>
    <w:rsid w:val="6F991C7F"/>
    <w:rsid w:val="6FA7439C"/>
    <w:rsid w:val="6FAD1286"/>
    <w:rsid w:val="6FBC771B"/>
    <w:rsid w:val="6FC0545D"/>
    <w:rsid w:val="6FC211D5"/>
    <w:rsid w:val="6FC52A74"/>
    <w:rsid w:val="6FC84312"/>
    <w:rsid w:val="6FCA008A"/>
    <w:rsid w:val="6FCC3E02"/>
    <w:rsid w:val="6FD131C7"/>
    <w:rsid w:val="6FD902CD"/>
    <w:rsid w:val="6FE729EA"/>
    <w:rsid w:val="6FE949B4"/>
    <w:rsid w:val="6FEF189F"/>
    <w:rsid w:val="6FF375E1"/>
    <w:rsid w:val="6FF45107"/>
    <w:rsid w:val="6FF869A5"/>
    <w:rsid w:val="6FFE1AE2"/>
    <w:rsid w:val="6FFE5F86"/>
    <w:rsid w:val="7007308C"/>
    <w:rsid w:val="700730DA"/>
    <w:rsid w:val="70076BE8"/>
    <w:rsid w:val="70082960"/>
    <w:rsid w:val="700C06A3"/>
    <w:rsid w:val="700E441B"/>
    <w:rsid w:val="70115CB9"/>
    <w:rsid w:val="7017686C"/>
    <w:rsid w:val="70194B6E"/>
    <w:rsid w:val="701B6B38"/>
    <w:rsid w:val="702D49ED"/>
    <w:rsid w:val="702E23C7"/>
    <w:rsid w:val="70335C2F"/>
    <w:rsid w:val="70381498"/>
    <w:rsid w:val="703B7251"/>
    <w:rsid w:val="70433998"/>
    <w:rsid w:val="704768DE"/>
    <w:rsid w:val="70546349"/>
    <w:rsid w:val="705A140E"/>
    <w:rsid w:val="705D0EFE"/>
    <w:rsid w:val="705D2CAC"/>
    <w:rsid w:val="706978A3"/>
    <w:rsid w:val="706A52E7"/>
    <w:rsid w:val="70814BED"/>
    <w:rsid w:val="70822713"/>
    <w:rsid w:val="70853FB1"/>
    <w:rsid w:val="70860455"/>
    <w:rsid w:val="708C17E3"/>
    <w:rsid w:val="708C3591"/>
    <w:rsid w:val="70912956"/>
    <w:rsid w:val="709131D5"/>
    <w:rsid w:val="70974410"/>
    <w:rsid w:val="709B5583"/>
    <w:rsid w:val="70A628A5"/>
    <w:rsid w:val="70A94143"/>
    <w:rsid w:val="70A971E8"/>
    <w:rsid w:val="70AC59E2"/>
    <w:rsid w:val="70B623BC"/>
    <w:rsid w:val="70BA1EAD"/>
    <w:rsid w:val="70BD199D"/>
    <w:rsid w:val="70C90342"/>
    <w:rsid w:val="70CD6084"/>
    <w:rsid w:val="70D07922"/>
    <w:rsid w:val="70DF5DB7"/>
    <w:rsid w:val="70E138DD"/>
    <w:rsid w:val="70E4517B"/>
    <w:rsid w:val="70E84C6C"/>
    <w:rsid w:val="70EB650A"/>
    <w:rsid w:val="70F201B7"/>
    <w:rsid w:val="70F73101"/>
    <w:rsid w:val="70FF1FB5"/>
    <w:rsid w:val="70FF3D63"/>
    <w:rsid w:val="71013CB0"/>
    <w:rsid w:val="71015D2D"/>
    <w:rsid w:val="710870BC"/>
    <w:rsid w:val="710E21F8"/>
    <w:rsid w:val="71233EF6"/>
    <w:rsid w:val="71324139"/>
    <w:rsid w:val="71327C95"/>
    <w:rsid w:val="71347EB1"/>
    <w:rsid w:val="71381023"/>
    <w:rsid w:val="713C29B5"/>
    <w:rsid w:val="713F6856"/>
    <w:rsid w:val="71467BE4"/>
    <w:rsid w:val="7148570A"/>
    <w:rsid w:val="715B27EE"/>
    <w:rsid w:val="71681909"/>
    <w:rsid w:val="71682F3F"/>
    <w:rsid w:val="716B764B"/>
    <w:rsid w:val="716D33C3"/>
    <w:rsid w:val="71722787"/>
    <w:rsid w:val="71771B4C"/>
    <w:rsid w:val="71834994"/>
    <w:rsid w:val="71866233"/>
    <w:rsid w:val="718B63A8"/>
    <w:rsid w:val="71973F9C"/>
    <w:rsid w:val="71A1306D"/>
    <w:rsid w:val="71A90121"/>
    <w:rsid w:val="71AA213A"/>
    <w:rsid w:val="71AB7A47"/>
    <w:rsid w:val="71AD7988"/>
    <w:rsid w:val="71AD7C63"/>
    <w:rsid w:val="71AF3160"/>
    <w:rsid w:val="71B608C6"/>
    <w:rsid w:val="71D40D4C"/>
    <w:rsid w:val="71D64AC4"/>
    <w:rsid w:val="71DE606F"/>
    <w:rsid w:val="71DE7E1D"/>
    <w:rsid w:val="71EC253A"/>
    <w:rsid w:val="71EC3F35"/>
    <w:rsid w:val="71EC42E8"/>
    <w:rsid w:val="71F05487"/>
    <w:rsid w:val="71F25676"/>
    <w:rsid w:val="71F31B1A"/>
    <w:rsid w:val="71F92EA9"/>
    <w:rsid w:val="71F96A05"/>
    <w:rsid w:val="71FB09CF"/>
    <w:rsid w:val="71FB452B"/>
    <w:rsid w:val="71FD4747"/>
    <w:rsid w:val="71FE226D"/>
    <w:rsid w:val="71FE401B"/>
    <w:rsid w:val="72005FE5"/>
    <w:rsid w:val="72007D93"/>
    <w:rsid w:val="720158B9"/>
    <w:rsid w:val="72023B0B"/>
    <w:rsid w:val="72141A90"/>
    <w:rsid w:val="72144EAD"/>
    <w:rsid w:val="72181581"/>
    <w:rsid w:val="7218332F"/>
    <w:rsid w:val="721D6B97"/>
    <w:rsid w:val="722515A8"/>
    <w:rsid w:val="72255A4C"/>
    <w:rsid w:val="722B7E58"/>
    <w:rsid w:val="722E4900"/>
    <w:rsid w:val="7231619E"/>
    <w:rsid w:val="72331F17"/>
    <w:rsid w:val="72345C8F"/>
    <w:rsid w:val="723914F7"/>
    <w:rsid w:val="723A468A"/>
    <w:rsid w:val="723B0DCB"/>
    <w:rsid w:val="72402885"/>
    <w:rsid w:val="7242215A"/>
    <w:rsid w:val="724A3704"/>
    <w:rsid w:val="724E006B"/>
    <w:rsid w:val="7265409A"/>
    <w:rsid w:val="72710C91"/>
    <w:rsid w:val="72771BDA"/>
    <w:rsid w:val="72783DCD"/>
    <w:rsid w:val="727A7B45"/>
    <w:rsid w:val="72807126"/>
    <w:rsid w:val="7289422C"/>
    <w:rsid w:val="728C1627"/>
    <w:rsid w:val="728D5C84"/>
    <w:rsid w:val="728E1843"/>
    <w:rsid w:val="72914E8F"/>
    <w:rsid w:val="729A01E8"/>
    <w:rsid w:val="729D3834"/>
    <w:rsid w:val="72A746B3"/>
    <w:rsid w:val="72AE5A41"/>
    <w:rsid w:val="72B50B7E"/>
    <w:rsid w:val="72B666A4"/>
    <w:rsid w:val="72BB015E"/>
    <w:rsid w:val="72C35F13"/>
    <w:rsid w:val="72D51220"/>
    <w:rsid w:val="72DC25AE"/>
    <w:rsid w:val="72E74AAF"/>
    <w:rsid w:val="72F01BB6"/>
    <w:rsid w:val="72F21DD2"/>
    <w:rsid w:val="72FA2A34"/>
    <w:rsid w:val="72FF44EF"/>
    <w:rsid w:val="730C076A"/>
    <w:rsid w:val="731955B0"/>
    <w:rsid w:val="731A6C33"/>
    <w:rsid w:val="731C29AB"/>
    <w:rsid w:val="733035DE"/>
    <w:rsid w:val="73326672"/>
    <w:rsid w:val="73335F46"/>
    <w:rsid w:val="734463A5"/>
    <w:rsid w:val="73446E6E"/>
    <w:rsid w:val="73465C7A"/>
    <w:rsid w:val="73536BCB"/>
    <w:rsid w:val="73552361"/>
    <w:rsid w:val="7358775B"/>
    <w:rsid w:val="7363682B"/>
    <w:rsid w:val="736D3206"/>
    <w:rsid w:val="737C5B3F"/>
    <w:rsid w:val="73814F04"/>
    <w:rsid w:val="738549F4"/>
    <w:rsid w:val="7386251A"/>
    <w:rsid w:val="738B18DE"/>
    <w:rsid w:val="738D1AFA"/>
    <w:rsid w:val="738D38A8"/>
    <w:rsid w:val="73920EBF"/>
    <w:rsid w:val="73922C6D"/>
    <w:rsid w:val="739509AF"/>
    <w:rsid w:val="73A0182E"/>
    <w:rsid w:val="73A3131E"/>
    <w:rsid w:val="73A330CC"/>
    <w:rsid w:val="73A352B6"/>
    <w:rsid w:val="73AA6208"/>
    <w:rsid w:val="73B02B11"/>
    <w:rsid w:val="73B07841"/>
    <w:rsid w:val="73B13A3B"/>
    <w:rsid w:val="73B40E35"/>
    <w:rsid w:val="73B47087"/>
    <w:rsid w:val="73B52DFF"/>
    <w:rsid w:val="73B726D3"/>
    <w:rsid w:val="73C372CA"/>
    <w:rsid w:val="73C51294"/>
    <w:rsid w:val="73C6500C"/>
    <w:rsid w:val="73CA0659"/>
    <w:rsid w:val="73D46CB4"/>
    <w:rsid w:val="73D56FFD"/>
    <w:rsid w:val="73DC038C"/>
    <w:rsid w:val="73DD4830"/>
    <w:rsid w:val="73E26E07"/>
    <w:rsid w:val="73E86D31"/>
    <w:rsid w:val="73F2195D"/>
    <w:rsid w:val="73F6144E"/>
    <w:rsid w:val="73F97190"/>
    <w:rsid w:val="73FB071E"/>
    <w:rsid w:val="73FB2F08"/>
    <w:rsid w:val="74065409"/>
    <w:rsid w:val="741A3CA7"/>
    <w:rsid w:val="74341F76"/>
    <w:rsid w:val="74424693"/>
    <w:rsid w:val="74534AF2"/>
    <w:rsid w:val="74561EEC"/>
    <w:rsid w:val="745B5755"/>
    <w:rsid w:val="746A1E3C"/>
    <w:rsid w:val="746C1710"/>
    <w:rsid w:val="74785E04"/>
    <w:rsid w:val="747B5DF7"/>
    <w:rsid w:val="74850A24"/>
    <w:rsid w:val="74911176"/>
    <w:rsid w:val="74A8445D"/>
    <w:rsid w:val="74B01F34"/>
    <w:rsid w:val="74B11819"/>
    <w:rsid w:val="74B530B7"/>
    <w:rsid w:val="74B65081"/>
    <w:rsid w:val="74B80DF9"/>
    <w:rsid w:val="74BF3F35"/>
    <w:rsid w:val="74D55507"/>
    <w:rsid w:val="74D6127F"/>
    <w:rsid w:val="74D63C4F"/>
    <w:rsid w:val="74D84FF7"/>
    <w:rsid w:val="74EE481B"/>
    <w:rsid w:val="74F53239"/>
    <w:rsid w:val="74FD680C"/>
    <w:rsid w:val="750000AA"/>
    <w:rsid w:val="750A640D"/>
    <w:rsid w:val="751002ED"/>
    <w:rsid w:val="75120509"/>
    <w:rsid w:val="751A5610"/>
    <w:rsid w:val="751C3136"/>
    <w:rsid w:val="751F49D4"/>
    <w:rsid w:val="75243D99"/>
    <w:rsid w:val="75271ADB"/>
    <w:rsid w:val="752B5127"/>
    <w:rsid w:val="75387745"/>
    <w:rsid w:val="75412B9C"/>
    <w:rsid w:val="75442A1E"/>
    <w:rsid w:val="75484141"/>
    <w:rsid w:val="754E7067"/>
    <w:rsid w:val="75501031"/>
    <w:rsid w:val="75526B58"/>
    <w:rsid w:val="75575F1C"/>
    <w:rsid w:val="75596138"/>
    <w:rsid w:val="755A5A0C"/>
    <w:rsid w:val="755F1275"/>
    <w:rsid w:val="756248C1"/>
    <w:rsid w:val="75720FA8"/>
    <w:rsid w:val="75722D56"/>
    <w:rsid w:val="75753FB9"/>
    <w:rsid w:val="75756AD4"/>
    <w:rsid w:val="75765B5E"/>
    <w:rsid w:val="757A7E5C"/>
    <w:rsid w:val="757F053F"/>
    <w:rsid w:val="757F1917"/>
    <w:rsid w:val="757F36C5"/>
    <w:rsid w:val="757F3BD6"/>
    <w:rsid w:val="75804C79"/>
    <w:rsid w:val="758962F1"/>
    <w:rsid w:val="758B7334"/>
    <w:rsid w:val="758D7B90"/>
    <w:rsid w:val="758F4FC4"/>
    <w:rsid w:val="759058D2"/>
    <w:rsid w:val="75947170"/>
    <w:rsid w:val="759C4466"/>
    <w:rsid w:val="759C7DD3"/>
    <w:rsid w:val="759E7FEF"/>
    <w:rsid w:val="75A03D67"/>
    <w:rsid w:val="75A06754"/>
    <w:rsid w:val="75A60C51"/>
    <w:rsid w:val="75AB270C"/>
    <w:rsid w:val="75AE7B06"/>
    <w:rsid w:val="75B01AD0"/>
    <w:rsid w:val="75B4336E"/>
    <w:rsid w:val="75B50E95"/>
    <w:rsid w:val="75B72E5F"/>
    <w:rsid w:val="75BC2223"/>
    <w:rsid w:val="75BC66C7"/>
    <w:rsid w:val="75D02172"/>
    <w:rsid w:val="75D92DD5"/>
    <w:rsid w:val="75E33C54"/>
    <w:rsid w:val="75F53987"/>
    <w:rsid w:val="75FE6CDF"/>
    <w:rsid w:val="760C31AA"/>
    <w:rsid w:val="76116A13"/>
    <w:rsid w:val="7614205F"/>
    <w:rsid w:val="761756AB"/>
    <w:rsid w:val="761920DD"/>
    <w:rsid w:val="761B33ED"/>
    <w:rsid w:val="76200A04"/>
    <w:rsid w:val="762A3631"/>
    <w:rsid w:val="7638387C"/>
    <w:rsid w:val="763B583E"/>
    <w:rsid w:val="763C3364"/>
    <w:rsid w:val="764B14F2"/>
    <w:rsid w:val="76515061"/>
    <w:rsid w:val="76524935"/>
    <w:rsid w:val="76530DD9"/>
    <w:rsid w:val="76607052"/>
    <w:rsid w:val="76684159"/>
    <w:rsid w:val="766A677C"/>
    <w:rsid w:val="766F4428"/>
    <w:rsid w:val="76764AC8"/>
    <w:rsid w:val="76784489"/>
    <w:rsid w:val="76872831"/>
    <w:rsid w:val="768865A9"/>
    <w:rsid w:val="768A40CF"/>
    <w:rsid w:val="768C7E47"/>
    <w:rsid w:val="769413F2"/>
    <w:rsid w:val="76960CC6"/>
    <w:rsid w:val="769907B6"/>
    <w:rsid w:val="769D02A6"/>
    <w:rsid w:val="769D2054"/>
    <w:rsid w:val="769D6AA6"/>
    <w:rsid w:val="769E7B7B"/>
    <w:rsid w:val="76A258BD"/>
    <w:rsid w:val="76AC04E9"/>
    <w:rsid w:val="76B15B00"/>
    <w:rsid w:val="76BD6253"/>
    <w:rsid w:val="76C21ABB"/>
    <w:rsid w:val="76C92E49"/>
    <w:rsid w:val="76CE0460"/>
    <w:rsid w:val="76CF41D8"/>
    <w:rsid w:val="76DB2B7D"/>
    <w:rsid w:val="76E52D88"/>
    <w:rsid w:val="76EC08E6"/>
    <w:rsid w:val="76EC2C18"/>
    <w:rsid w:val="76EC4D8A"/>
    <w:rsid w:val="76FD0D45"/>
    <w:rsid w:val="76FF4ABD"/>
    <w:rsid w:val="77000835"/>
    <w:rsid w:val="770976EA"/>
    <w:rsid w:val="770C71DA"/>
    <w:rsid w:val="77130569"/>
    <w:rsid w:val="77170059"/>
    <w:rsid w:val="771816DB"/>
    <w:rsid w:val="771A5453"/>
    <w:rsid w:val="771D3195"/>
    <w:rsid w:val="771F0CBB"/>
    <w:rsid w:val="771F6F0D"/>
    <w:rsid w:val="77212C85"/>
    <w:rsid w:val="7726396F"/>
    <w:rsid w:val="77297D8C"/>
    <w:rsid w:val="7730111A"/>
    <w:rsid w:val="773A5AF5"/>
    <w:rsid w:val="773A6BCF"/>
    <w:rsid w:val="773F135E"/>
    <w:rsid w:val="77495D38"/>
    <w:rsid w:val="77505319"/>
    <w:rsid w:val="775617B0"/>
    <w:rsid w:val="77674410"/>
    <w:rsid w:val="776B2153"/>
    <w:rsid w:val="776D5ECB"/>
    <w:rsid w:val="776E1C43"/>
    <w:rsid w:val="777059BB"/>
    <w:rsid w:val="7772528F"/>
    <w:rsid w:val="777E2DA0"/>
    <w:rsid w:val="777F175A"/>
    <w:rsid w:val="77822FF8"/>
    <w:rsid w:val="77862AE9"/>
    <w:rsid w:val="779C67B0"/>
    <w:rsid w:val="77A15B74"/>
    <w:rsid w:val="77AD62C7"/>
    <w:rsid w:val="77AE0291"/>
    <w:rsid w:val="77B43AFA"/>
    <w:rsid w:val="77BD2282"/>
    <w:rsid w:val="77C41863"/>
    <w:rsid w:val="77CF26E1"/>
    <w:rsid w:val="77D23F80"/>
    <w:rsid w:val="77D25D2E"/>
    <w:rsid w:val="77E12415"/>
    <w:rsid w:val="77E43CB3"/>
    <w:rsid w:val="77ED2B68"/>
    <w:rsid w:val="77F250B7"/>
    <w:rsid w:val="78014865"/>
    <w:rsid w:val="78034139"/>
    <w:rsid w:val="78081EAE"/>
    <w:rsid w:val="780B1240"/>
    <w:rsid w:val="781228B0"/>
    <w:rsid w:val="78174088"/>
    <w:rsid w:val="78177BE5"/>
    <w:rsid w:val="781C51FB"/>
    <w:rsid w:val="781F4CEB"/>
    <w:rsid w:val="7820118F"/>
    <w:rsid w:val="7824406D"/>
    <w:rsid w:val="782D11B6"/>
    <w:rsid w:val="78307C29"/>
    <w:rsid w:val="78326FD3"/>
    <w:rsid w:val="78342545"/>
    <w:rsid w:val="78395DAD"/>
    <w:rsid w:val="78481BD2"/>
    <w:rsid w:val="78485FF0"/>
    <w:rsid w:val="784F737E"/>
    <w:rsid w:val="785030F6"/>
    <w:rsid w:val="78511348"/>
    <w:rsid w:val="7851759A"/>
    <w:rsid w:val="78542BE7"/>
    <w:rsid w:val="7855070D"/>
    <w:rsid w:val="785B3F75"/>
    <w:rsid w:val="787119EB"/>
    <w:rsid w:val="78827754"/>
    <w:rsid w:val="788334CC"/>
    <w:rsid w:val="78857244"/>
    <w:rsid w:val="78931961"/>
    <w:rsid w:val="78971747"/>
    <w:rsid w:val="78994A9D"/>
    <w:rsid w:val="789B0816"/>
    <w:rsid w:val="789D458E"/>
    <w:rsid w:val="789E20B4"/>
    <w:rsid w:val="789E3E62"/>
    <w:rsid w:val="789F482B"/>
    <w:rsid w:val="78A82F32"/>
    <w:rsid w:val="78AA6CAB"/>
    <w:rsid w:val="78AC47D1"/>
    <w:rsid w:val="78AF7413"/>
    <w:rsid w:val="78B11DE7"/>
    <w:rsid w:val="78B2790D"/>
    <w:rsid w:val="78B83176"/>
    <w:rsid w:val="78B96EEE"/>
    <w:rsid w:val="78BE62B2"/>
    <w:rsid w:val="78C87131"/>
    <w:rsid w:val="78C95383"/>
    <w:rsid w:val="78CC6C21"/>
    <w:rsid w:val="78DF0898"/>
    <w:rsid w:val="78E51A91"/>
    <w:rsid w:val="78E63D5F"/>
    <w:rsid w:val="78E81581"/>
    <w:rsid w:val="78E977D3"/>
    <w:rsid w:val="78EF0B61"/>
    <w:rsid w:val="78F87A16"/>
    <w:rsid w:val="790046BA"/>
    <w:rsid w:val="790068CB"/>
    <w:rsid w:val="790243F1"/>
    <w:rsid w:val="79050778"/>
    <w:rsid w:val="79091C23"/>
    <w:rsid w:val="790C526F"/>
    <w:rsid w:val="790F6B0E"/>
    <w:rsid w:val="79181E66"/>
    <w:rsid w:val="79211241"/>
    <w:rsid w:val="79232871"/>
    <w:rsid w:val="79297BCF"/>
    <w:rsid w:val="792A3948"/>
    <w:rsid w:val="792C3B64"/>
    <w:rsid w:val="792C76C0"/>
    <w:rsid w:val="79314CD6"/>
    <w:rsid w:val="793842B6"/>
    <w:rsid w:val="793A6280"/>
    <w:rsid w:val="794669D3"/>
    <w:rsid w:val="79515378"/>
    <w:rsid w:val="79537342"/>
    <w:rsid w:val="7961380D"/>
    <w:rsid w:val="796B468C"/>
    <w:rsid w:val="796B643A"/>
    <w:rsid w:val="797352EE"/>
    <w:rsid w:val="797846B3"/>
    <w:rsid w:val="797F0137"/>
    <w:rsid w:val="798968C0"/>
    <w:rsid w:val="798B6ADC"/>
    <w:rsid w:val="799139C7"/>
    <w:rsid w:val="79927E6B"/>
    <w:rsid w:val="799314ED"/>
    <w:rsid w:val="7993773F"/>
    <w:rsid w:val="79975481"/>
    <w:rsid w:val="79A100AE"/>
    <w:rsid w:val="79A8143C"/>
    <w:rsid w:val="79B220BA"/>
    <w:rsid w:val="79B7342D"/>
    <w:rsid w:val="79BA116F"/>
    <w:rsid w:val="79C773E8"/>
    <w:rsid w:val="79D044EF"/>
    <w:rsid w:val="79DB12C6"/>
    <w:rsid w:val="79DC2E94"/>
    <w:rsid w:val="79F30561"/>
    <w:rsid w:val="79F77CCE"/>
    <w:rsid w:val="79FA77BE"/>
    <w:rsid w:val="79FF3026"/>
    <w:rsid w:val="7A04063C"/>
    <w:rsid w:val="7A066163"/>
    <w:rsid w:val="7A0F14BB"/>
    <w:rsid w:val="7A1545F8"/>
    <w:rsid w:val="7A170370"/>
    <w:rsid w:val="7A1E16FE"/>
    <w:rsid w:val="7A1E34AC"/>
    <w:rsid w:val="7A232871"/>
    <w:rsid w:val="7A28257D"/>
    <w:rsid w:val="7A293BFF"/>
    <w:rsid w:val="7A2B7977"/>
    <w:rsid w:val="7A41363F"/>
    <w:rsid w:val="7A4F18B8"/>
    <w:rsid w:val="7A545120"/>
    <w:rsid w:val="7A567483"/>
    <w:rsid w:val="7A590988"/>
    <w:rsid w:val="7A5F5873"/>
    <w:rsid w:val="7A805F15"/>
    <w:rsid w:val="7A837B94"/>
    <w:rsid w:val="7A863BF0"/>
    <w:rsid w:val="7A8F43AA"/>
    <w:rsid w:val="7A94376E"/>
    <w:rsid w:val="7A9674E6"/>
    <w:rsid w:val="7AA17C39"/>
    <w:rsid w:val="7AA22F5E"/>
    <w:rsid w:val="7AAD65DE"/>
    <w:rsid w:val="7AB20098"/>
    <w:rsid w:val="7AB636E5"/>
    <w:rsid w:val="7AB94F83"/>
    <w:rsid w:val="7ABB0CFB"/>
    <w:rsid w:val="7ABE07EB"/>
    <w:rsid w:val="7AC027B5"/>
    <w:rsid w:val="7AC676A0"/>
    <w:rsid w:val="7AC758F2"/>
    <w:rsid w:val="7AC878BC"/>
    <w:rsid w:val="7ACB4CB6"/>
    <w:rsid w:val="7ACD0A2E"/>
    <w:rsid w:val="7AD41DBD"/>
    <w:rsid w:val="7AD87AFF"/>
    <w:rsid w:val="7ADD3367"/>
    <w:rsid w:val="7AE04C06"/>
    <w:rsid w:val="7AE53FCA"/>
    <w:rsid w:val="7AEE4987"/>
    <w:rsid w:val="7AF406B1"/>
    <w:rsid w:val="7AF81F4F"/>
    <w:rsid w:val="7B0C1557"/>
    <w:rsid w:val="7B136D89"/>
    <w:rsid w:val="7B1623D5"/>
    <w:rsid w:val="7B294867"/>
    <w:rsid w:val="7B2C7E4B"/>
    <w:rsid w:val="7B2E5971"/>
    <w:rsid w:val="7B302FF9"/>
    <w:rsid w:val="7B354F51"/>
    <w:rsid w:val="7B430CF1"/>
    <w:rsid w:val="7B452CBB"/>
    <w:rsid w:val="7B474C85"/>
    <w:rsid w:val="7B4C5DF7"/>
    <w:rsid w:val="7B5573A2"/>
    <w:rsid w:val="7B590514"/>
    <w:rsid w:val="7B595FD5"/>
    <w:rsid w:val="7B5B24DE"/>
    <w:rsid w:val="7B5D6256"/>
    <w:rsid w:val="7B6E5D6D"/>
    <w:rsid w:val="7B6F062A"/>
    <w:rsid w:val="7B737828"/>
    <w:rsid w:val="7B765937"/>
    <w:rsid w:val="7B7F441F"/>
    <w:rsid w:val="7B8C2698"/>
    <w:rsid w:val="7B914152"/>
    <w:rsid w:val="7B917CAE"/>
    <w:rsid w:val="7B933A26"/>
    <w:rsid w:val="7B9F686F"/>
    <w:rsid w:val="7BA45C33"/>
    <w:rsid w:val="7BAB467E"/>
    <w:rsid w:val="7BAD0F8C"/>
    <w:rsid w:val="7BB265A2"/>
    <w:rsid w:val="7BC3261C"/>
    <w:rsid w:val="7BC65BA9"/>
    <w:rsid w:val="7BD36518"/>
    <w:rsid w:val="7BD429E9"/>
    <w:rsid w:val="7BD61B65"/>
    <w:rsid w:val="7BDC6CA1"/>
    <w:rsid w:val="7BDC717B"/>
    <w:rsid w:val="7BE349AD"/>
    <w:rsid w:val="7BE424D4"/>
    <w:rsid w:val="7BE51D01"/>
    <w:rsid w:val="7BE6624C"/>
    <w:rsid w:val="7BF24BF0"/>
    <w:rsid w:val="7BF72207"/>
    <w:rsid w:val="7BFE17E7"/>
    <w:rsid w:val="7BFF2E69"/>
    <w:rsid w:val="7C037151"/>
    <w:rsid w:val="7C0B3EC7"/>
    <w:rsid w:val="7C100291"/>
    <w:rsid w:val="7C134B67"/>
    <w:rsid w:val="7C352D2F"/>
    <w:rsid w:val="7C354ADD"/>
    <w:rsid w:val="7C3945CD"/>
    <w:rsid w:val="7C3F770A"/>
    <w:rsid w:val="7C482A62"/>
    <w:rsid w:val="7C484810"/>
    <w:rsid w:val="7C5E4034"/>
    <w:rsid w:val="7C716B68"/>
    <w:rsid w:val="7C776EA4"/>
    <w:rsid w:val="7C7C44BA"/>
    <w:rsid w:val="7C815F74"/>
    <w:rsid w:val="7C876A08"/>
    <w:rsid w:val="7C8F0691"/>
    <w:rsid w:val="7C8F68E3"/>
    <w:rsid w:val="7C907F65"/>
    <w:rsid w:val="7C9F63FA"/>
    <w:rsid w:val="7CA0289E"/>
    <w:rsid w:val="7CAD6D69"/>
    <w:rsid w:val="7CB225D2"/>
    <w:rsid w:val="7CB400F8"/>
    <w:rsid w:val="7CB65C1E"/>
    <w:rsid w:val="7CB93960"/>
    <w:rsid w:val="7CC0084B"/>
    <w:rsid w:val="7CC04CEF"/>
    <w:rsid w:val="7CCF0A8E"/>
    <w:rsid w:val="7CCF4F32"/>
    <w:rsid w:val="7CD662C0"/>
    <w:rsid w:val="7CDB62C8"/>
    <w:rsid w:val="7CE507FC"/>
    <w:rsid w:val="7CEA58C8"/>
    <w:rsid w:val="7CEF2EDE"/>
    <w:rsid w:val="7CEF7382"/>
    <w:rsid w:val="7CF229CE"/>
    <w:rsid w:val="7CF46746"/>
    <w:rsid w:val="7CF8076C"/>
    <w:rsid w:val="7CFD1A9F"/>
    <w:rsid w:val="7D1312C2"/>
    <w:rsid w:val="7D140B97"/>
    <w:rsid w:val="7D254B52"/>
    <w:rsid w:val="7D2708CA"/>
    <w:rsid w:val="7D2863F0"/>
    <w:rsid w:val="7D2A03BA"/>
    <w:rsid w:val="7D2C5EE0"/>
    <w:rsid w:val="7D324C54"/>
    <w:rsid w:val="7D342FE7"/>
    <w:rsid w:val="7D344D95"/>
    <w:rsid w:val="7D382289"/>
    <w:rsid w:val="7D3B4375"/>
    <w:rsid w:val="7D3D1E9B"/>
    <w:rsid w:val="7D3E3E65"/>
    <w:rsid w:val="7D40198C"/>
    <w:rsid w:val="7D407BDD"/>
    <w:rsid w:val="7D4166FB"/>
    <w:rsid w:val="7D450D50"/>
    <w:rsid w:val="7D474AC8"/>
    <w:rsid w:val="7D494CE4"/>
    <w:rsid w:val="7D4C20DE"/>
    <w:rsid w:val="7D4E22FA"/>
    <w:rsid w:val="7D4E40A8"/>
    <w:rsid w:val="7D5611AF"/>
    <w:rsid w:val="7D5B0573"/>
    <w:rsid w:val="7D5F62B6"/>
    <w:rsid w:val="7D723DB3"/>
    <w:rsid w:val="7D733B0F"/>
    <w:rsid w:val="7D796C4C"/>
    <w:rsid w:val="7D80447E"/>
    <w:rsid w:val="7D8555F0"/>
    <w:rsid w:val="7D9121E7"/>
    <w:rsid w:val="7D965AA9"/>
    <w:rsid w:val="7D9D6DDE"/>
    <w:rsid w:val="7D9F2B56"/>
    <w:rsid w:val="7DA261A2"/>
    <w:rsid w:val="7DAA5057"/>
    <w:rsid w:val="7DB36601"/>
    <w:rsid w:val="7DBA2742"/>
    <w:rsid w:val="7DBD4D8A"/>
    <w:rsid w:val="7DBF6D54"/>
    <w:rsid w:val="7DC600E3"/>
    <w:rsid w:val="7DC9372F"/>
    <w:rsid w:val="7DCD72DE"/>
    <w:rsid w:val="7DD722F0"/>
    <w:rsid w:val="7DDC7906"/>
    <w:rsid w:val="7DDD71DA"/>
    <w:rsid w:val="7DE06CCB"/>
    <w:rsid w:val="7DE20C95"/>
    <w:rsid w:val="7DF54524"/>
    <w:rsid w:val="7DF6029C"/>
    <w:rsid w:val="7DF804B8"/>
    <w:rsid w:val="7E01724A"/>
    <w:rsid w:val="7E0724A9"/>
    <w:rsid w:val="7E094473"/>
    <w:rsid w:val="7E0A5534"/>
    <w:rsid w:val="7E0D3CB5"/>
    <w:rsid w:val="7E1200BB"/>
    <w:rsid w:val="7E1846B6"/>
    <w:rsid w:val="7E2117BD"/>
    <w:rsid w:val="7E2B43EA"/>
    <w:rsid w:val="7E307C52"/>
    <w:rsid w:val="7E355D74"/>
    <w:rsid w:val="7E3A287F"/>
    <w:rsid w:val="7E3F1C43"/>
    <w:rsid w:val="7E4159BB"/>
    <w:rsid w:val="7E461224"/>
    <w:rsid w:val="7E486D12"/>
    <w:rsid w:val="7E6054A8"/>
    <w:rsid w:val="7E617E0B"/>
    <w:rsid w:val="7E665422"/>
    <w:rsid w:val="7E6A44EF"/>
    <w:rsid w:val="7E723DC7"/>
    <w:rsid w:val="7E7E6C0F"/>
    <w:rsid w:val="7E803351"/>
    <w:rsid w:val="7E81225C"/>
    <w:rsid w:val="7E8458A8"/>
    <w:rsid w:val="7E88183C"/>
    <w:rsid w:val="7E977CD1"/>
    <w:rsid w:val="7E991353"/>
    <w:rsid w:val="7EA128FE"/>
    <w:rsid w:val="7EAA3560"/>
    <w:rsid w:val="7EAD4DFF"/>
    <w:rsid w:val="7EB51F05"/>
    <w:rsid w:val="7EBC7738"/>
    <w:rsid w:val="7ED22AB7"/>
    <w:rsid w:val="7EDE320A"/>
    <w:rsid w:val="7EE2719E"/>
    <w:rsid w:val="7EE36A72"/>
    <w:rsid w:val="7EE4674F"/>
    <w:rsid w:val="7EE8052D"/>
    <w:rsid w:val="7EF173E1"/>
    <w:rsid w:val="7EF24F07"/>
    <w:rsid w:val="7EF667A6"/>
    <w:rsid w:val="7EF742CC"/>
    <w:rsid w:val="7F054C3B"/>
    <w:rsid w:val="7F0709B3"/>
    <w:rsid w:val="7F0C5FC9"/>
    <w:rsid w:val="7F1135E0"/>
    <w:rsid w:val="7F1629A4"/>
    <w:rsid w:val="7F166E48"/>
    <w:rsid w:val="7F192494"/>
    <w:rsid w:val="7F1E757B"/>
    <w:rsid w:val="7F205AA2"/>
    <w:rsid w:val="7F25708B"/>
    <w:rsid w:val="7F271055"/>
    <w:rsid w:val="7F2F7F0A"/>
    <w:rsid w:val="7F3E014D"/>
    <w:rsid w:val="7F405C73"/>
    <w:rsid w:val="7F437511"/>
    <w:rsid w:val="7F45772D"/>
    <w:rsid w:val="7F517E80"/>
    <w:rsid w:val="7F581391"/>
    <w:rsid w:val="7F5931D8"/>
    <w:rsid w:val="7F5E434B"/>
    <w:rsid w:val="7F623E3B"/>
    <w:rsid w:val="7F641F2B"/>
    <w:rsid w:val="7F686F78"/>
    <w:rsid w:val="7F6D27E0"/>
    <w:rsid w:val="7F6F0306"/>
    <w:rsid w:val="7F710522"/>
    <w:rsid w:val="7F722E84"/>
    <w:rsid w:val="7F73429A"/>
    <w:rsid w:val="7F74591C"/>
    <w:rsid w:val="7F7B6CAB"/>
    <w:rsid w:val="7F842003"/>
    <w:rsid w:val="7F8D69DE"/>
    <w:rsid w:val="7F930498"/>
    <w:rsid w:val="7FA2692E"/>
    <w:rsid w:val="7FA36202"/>
    <w:rsid w:val="7FA51F7A"/>
    <w:rsid w:val="7FB0104A"/>
    <w:rsid w:val="7FB623D9"/>
    <w:rsid w:val="7FB90F14"/>
    <w:rsid w:val="7FBD000B"/>
    <w:rsid w:val="7FC05959"/>
    <w:rsid w:val="7FC44AF6"/>
    <w:rsid w:val="7FC95C68"/>
    <w:rsid w:val="7FCC7507"/>
    <w:rsid w:val="7FD22463"/>
    <w:rsid w:val="7FDD29DC"/>
    <w:rsid w:val="7FE24F7C"/>
    <w:rsid w:val="7FEC5DFB"/>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0" w:firstLineChars="200"/>
      <w:jc w:val="both"/>
    </w:pPr>
    <w:rPr>
      <w:rFonts w:ascii="Times New Roman" w:hAnsi="Times New Roman" w:eastAsia="宋体" w:cs="黑体"/>
      <w:kern w:val="2"/>
      <w:sz w:val="21"/>
      <w:szCs w:val="22"/>
      <w:lang w:val="en-US" w:eastAsia="zh-CN" w:bidi="ar-SA"/>
    </w:rPr>
  </w:style>
  <w:style w:type="paragraph" w:styleId="2">
    <w:name w:val="heading 1"/>
    <w:basedOn w:val="1"/>
    <w:next w:val="1"/>
    <w:qFormat/>
    <w:uiPriority w:val="9"/>
    <w:pPr>
      <w:widowControl/>
      <w:jc w:val="left"/>
      <w:outlineLvl w:val="0"/>
    </w:pPr>
    <w:rPr>
      <w:rFonts w:eastAsia="黑体" w:cs="宋体"/>
      <w:bCs/>
      <w:kern w:val="36"/>
      <w:sz w:val="28"/>
      <w:szCs w:val="48"/>
    </w:rPr>
  </w:style>
  <w:style w:type="paragraph" w:styleId="3">
    <w:name w:val="heading 2"/>
    <w:basedOn w:val="1"/>
    <w:next w:val="1"/>
    <w:unhideWhenUsed/>
    <w:qFormat/>
    <w:uiPriority w:val="0"/>
    <w:pPr>
      <w:keepNext/>
      <w:keepLines/>
      <w:spacing w:before="60" w:after="60"/>
      <w:outlineLvl w:val="1"/>
    </w:pPr>
    <w:rPr>
      <w:rFonts w:eastAsia="黑体"/>
      <w:sz w:val="24"/>
    </w:rPr>
  </w:style>
  <w:style w:type="paragraph" w:styleId="4">
    <w:name w:val="heading 3"/>
    <w:basedOn w:val="1"/>
    <w:next w:val="1"/>
    <w:link w:val="25"/>
    <w:unhideWhenUsed/>
    <w:qFormat/>
    <w:uiPriority w:val="0"/>
    <w:pPr>
      <w:keepNext/>
      <w:keepLines/>
      <w:spacing w:before="60" w:after="60"/>
      <w:outlineLvl w:val="2"/>
    </w:pPr>
    <w:rPr>
      <w:rFonts w:eastAsia="黑体"/>
    </w:rPr>
  </w:style>
  <w:style w:type="paragraph" w:styleId="5">
    <w:name w:val="heading 4"/>
    <w:basedOn w:val="1"/>
    <w:next w:val="1"/>
    <w:unhideWhenUsed/>
    <w:qFormat/>
    <w:uiPriority w:val="0"/>
    <w:pPr>
      <w:keepNext/>
      <w:keepLines/>
      <w:outlineLvl w:val="3"/>
    </w:pPr>
    <w:rPr>
      <w:rFonts w:eastAsia="黑体"/>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6"/>
    <w:qFormat/>
    <w:uiPriority w:val="0"/>
    <w:pPr>
      <w:jc w:val="left"/>
    </w:pPr>
  </w:style>
  <w:style w:type="paragraph" w:styleId="7">
    <w:name w:val="footer"/>
    <w:basedOn w:val="1"/>
    <w:link w:val="31"/>
    <w:qFormat/>
    <w:uiPriority w:val="99"/>
    <w:pPr>
      <w:tabs>
        <w:tab w:val="center" w:pos="4153"/>
        <w:tab w:val="right" w:pos="8306"/>
      </w:tabs>
      <w:adjustRightInd w:val="0"/>
      <w:snapToGrid w:val="0"/>
      <w:spacing w:before="156" w:beforeLines="50"/>
      <w:ind w:firstLine="200"/>
      <w:jc w:val="left"/>
    </w:pPr>
    <w:rPr>
      <w:rFonts w:eastAsia="仿宋_GB2312" w:cs="Times New Roman"/>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Title"/>
    <w:basedOn w:val="1"/>
    <w:next w:val="1"/>
    <w:qFormat/>
    <w:uiPriority w:val="10"/>
    <w:pPr>
      <w:spacing w:before="120" w:after="120"/>
      <w:jc w:val="center"/>
      <w:outlineLvl w:val="0"/>
    </w:pPr>
    <w:rPr>
      <w:rFonts w:eastAsia="黑体" w:cs="Times New Roman"/>
      <w:bCs/>
      <w:sz w:val="44"/>
      <w:szCs w:val="32"/>
    </w:rPr>
  </w:style>
  <w:style w:type="paragraph" w:styleId="10">
    <w:name w:val="annotation subject"/>
    <w:basedOn w:val="6"/>
    <w:next w:val="6"/>
    <w:link w:val="27"/>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unhideWhenUsed/>
    <w:qFormat/>
    <w:uiPriority w:val="99"/>
  </w:style>
  <w:style w:type="character" w:styleId="16">
    <w:name w:val="annotation reference"/>
    <w:basedOn w:val="13"/>
    <w:qFormat/>
    <w:uiPriority w:val="0"/>
    <w:rPr>
      <w:sz w:val="21"/>
      <w:szCs w:val="21"/>
    </w:rPr>
  </w:style>
  <w:style w:type="paragraph" w:customStyle="1" w:styleId="17">
    <w:name w:val="普通(网站)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8">
    <w:name w:val="正文1"/>
    <w:basedOn w:val="1"/>
    <w:qFormat/>
    <w:uiPriority w:val="0"/>
    <w:pPr>
      <w:spacing w:before="156" w:beforeLines="50"/>
      <w:ind w:firstLine="560"/>
    </w:pPr>
    <w:rPr>
      <w:rFonts w:eastAsia="仿宋_GB2312"/>
      <w:sz w:val="28"/>
      <w:szCs w:val="28"/>
    </w:rPr>
  </w:style>
  <w:style w:type="paragraph" w:customStyle="1" w:styleId="19">
    <w:name w:val="要点正文"/>
    <w:basedOn w:val="18"/>
    <w:qFormat/>
    <w:uiPriority w:val="0"/>
    <w:pPr>
      <w:spacing w:before="0" w:beforeLines="0"/>
      <w:ind w:firstLine="640"/>
    </w:pPr>
    <w:rPr>
      <w:sz w:val="32"/>
      <w:szCs w:val="32"/>
    </w:rPr>
  </w:style>
  <w:style w:type="paragraph" w:customStyle="1" w:styleId="20">
    <w:name w:val="2级标题"/>
    <w:basedOn w:val="21"/>
    <w:qFormat/>
    <w:uiPriority w:val="0"/>
    <w:pPr>
      <w:numPr>
        <w:numId w:val="0"/>
      </w:numPr>
      <w:spacing w:before="0"/>
      <w:ind w:firstLine="200" w:firstLineChars="200"/>
    </w:pPr>
    <w:rPr>
      <w:sz w:val="32"/>
    </w:rPr>
  </w:style>
  <w:style w:type="paragraph" w:customStyle="1" w:styleId="21">
    <w:name w:val="二级"/>
    <w:basedOn w:val="22"/>
    <w:qFormat/>
    <w:uiPriority w:val="0"/>
    <w:pPr>
      <w:numPr>
        <w:ilvl w:val="1"/>
      </w:numPr>
      <w:spacing w:beforeLines="0"/>
      <w:outlineLvl w:val="1"/>
    </w:pPr>
    <w:rPr>
      <w:sz w:val="28"/>
    </w:rPr>
  </w:style>
  <w:style w:type="paragraph" w:customStyle="1" w:styleId="22">
    <w:name w:val="一级 简本"/>
    <w:basedOn w:val="1"/>
    <w:qFormat/>
    <w:uiPriority w:val="0"/>
    <w:pPr>
      <w:numPr>
        <w:ilvl w:val="0"/>
        <w:numId w:val="1"/>
      </w:numPr>
      <w:spacing w:before="156" w:beforeLines="50"/>
      <w:outlineLvl w:val="0"/>
    </w:pPr>
    <w:rPr>
      <w:rFonts w:eastAsia="黑体"/>
      <w:b/>
      <w:color w:val="000000"/>
      <w:sz w:val="32"/>
      <w:szCs w:val="28"/>
    </w:rPr>
  </w:style>
  <w:style w:type="paragraph" w:customStyle="1" w:styleId="23">
    <w:name w:val="快速 正文"/>
    <w:basedOn w:val="1"/>
    <w:qFormat/>
    <w:uiPriority w:val="0"/>
    <w:pPr>
      <w:spacing w:before="120"/>
      <w:ind w:firstLine="480"/>
    </w:pPr>
    <w:rPr>
      <w:rFonts w:hAnsi="Calibri" w:eastAsia="仿宋_GB2312"/>
      <w:color w:val="000000"/>
      <w:sz w:val="28"/>
      <w:szCs w:val="28"/>
    </w:rPr>
  </w:style>
  <w:style w:type="paragraph" w:customStyle="1" w:styleId="24">
    <w:name w:val="报告 表格"/>
    <w:basedOn w:val="1"/>
    <w:qFormat/>
    <w:uiPriority w:val="0"/>
    <w:pPr>
      <w:jc w:val="center"/>
    </w:pPr>
    <w:rPr>
      <w:szCs w:val="21"/>
    </w:rPr>
  </w:style>
  <w:style w:type="character" w:customStyle="1" w:styleId="25">
    <w:name w:val="标题 3 字符"/>
    <w:link w:val="4"/>
    <w:qFormat/>
    <w:uiPriority w:val="0"/>
    <w:rPr>
      <w:rFonts w:eastAsia="黑体"/>
      <w:sz w:val="21"/>
    </w:rPr>
  </w:style>
  <w:style w:type="character" w:customStyle="1" w:styleId="26">
    <w:name w:val="批注文字 字符"/>
    <w:basedOn w:val="13"/>
    <w:link w:val="6"/>
    <w:qFormat/>
    <w:uiPriority w:val="0"/>
    <w:rPr>
      <w:rFonts w:cs="黑体"/>
      <w:kern w:val="2"/>
      <w:sz w:val="21"/>
      <w:szCs w:val="22"/>
    </w:rPr>
  </w:style>
  <w:style w:type="character" w:customStyle="1" w:styleId="27">
    <w:name w:val="批注主题 字符"/>
    <w:basedOn w:val="26"/>
    <w:link w:val="10"/>
    <w:qFormat/>
    <w:uiPriority w:val="0"/>
    <w:rPr>
      <w:rFonts w:cs="黑体"/>
      <w:b/>
      <w:bCs/>
      <w:kern w:val="2"/>
      <w:sz w:val="21"/>
      <w:szCs w:val="22"/>
    </w:rPr>
  </w:style>
  <w:style w:type="paragraph" w:styleId="28">
    <w:name w:val="List Paragraph"/>
    <w:basedOn w:val="1"/>
    <w:unhideWhenUsed/>
    <w:qFormat/>
    <w:uiPriority w:val="99"/>
    <w:pPr>
      <w:ind w:firstLine="420"/>
    </w:pPr>
  </w:style>
  <w:style w:type="paragraph" w:customStyle="1" w:styleId="29">
    <w:name w:val="修订1"/>
    <w:hidden/>
    <w:unhideWhenUsed/>
    <w:qFormat/>
    <w:uiPriority w:val="99"/>
    <w:rPr>
      <w:rFonts w:ascii="Times New Roman" w:hAnsi="Times New Roman" w:eastAsia="宋体" w:cs="黑体"/>
      <w:kern w:val="2"/>
      <w:sz w:val="21"/>
      <w:szCs w:val="22"/>
      <w:lang w:val="en-US" w:eastAsia="zh-CN" w:bidi="ar-SA"/>
    </w:rPr>
  </w:style>
  <w:style w:type="paragraph" w:customStyle="1" w:styleId="30">
    <w:name w:val="修订2"/>
    <w:hidden/>
    <w:unhideWhenUsed/>
    <w:qFormat/>
    <w:uiPriority w:val="99"/>
    <w:rPr>
      <w:rFonts w:ascii="Times New Roman" w:hAnsi="Times New Roman" w:eastAsia="宋体" w:cs="黑体"/>
      <w:kern w:val="2"/>
      <w:sz w:val="21"/>
      <w:szCs w:val="22"/>
      <w:lang w:val="en-US" w:eastAsia="zh-CN" w:bidi="ar-SA"/>
    </w:rPr>
  </w:style>
  <w:style w:type="character" w:customStyle="1" w:styleId="31">
    <w:name w:val="页脚 字符"/>
    <w:basedOn w:val="13"/>
    <w:link w:val="7"/>
    <w:qFormat/>
    <w:uiPriority w:val="99"/>
    <w:rPr>
      <w:rFonts w:eastAsia="仿宋_GB2312"/>
      <w:sz w:val="18"/>
      <w:szCs w:val="18"/>
    </w:rPr>
  </w:style>
  <w:style w:type="paragraph" w:customStyle="1" w:styleId="32">
    <w:name w:val="图表文"/>
    <w:basedOn w:val="1"/>
    <w:qFormat/>
    <w:uiPriority w:val="0"/>
    <w:pPr>
      <w:widowControl/>
      <w:jc w:val="center"/>
    </w:pPr>
    <w:rPr>
      <w:bCs/>
      <w:szCs w:val="21"/>
    </w:rPr>
  </w:style>
  <w:style w:type="paragraph" w:customStyle="1" w:styleId="33">
    <w:name w:val="修订3"/>
    <w:hidden/>
    <w:unhideWhenUsed/>
    <w:qFormat/>
    <w:uiPriority w:val="99"/>
    <w:rPr>
      <w:rFonts w:ascii="Times New Roman" w:hAnsi="Times New Roman"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11899</Words>
  <Characters>12161</Characters>
  <Lines>160</Lines>
  <Paragraphs>45</Paragraphs>
  <TotalTime>3</TotalTime>
  <ScaleCrop>false</ScaleCrop>
  <LinksUpToDate>false</LinksUpToDate>
  <CharactersWithSpaces>12171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2024-07-09T03:15:00Z</dcterms:created>
  <dc:creator>28139</dc:creator>
  <cp:lastModifiedBy>CC</cp:lastModifiedBy>
  <dcterms:modified xsi:type="dcterms:W3CDTF">2025-01-14T09:36:48Z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D97C748E4DFB414A8C1065E308B74ABC_13</vt:lpwstr>
  </property>
  <property fmtid="{D5CDD505-2E9C-101B-9397-08002B2CF9AE}" pid="4" name="KSOTemplateDocerSaveRecord">
    <vt:lpwstr>eyJoZGlkIjoiMTIxZDQ5ZDEzNWJlNzVhODljYjhjODE1M2I0ZjA3MjUiLCJ1c2VySWQiOiI0MDA0ODMyOTYifQ==</vt:lpwstr>
  </property>
</Properties>
</file>